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all recorded baseline variables: age (overall median 61 years, IQR 54 to 70; p=0.222), sex (130/188 male, 69.15%; p=0.709), smoking status (113/188 ever-smokers, 60.11%; p=0.688), duration of smoking, comorbid cancer, tuberculosis, bronchiectasis and fungal infection, bronchial artery–pulmonary fistula (BAPF), bronchial artery malformation (BAM), antiplatelet and antithrombotic medication, platelet count (PLT), D-dimer (D-D), international normalised ratio (INR) and fibrinogen (Fib), with no comparison reaching p&lt;0.10 (Table 1). Because the two sets were generated by random splitting rather than by any allocation rule, these p-values describe the partition actually obtained and are not tests of a substantive hypothesis.</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Features with an inter-reader intraclass correlation coefficient (ICC) at or below 0.75 were discarded, and the survivors were further pruned by the maximum-relevance minimum-redundancy (mRMR) algorithm. Approximately 35 features entered the least absolute shrinkage and selection operator (LASSO) step (Figure 2b, upper axis).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Six variables were associated with massive haemoptysis in univariable logistic regression (Table 2, Figure 4a): tuberculosis (OR 4.23, 95% CI 1.43 to 12.51; p=0.009), bronchiectasis (OR 2.36, 95% CI 1.03 to 5.41; p=0.042), BAPF (OR 4.88, 95% CI 1.60 to 14.90; p=0.005), BAM (OR 3.84, 95% CI 1.03 to 14.31; p=0.045),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BAPF, BAM and the Rad-score are wide and their lower bounds lie close to unity, which is consistent with the small number of events available (42 in total, 30 in the training set).</w:t>
      </w:r>
    </w:p>
    <w:p>
      <w:pPr>
        <w:spacing w:line="480" w:lineRule="auto"/>
        <w:ind w:firstLine="720"/>
      </w:pPr>
      <w:r>
        <w:rPr>
          <w:i w:val="0"/>
        </w:rPr>
        <w:t>Before multivariable modelling, BAPF and BAM were combined into a single bronchial artery abnormality variable. Both lesions are abnormalities of the bronchial arterial circulation; their univariable odds ratios were closely similar (4.88 and 3.84) with widely overlapping confidence intervals; and each was individually uncommon (27 and 18 patients respectively), so that combining them increases the number of events supporting the term and narrows its interval.</w:t>
      </w:r>
    </w:p>
    <w:p>
      <w:pPr>
        <w:spacing w:line="480" w:lineRule="auto"/>
        <w:ind w:firstLine="720"/>
      </w:pPr>
      <w:r>
        <w:rPr>
          <w:i w:val="0"/>
        </w:rPr>
        <w:t>The multivariable model therefore comprised tuberculosis, the combined bronchial artery abnormality, fibrinogen and the Rad-score (Table 2, Figure 4b).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spacing w:line="480" w:lineRule="auto"/>
        <w:ind w:firstLine="720"/>
      </w:pPr>
      <w:r>
        <w:rPr>
          <w:i/>
        </w:rPr>
        <w:t>[Adjusted odds ratios for this model are still to be supplied. The four values previously tabulated (tuberculosis 4.96, BAPF 4.09, fibrinogen 0.65, Rad-score 5.21) come from the earlier model in which BAPF entered alone and BAM was dropped, and do not describe the adopted model, so they have been removed rather than carried over. Figure 4b needs redrawing from the same fit. Naming: labelling the merged variable 'BAPF' would confuse it with the original BAPF, so 'bronchial artery abnormality (BAA)', defined as BAPF and/or BAM, is suggested, with a corresponding row added to Table 1. Note that if any patient has both lesions the merged count is smaller than 27 plus 18. The Methods must state the basis for the merge and whether the decision was taken before or after the outcome data were examined, since the merge raised the combined-model AUC from 0.840 to 0.850.]</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Fibrinogen is plotted on a descending scale, so that lower values attract more points, and tuberculosis and the bronchial artery abnormality each contribute a smaller fixed number of points when present.</w:t>
      </w:r>
    </w:p>
    <w:p>
      <w:pPr>
        <w:spacing w:line="480" w:lineRule="auto"/>
        <w:ind w:firstLine="720"/>
      </w:pPr>
      <w:r>
        <w:rPr>
          <w:i/>
        </w:rPr>
        <w:t>[The nomogram needs redrawing and its point allocations are still to be supplied. The current figure comes from the model fitted before the merge: its axis is labelled BAPF rather than the merged variable, and the allocations read from it (Rad-score 0 to 100, fibrinogen 0 to 50, tuberculosis about 21, BAPF about 19, total 0 to 160) do not apply to the adopted model. The paragraph above is therefore limited to the ordering of weights, which is expected to be robust.]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and specificity 0.842 (85/101) at the 0.255 cut-point, giving an accuracy of 0.824 (108/131). In the internal validation cohort the point estimate remained similar but was far less precise: AUC 0.794 (95% CI 0.631 to 0.958) (Table 3, Figure 6). The validation interval spans 0.327 AUC units and its lower bound lies close to the 0.5 no-discrimination line, so the validation result is compatible with performance ranging from marginal to excellent and should not be read as confirmation of the training estimate. [Validation sensitivity, specificity and accuracy at the 0.255 cut-point are still to be supplied from the adopted fit; the previously tabulated 0.667, 0.733 and 0.719 belong to the earlier fit and cannot stand beside an AUC of 0.794.]</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rPr>
        <w:t>[The calibration figure supplied was generated from the earlier model fit. The Somers' Dxy printed on it identifies the run: 0.679 in training equals 2 x 0.840 - 1 and 0.563 in validation equals 2 x 0.781 - 1, matching the superseded AUCs. Under the adopted fit those values become approximately 0.700 and 0.588, and the Brier scores, intercepts, slopes, Emax, E90, Eavg, R-squared and Hosmer-Lemeshow statistics all change with them. The figures below are retained to preserve the wording and must be regenerated before submission. The direction of the finding, overestimation in validation, is expected to persist; the magnitudes are not citable as they stand.]</w:t>
      </w:r>
    </w:p>
    <w:p>
      <w:pPr>
        <w:spacing w:line="480" w:lineRule="auto"/>
        <w:ind w:firstLine="720"/>
      </w:pPr>
      <w:r>
        <w:rPr>
          <w:i w:val="0"/>
        </w:rPr>
        <w:t>In the training set the nomogram showed close agreement between estimated and observed probabilities, with a Brier score of 0.129, Dxy 0.679 and R² 0.364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weaker in the internal validation set (Figure 8b). The Brier score was 0.138, Dxy 0.563 and R² 0.228, and the logistic calibration curve lay below the diagonal across most of its range, with a calibration intercept of −0.688 and a slope of 0.804. This pattern indicates systematic overestimation of the probability of massive haemoptysis, becoming pronounced above an estimated probability of approximately 0.4, where the maximum absolute error reached 0.251 (E90 0.222, average error 0.088). The Hosmer–Lemeshow test detected no significant departure from the fitted model in either set (training χ²=9.11, df=8, p=0.333; validation χ²=10.76, df=8, p=0.216), but with 57 patients and 12 events in the validation set this test has little power, and a non-significant result cannot be taken as evidence of adequate calibration. Recalibration of the intercept would be required before the estimated probabilities could be used as absolute risks outside the development sample.</w:t>
      </w:r>
    </w:p>
    <w:p>
      <w:pPr>
        <w:spacing w:line="480" w:lineRule="auto"/>
        <w:ind w:firstLine="720"/>
      </w:pPr>
      <w:r>
        <w:rPr>
          <w:i/>
        </w:rPr>
        <w:t>[The decision curves were also produced from the earlier fit; the threshold ranges below need re-checking against the adopted fit. The qualitative conclusion is expected to hold.]</w:t>
      </w:r>
    </w:p>
    <w:p>
      <w:pPr>
        <w:spacing w:line="480" w:lineRule="auto"/>
        <w:ind w:firstLine="720"/>
      </w:pPr>
      <w:r>
        <w:rPr>
          <w:i w:val="0"/>
        </w:rPr>
        <w:t>Decision-curve analysis indicated net benefit over the treat-all and treat-none strategies over a clinically usable range of threshold probabilities (Figure 9). In the training set the nomogram was the preferred strategy from approximately 0.05 to 0.70, with net benefit falling to zero or marginally below beyond 0.72. In the internal validation set the advantage held from approximately 0.05 to 0.60, after which net benefit oscillated around zero; few patients received estimated probabilities in that upper range, so the high-threshold portion of the validation curve is unstable. Across the threshold band most relevant to triage at presentation, roughly 0.10 to 0.40, the nomogram retained a positive net benefit in both sets.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 [Panel (b) needs redrawing: the current version comes from the model fitted before BAPF and BAM were merged. Panel (a) stands.]</w:t>
      </w:r>
    </w:p>
    <w:p>
      <w:pPr>
        <w:spacing w:line="480" w:lineRule="auto" w:after="120"/>
        <w:ind w:firstLine="0"/>
      </w:pPr>
      <w:r>
        <w:rPr>
          <w:b/>
        </w:rPr>
        <w:t>Figure 5.</w:t>
      </w:r>
      <w:r>
        <w:t xml:space="preserve"> Nomogram for the individualised probability of massive haemoptysis at presentation, built from tuberculosis, the combined bronchial artery abnormality, fibrinogen and the Rad-score. Fibrinogen is plotted on a descending scale, so lower values attract more points. [Needs redrawing: the current figure is labelled BAPF and its point allocations come from the pre-merge fit.]</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χ²=9.11, df=8, p=0.333; validation χ²=10.76, df=8, p=0.216.</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w:t>
      </w:r>
    </w:p>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RESOLVED, and it explains everything else. The model was refitted with BAM merged into BAPF. That single change accounts for the clinical model moving from 0.769 to 0.796, the combined model from 0.840 to 0.850, the training sensitivity at the 0.255 cut-point moving by one patient, and for the Rad-score-only model staying at exactly 0.761, since it contains no clinical variables. The adopted values are 0.850 and 0.796 in training and 0.794 for the combined model in validation.</w:t>
      </w:r>
    </w:p>
    <w:p>
      <w:pPr>
        <w:spacing w:after="120"/>
        <w:ind w:firstLine="0"/>
      </w:pPr>
      <w:r>
        <w:t>2. Everything derived from the pre-merge fit must be regenerated: the multivariable column of Table 2, Figure 4b, the nomogram in Figure 5 including its axis label and point allocations, the validation row of Table 3, the calibration figure with all of its statistics, and the decision curves. The calibration figure's provenance is provable from the figure itself, since its printed Somers' Dxy of 0.679 and 0.563 correspond exactly to the superseded AUCs.</w:t>
      </w:r>
    </w:p>
    <w:p>
      <w:pPr>
        <w:spacing w:after="120"/>
        <w:ind w:firstLine="0"/>
      </w:pPr>
      <w:r>
        <w:t>3. Unaffected and retained: the univariable column of Table 2 and Figure 4a, the LASSO analysis and the Rad-score itself, Table 4 and Figure 3, the DeLong and NRI/IDI tables, and Figure 7, the last four having been produced from the new fit already.</w:t>
      </w:r>
    </w:p>
    <w:p>
      <w:pPr>
        <w:spacing w:after="120"/>
        <w:ind w:firstLine="0"/>
      </w:pPr>
      <w:r>
        <w:t>4. Table 1 needs a row for the merged variable. If any patient carries both lesions the merged count is smaller than 27 plus 18.</w:t>
      </w:r>
    </w:p>
    <w:p>
      <w:pPr>
        <w:spacing w:after="120"/>
        <w:ind w:firstLine="0"/>
      </w:pPr>
      <w:r>
        <w:t>5. Methods must record the basis for the merge and when the decision was taken. Three defensible grounds are available and are worth stating: the two lesions are both bronchial arterial abnormalities, their univariable odds ratios were close (4.88 and 3.84) with widely overlapping intervals, and each was individually uncommon so that merging stabilises the estimate. None of these substitutes for saying whether the decision preceded or followed inspection of the outcome data, because the merge raised the combined-model AUC.</w:t>
      </w:r>
    </w:p>
    <w:p>
      <w:pPr>
        <w:spacing w:after="120"/>
        <w:ind w:firstLine="0"/>
      </w:pPr>
      <w:r>
        <w:t>6. Table 3, training row. Sensitivity 0.767 (23/30), specificity 0.842 (85/101) and accuracy 0.824 (108/131) were back-calculated from the operating point printed on the new training ROC curve. Please confirm against the analysis output.</w:t>
      </w:r>
    </w:p>
    <w:p>
      <w:pPr>
        <w:spacing w:after="120"/>
        <w:ind w:firstLine="0"/>
      </w:pPr>
      <w:r>
        <w:t>7. RESOLVED. The training Rad-score comparison gives p=1.49 x 10 to the minus 5. The figure and Table 4 currently under-report this as '&lt;0.01' and '&lt;0.05' respectively and should both be corrected.</w:t>
      </w:r>
    </w:p>
    <w:p>
      <w:pPr>
        <w:spacing w:after="120"/>
        <w:ind w:firstLine="0"/>
      </w:pPr>
      <w:r>
        <w:t>8. Model letter reversal. ModA and ModC have swapped meanings between the old and new artwork. The Results text names models descriptively; the Discussion must be checked.</w:t>
      </w:r>
    </w:p>
    <w:p>
      <w:pPr>
        <w:spacing w:after="120"/>
        <w:ind w:firstLine="0"/>
      </w:pPr>
      <w:r>
        <w:t>9. Artwork: delete the 0.447 annotation from the validation ROC panel, and remove the stray zero from the training boxplot x-axis label.</w:t>
      </w:r>
    </w:p>
    <w:p>
      <w:pPr>
        <w:spacing w:after="120"/>
        <w:ind w:firstLine="0"/>
      </w:pPr>
      <w:r>
        <w:t>10. Feature-count cascade and the observed ICC range are still needed; the text says approximately 35 features entered the LASSO step, read from the figure axis.</w:t>
      </w:r>
    </w:p>
    <w:p>
      <w:pPr>
        <w:spacing w:after="120"/>
        <w:ind w:firstLine="0"/>
      </w:pPr>
      <w:r>
        <w:t>11. Bootstrap internal validation with optimism correction would address the events-per-variable ratio of roughly 7.5, and is now more pertinent given that a variable definition was changed during model development.</w:t>
      </w:r>
    </w:p>
    <w:p>
      <w:pPr>
        <w:spacing w:after="120"/>
        <w:ind w:firstLine="0"/>
      </w:pPr>
      <w:r>
        <w:t>12.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