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all recorded baseline variables: age (overall median 61 years, IQR 54 to 70; p=0.222), sex (130/188 male, 69.15%; p=0.709), smoking status (113/188 ever-smokers, 60.11%; p=0.688), duration of smoking, comorbid cancer, tuberculosis, bronchiectasis and fungal infection, bronchial artery–pulmonary fistula (BAPF), bronchial artery malformation (BAM), antiplatelet and antithrombotic medication, platelet count (PLT), D-dimer (D-D), international normalised ratio (INR) and fibrinogen (Fib), with no comparison reaching p&lt;0.10 (Table 1). Because the two sets were generated by random splitting rather than by any allocation rule, these p-values describe the partition actually obtained and are not tests of a substantive hypothesis.</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Features with an inter-reader intraclass correlation coefficient (ICC) at or below 0.75 were discarded, and the survivors were further pruned by the maximum-relevance minimum-redundancy (mRMR) algorithm. Approximately 35 features entered the least absolute shrinkage and selection operator (LASSO) step (Figure 2b, upper axis).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pStyle w:val="Heading2"/>
      </w:pPr>
      <w:r>
        <w:rPr>
          <w:rFonts w:ascii="Times New Roman" w:hAnsi="Times New Roman"/>
        </w:rPr>
        <w:t>Variables associated with massive haemoptysis</w:t>
      </w:r>
    </w:p>
    <w:p>
      <w:pPr>
        <w:spacing w:line="480" w:lineRule="auto"/>
        <w:ind w:firstLine="720"/>
      </w:pPr>
      <w:r>
        <w:rPr>
          <w:i w:val="0"/>
        </w:rPr>
        <w:t>Six variables were associated with massive haemoptysis in univariable logistic regression (Table 2, Figure 3a): tuberculosis (OR 4.23, 95% CI 1.43 to 12.51; p=0.009), bronchiectasis (OR 2.36, 95% CI 1.03 to 5.41; p=0.042), BAPF (OR 4.88, 95% CI 1.60 to 14.90; p=0.005), BAM (OR 3.84, 95% CI 1.03 to 14.31; p=0.045),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BAPF, BAM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3b): tuberculosis (OR 4.96, 95% CI 1.39 to 17.70; p=0.014), BAPF (OR 4.09, 95% CI 1.11 to 15.04; p=0.034), fibrinogen (OR 0.65, 95% CI 0.45 to 0.95; p=0.026) and the Rad-score (OR 5.21, 95% CI 1.70 to 15.94; p=0.004). Bronchiectasis and BAM did not retain independent associations. Higher fibrinogen was associated with a lower probability of massive presentation. With 30 events and four retained predictors, the multivariable model operates at roughly 7.5 events per variable, below the conventional threshold of ten, so the adjusted point estimates should be read as provisional.</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4). The Rad-score carries the largest weight, spanning the full 0 to 100 point range across its observed interval of −4 to 0.5. Fibrinogen contributes up to approximately 50 points on an inverted scale, so that lower values attract more points. Tuberculosis and BAPF contribute approximately 21 and 19 points respectively when present. Total scores range from 0 to 160, and the diagnostic probability scale becomes informative above a total of roughly 80 points.</w:t>
      </w:r>
    </w:p>
    <w:p>
      <w:pPr>
        <w:spacing w:line="480" w:lineRule="auto"/>
        <w:ind w:firstLine="720"/>
      </w:pPr>
      <w:r>
        <w:rPr>
          <w:i w:val="0"/>
        </w:rPr>
        <w:t>Discrimination was good in the training set, with an area under the receiver operating characteristic curve (AUC) of 0.840 (95% CI 0.764 to 0.915), accuracy 0.817 (107/131), sensitivity 0.733 (22/30) and specificity 0.842 (85/101). In the internal validation set the point estimate remained similar but the estimate was far less precise: AUC 0.781 (95% CI 0.614 to 0.949), accuracy 0.719 (41/57), sensitivity 0.667 (8/12) and specificity 0.733 (33/45) (Table 3, Figure 5). The validation interval spans 0.335 AUC units and its lower bound approaches the 0.5 no-discrimination line, so the validation result is compatible with performance ranging from marginal to excellent and should not be read as confirmation of the training estimate.</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in the training set (Figure 6). Model A, the Rad-score alone, achieved an AUC of 0.761 (95% CI 0.672 to 0.850). Model B, the clinical model combining tuberculosis, BAPF and fibrinogen, achieved 0.769 (95% CI 0.663 to 0.876). Model C, the combined clinical–radiomic nomogram, achieved the numerically highest value at 0.840 (95% CI 0.764 to 0.915). The three confidence intervals overlap substantially, and no formal comparison of correlated ROC curves (DeLong test) or reclassification analysis (NRI, IDI) was performed. The apparent gain from combining the clinical and radiomic components is therefore suggestive rather than established. Single-variable ROC analyses for each candidate predictor are shown for reference in Figure 7, where the combined nomogram curve lies outside every individual predictor curve across most of the operating range and the Rad-score is the strongest single contributor.</w:t>
      </w:r>
    </w:p>
    <w:p>
      <w:pPr>
        <w:pStyle w:val="Heading2"/>
      </w:pPr>
      <w:r>
        <w:rPr>
          <w:rFonts w:ascii="Times New Roman" w:hAnsi="Times New Roman"/>
        </w:rPr>
        <w:t>Calibration and clinical utility</w:t>
      </w:r>
    </w:p>
    <w:p>
      <w:pPr>
        <w:spacing w:line="480" w:lineRule="auto"/>
        <w:ind w:firstLine="720"/>
      </w:pPr>
      <w:r>
        <w:rPr>
          <w:i w:val="0"/>
        </w:rPr>
        <w:t>In the training set the nomogram showed close agreement between estimated and observed probabilities, with a Brier score of 0.129, Dxy 0.679 and R² 0.364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weaker in the internal validation set (Figure 8b). The Brier score was 0.138, Dxy 0.563 and R² 0.228, and the logistic calibration curve lay below the diagonal across most of its range, with a calibration intercept of −0.688 and a slope of 0.804. This pattern indicates systematic overestimation of the probability of massive haemoptysis, becoming pronounced above an estimated probability of approximately 0.4, where the maximum absolute error reached 0.251 (E90 0.222, average error 0.088). The Hosmer–Lemeshow test detected no significant departure from the fitted model in either set (training χ²=9.11, df=8, p=0.333; validation χ²=10.76, df=8, p=0.216), but with 57 patients and 12 events in the validation set this test has little power, and a non-significant result cannot be taken as evidence of adequate calibration. Recalibration of the intercept would be required before the estimated probabilities could be used as absolute risks outside the development sample.</w:t>
      </w:r>
    </w:p>
    <w:p>
      <w:pPr>
        <w:spacing w:line="480" w:lineRule="auto"/>
        <w:ind w:firstLine="720"/>
      </w:pPr>
      <w:r>
        <w:rPr>
          <w:i w:val="0"/>
        </w:rPr>
        <w:t>Decision-curve analysis indicated net benefit over the treat-all and treat-none strategies over a clinically usable range of threshold probabilities (Figure 9). In the training set the nomogram was the preferred strategy from approximately 0.05 to 0.70, with net benefit falling to zero or marginally below beyond 0.72. In the internal validation set the advantage held from approximately 0.05 to 0.60, after which net benefit oscillated around zero; few patients received estimated probabilities in that upper range, so the high-threshold portion of the validation curve is unstable. Across the threshold band most relevant to triage at presentation, roughly 0.10 to 0.40, the nomogram retained a positive net benefit in both sets.</w:t>
      </w:r>
    </w:p>
    <w:p>
      <w:r>
        <w:br w:type="page"/>
      </w:r>
    </w:p>
    <w:p>
      <w:pPr>
        <w:pStyle w:val="Heading1"/>
      </w:pPr>
      <w:r>
        <w:rPr>
          <w:rFonts w:ascii="Times New Roman" w:hAnsi="Times New Roman"/>
        </w:rPr>
        <w:t>Figure legends</w:t>
      </w:r>
    </w:p>
    <w:p>
      <w:pPr>
        <w:ind w:firstLine="0"/>
      </w:pPr>
      <w:r>
        <w:rPr>
          <w:i/>
        </w:rPr>
        <w:t>Figures have been renumbered to follow order of first citation. New Figure 6 = old Figure 9; new Figure 7 = old Figure 8; new Figure 8 = old Figure 6; new Figure 9 = old Figure 7. Figures 1 to 5 are unchanged. Update cross-references elsewhere in the manuscript.</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w:t>
      </w:r>
    </w:p>
    <w:p>
      <w:pPr>
        <w:spacing w:line="480" w:lineRule="auto" w:after="120"/>
        <w:ind w:firstLine="0"/>
      </w:pPr>
      <w:r>
        <w:rPr>
          <w:b/>
        </w:rPr>
        <w:t>Figure 4.</w:t>
      </w:r>
      <w:r>
        <w:t xml:space="preserve"> Nomogram for the individualised probability of massive haemoptysis at presentation, built from tuberculosis, BAPF, fibrinogen and the Rad-score. Fibrinogen is plotted on a descending scale, so lower values attract more points.</w:t>
      </w:r>
    </w:p>
    <w:p>
      <w:pPr>
        <w:spacing w:line="480" w:lineRule="auto" w:after="120"/>
        <w:ind w:firstLine="0"/>
      </w:pPr>
      <w:r>
        <w:rPr>
          <w:b/>
        </w:rPr>
        <w:t>Figure 5.</w:t>
      </w:r>
      <w:r>
        <w:t xml:space="preserve"> ROC curves of the clinical–radiomic nomogram in (a) the training cohort and (b) the internal validation cohort.</w:t>
      </w:r>
    </w:p>
    <w:p>
      <w:pPr>
        <w:spacing w:line="480" w:lineRule="auto" w:after="120"/>
        <w:ind w:firstLine="0"/>
      </w:pPr>
      <w:r>
        <w:rPr>
          <w:b/>
        </w:rPr>
        <w:t>Figure 6.</w:t>
      </w:r>
      <w:r>
        <w:t xml:space="preserve"> Comparison of ROC curves for three models in the training cohort. Model A, Rad-score alone; Model B, clinical model (tuberculosis, BAPF and fibrinogen); Model C, combined clinical–radiomic nomogram. Confidence intervals overlap and no formal test of curve difference was performed.</w:t>
      </w:r>
    </w:p>
    <w:p>
      <w:pPr>
        <w:spacing w:line="480" w:lineRule="auto" w:after="120"/>
        <w:ind w:firstLine="0"/>
      </w:pPr>
      <w:r>
        <w:rPr>
          <w:b/>
        </w:rPr>
        <w:t>Figure 7.</w:t>
      </w:r>
      <w:r>
        <w:t xml:space="preserve"> ROC curves for each individual candidate predictor and for the combined nomogram (Nomo) in the training cohort. TB and BAPF are binary variables, so their curves consist of two linear segments.</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χ²=9.11, df=8, p=0.333; validation χ²=10.76, df=8, p=0.216.</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w:t>
      </w:r>
    </w:p>
    <w:p/>
    <w:p>
      <w:pPr>
        <w:spacing w:line="480" w:lineRule="auto" w:after="120"/>
        <w:ind w:firstLine="0"/>
      </w:pPr>
      <w:r>
        <w:rPr>
          <w:b/>
        </w:rPr>
        <w:t>Table 3 footnote (suggested addition).</w:t>
      </w:r>
      <w:r>
        <w:t xml:space="preserve"> Accuracy, sensitivity and specificity were derived at a single cut-point of estimated probability; the cut-point and its derivation (for example the Youden index in the training cohort) should be stated and the same value applied to the validation cohort.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