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Results</w:t>
      </w:r>
    </w:p>
    <w:p>
      <w:pPr>
        <w:pStyle w:val="Heading2"/>
      </w:pPr>
      <w:r>
        <w:rPr>
          <w:rFonts w:ascii="Times New Roman" w:hAnsi="Times New Roman"/>
        </w:rPr>
        <w:t>Patient characteristics</w:t>
      </w:r>
    </w:p>
    <w:p>
      <w:pPr>
        <w:spacing w:line="480" w:lineRule="auto"/>
        <w:ind w:firstLine="720"/>
      </w:pPr>
      <w:r>
        <w:rPr>
          <w:i w:val="0"/>
        </w:rPr>
        <w:t>Between 1 January 2021 and 30 June 2025, 188 consecutive patients admitted with haemoptysis met the eligibility criteria and were retrospectively enrolled. The cohort was then split at random in a 7:3 ratio into a training set (n=131) and an internal validation set (n=57). Figure 1 summarises screening, grouping, and the imaging and modelling workflow. Forty-two patients (22.34%) presented with massive haemoptysis and formed the case group; the remaining 146 (77.66%) had mild-to-moderate haemoptysis and formed the control group. Cases accounted for 30 of 131 patients (22.90%) in the training set and 12 of 57 (21.05%) in the validation set (p=0.929).</w:t>
      </w:r>
    </w:p>
    <w:p>
      <w:pPr>
        <w:spacing w:line="480" w:lineRule="auto"/>
        <w:ind w:firstLine="720"/>
      </w:pPr>
      <w:r>
        <w:rPr>
          <w:i w:val="0"/>
        </w:rPr>
        <w:t>The realised partition was similar across all recorded baseline variables: age (overall median 61 years, IQR 54 to 70; p=0.222), sex (130/188 male, 69.15%; p=0.709), smoking status (113/188 ever-smokers, 60.11%; p=0.688), duration of smoking, comorbid cancer, tuberculosis, bronchiectasis and fungal infection, bronchial artery–pulmonary fistula (BAPF), bronchial artery malformation (BAM), antiplatelet and antithrombotic medication, platelet count (PLT), D-dimer (D-D), international normalised ratio (INR) and fibrinogen (Fib), with no comparison reaching p&lt;0.10 (Table 1). Because the two sets were generated by random splitting rather than by any allocation rule, these p-values describe the partition actually obtained and are not tests of a substantive hypothesis.</w:t>
      </w:r>
    </w:p>
    <w:p>
      <w:pPr>
        <w:pStyle w:val="Heading2"/>
      </w:pPr>
      <w:r>
        <w:rPr>
          <w:rFonts w:ascii="Times New Roman" w:hAnsi="Times New Roman"/>
        </w:rPr>
        <w:t>Radiomic feature selection and construction of the Rad-score</w:t>
      </w:r>
    </w:p>
    <w:p>
      <w:pPr>
        <w:spacing w:line="480" w:lineRule="auto"/>
        <w:ind w:firstLine="720"/>
      </w:pPr>
      <w:r>
        <w:rPr>
          <w:i w:val="0"/>
        </w:rPr>
        <w:t>Two thoracic radiologists independently delineated three-dimensional regions of interest on each baseline contrast-enhanced chest CT volume in 3D Slicer v5.3.0. Images were resampled to 0.5 × 0.5 × 0.5 mm, filtered (Laplacian of Gaussian and wavelet) and normalised before extraction of shape, first-order and texture descriptors (GLCM, GLRLM, GLSZM, NGTDM and GLDM). Every selection step was performed within the training set alone, so that no information from the validation set entered feature reduction or coefficient estimation.</w:t>
      </w:r>
    </w:p>
    <w:p>
      <w:pPr>
        <w:spacing w:line="480" w:lineRule="auto"/>
        <w:ind w:firstLine="720"/>
      </w:pPr>
      <w:r>
        <w:rPr>
          <w:i w:val="0"/>
        </w:rPr>
        <w:t>Features with an inter-reader intraclass correlation coefficient (ICC) at or below 0.75 were discarded, and the survivors were further pruned by the maximum-relevance minimum-redundancy (mRMR) algorithm. Approximately 35 features entered the least absolute shrinkage and selection operator (LASSO) step (Figure 2b, upper axis). Ten-fold cross-validation minimised the binomial deviance at log(λ)=−3.3748, and this value was adopted for the final signature; the more parsimonious one-standard-error solution (log(λ)=−2.2584) retained only two features and was not used (Figure 2a and 2b).</w:t>
      </w:r>
    </w:p>
    <w:p>
      <w:pPr>
        <w:spacing w:line="480" w:lineRule="auto"/>
        <w:ind w:firstLine="720"/>
      </w:pPr>
      <w:r>
        <w:rPr>
          <w:i w:val="0"/>
        </w:rPr>
        <w:t>Six features survived at the selected λ (Figure 2c). Four carried positive weights: RunVariance.11 (β=0.306), Idn.6 (β=0.271), Imc1.9 (β=0.198) and MCC.7 (β=0.055). One carried a negative weight, SmallAreaEmphasis.8 (β=−0.173). The remaining term, ZoneVariance.2, was retained with a coefficient of 0.002 and therefore contributes negligibly to the score. The signature is dominated by run-length, co-occurrence and size-zone texture descriptors rather than by shape or first-order intensity, indicating that intralesional heterogeneity rather than lesion size drives the radiomic signal. The Rad-score, defined as the linear combination of these six features weighted by their LASSO coefficients, was computed for every patient in both sets using the training-derived coefficients and was carried forward as a single composite predictor.</w:t>
      </w:r>
    </w:p>
    <w:p>
      <w:pPr>
        <w:spacing w:line="480" w:lineRule="auto"/>
        <w:ind w:firstLine="720"/>
      </w:pPr>
      <w:r>
        <w:rPr>
          <w:i w:val="0"/>
        </w:rPr>
        <w:t>The Rad-score was higher in patients presenting with massive haemoptysis than in those with mild-to-moderate haemoptysis in the training cohort (median −1.043, IQR −1.189 to −0.706, n=30 versus median −1.361, IQR −1.640 to −1.062, n=101; Mann–Whitney U, p=1.49 × 10⁻⁵). The difference ran in the same direction in the internal validation cohort (median −1.029, IQR −1.275 to −0.596, n=12 versus median −1.189, IQR −1.523 to −0.954, n=45) but did not reach statistical significance (p=0.122). With 12 cases available for that comparison, this is an indeterminate rather than a negative result (Figure 3, Table 4).</w:t>
      </w:r>
    </w:p>
    <w:p>
      <w:pPr>
        <w:pStyle w:val="Heading2"/>
      </w:pPr>
      <w:r>
        <w:rPr>
          <w:rFonts w:ascii="Times New Roman" w:hAnsi="Times New Roman"/>
        </w:rPr>
        <w:t>Variables associated with massive haemoptysis</w:t>
      </w:r>
    </w:p>
    <w:p>
      <w:pPr>
        <w:spacing w:line="480" w:lineRule="auto"/>
        <w:ind w:firstLine="720"/>
      </w:pPr>
      <w:r>
        <w:rPr>
          <w:i w:val="0"/>
        </w:rPr>
        <w:t>Six variables were associated with massive haemoptysis in univariable logistic regression (Table 2, Figure 4a): tuberculosis (OR 4.23, 95% CI 1.43 to 12.51; p=0.009), bronchiectasis (OR 2.36, 95% CI 1.03 to 5.41; p=0.042), BAPF (OR 4.88, 95% CI 1.60 to 14.90; p=0.005), BAM (OR 3.84, 95% CI 1.03 to 14.31; p=0.045), fibrinogen (OR 0.57, 95% CI 0.39 to 0.83; p=0.004) and the Rad-score (OR 7.96, 95% CI 2.75 to 23.11; p&lt;0.001). Age, sex, smoking status, duration of smoking, malignancy, fungal infection, antiplatelet and antithrombotic use, PLT, D-D and INR showed no association (all p&gt;0.20). The confidence intervals for tuberculosis, BAPF, BAM and the Rad-score are wide and their lower bounds lie close to unity, which is consistent with the small number of events available (42 in total, 30 in the training set).</w:t>
      </w:r>
    </w:p>
    <w:p>
      <w:pPr>
        <w:spacing w:line="480" w:lineRule="auto"/>
        <w:ind w:firstLine="720"/>
      </w:pPr>
      <w:r>
        <w:rPr>
          <w:i w:val="0"/>
        </w:rPr>
        <w:t>Four variables remained independently associated with massive haemoptysis after mutual adjustment (Table 2, Figure 4b): tuberculosis (OR 4.96, 95% CI 1.39 to 17.70; p=0.014), BAPF (OR 4.09, 95% CI 1.11 to 15.04; p=0.034), fibrinogen (OR 0.65, 95% CI 0.45 to 0.95; p=0.026) and the Rad-score (OR 5.21, 95% CI 1.70 to 15.94; p=0.004). Bronchiectasis and BAM did not retain independent associations. Higher fibrinogen was associated with a lower probability of massive presentation. With 30 events and four retained predictors, the multivariable model operates at roughly 7.5 events per variable, below the conventional threshold of ten, so the adjusted point estimates should be read as provisional.</w:t>
      </w:r>
    </w:p>
    <w:p>
      <w:pPr>
        <w:pStyle w:val="Heading2"/>
      </w:pPr>
      <w:r>
        <w:rPr>
          <w:rFonts w:ascii="Times New Roman" w:hAnsi="Times New Roman"/>
        </w:rPr>
        <w:t>Nomogram development and discrimination</w:t>
      </w:r>
    </w:p>
    <w:p>
      <w:pPr>
        <w:spacing w:line="480" w:lineRule="auto"/>
        <w:ind w:firstLine="720"/>
      </w:pPr>
      <w:r>
        <w:rPr>
          <w:i w:val="0"/>
        </w:rPr>
        <w:t>A clinical–radiomic nomogram was constructed from the four independent variables, converting each into a partial point score and mapping the total to an individualised probability of massive haemoptysis at presentation (Figure 5). The Rad-score carries the largest weight, spanning the full 0 to 100 point range across its observed interval of −4 to 0.5. Fibrinogen contributes up to approximately 50 points on an inverted scale, so that lower values attract more points. Tuberculosis and BAPF contribute approximately 21 and 19 points respectively when present. Total scores range from 0 to 160, and the diagnostic probability scale becomes informative above a total of roughly 80 points.</w:t>
      </w:r>
    </w:p>
    <w:p>
      <w:pPr>
        <w:spacing w:line="480" w:lineRule="auto"/>
        <w:ind w:firstLine="720"/>
      </w:pPr>
      <w:r>
        <w:rPr>
          <w:i w:val="0"/>
        </w:rPr>
        <w:t>A single classification cut-point of 0.255 in estimated probability was derived from the maximum Youden index of the training-set ROC curve. This cut-point was then applied unchanged to the internal validation set; no cut-point was re-optimised in the validation data.</w:t>
      </w:r>
    </w:p>
    <w:p>
      <w:pPr>
        <w:spacing w:line="480" w:lineRule="auto"/>
        <w:ind w:firstLine="720"/>
      </w:pPr>
      <w:r>
        <w:rPr>
          <w:i w:val="0"/>
        </w:rPr>
        <w:t>Discrimination was good in the training cohort, with an area under the receiver operating characteristic curve (AUC) of 0.850 (95% CI 0.775 to 0.925), sensitivity 0.767 (23/30) and specificity 0.842 (85/101) at the 0.255 cut-point, giving an accuracy of 0.824 (108/131). In the internal validation cohort the point estimate remained similar but was far less precise: AUC 0.794 (95% CI 0.631 to 0.958) (Table 3, Figure 6). The validation interval spans 0.327 AUC units and its lower bound lies close to the 0.5 no-discrimination line, so the validation result is compatible with performance ranging from marginal to excellent and should not be read as confirmation of the training estimate. [Validation sensitivity, specificity and accuracy at the 0.255 cut-point are still to be supplied from the adopted fit; the previously tabulated 0.667, 0.733 and 0.719 belong to the earlier fit and cannot stand beside an AUC of 0.794.]</w:t>
      </w:r>
    </w:p>
    <w:p>
      <w:pPr>
        <w:spacing w:line="480" w:lineRule="auto"/>
        <w:ind w:firstLine="720"/>
      </w:pPr>
      <w:r>
        <w:rPr>
          <w:i w:val="0"/>
        </w:rPr>
        <w:t>An unpaired DeLong test comparing the two cohorts did not detect a difference between the training and validation AUCs (D=0.604, df=80.7, p=0.547). Two features of this comparison limit what it establishes. The training AUC is an apparent estimate obtained on the data used to fit the model and is therefore optimistically biased, whereas the validation AUC is not, so the two quantities are not exchangeable. The validation set also contains only 12 events, which leaves the test with little power to detect a drop in discrimination. The result therefore indicates that the available data do not detect deterioration between cohorts, not that discrimination has been shown to be stable. This comparison is also distinct from the between-model comparisons reported in the next section, and the two cannot substitute for one another.</w:t>
      </w:r>
    </w:p>
    <w:p>
      <w:pPr>
        <w:pStyle w:val="Heading2"/>
      </w:pPr>
      <w:r>
        <w:rPr>
          <w:rFonts w:ascii="Times New Roman" w:hAnsi="Times New Roman"/>
        </w:rPr>
        <w:t>Incremental value of the radiomic and clinical components</w:t>
      </w:r>
    </w:p>
    <w:p>
      <w:pPr>
        <w:spacing w:line="480" w:lineRule="auto"/>
        <w:ind w:firstLine="720"/>
      </w:pPr>
      <w:r>
        <w:rPr>
          <w:i w:val="0"/>
        </w:rPr>
        <w:t>Three models were compared within each cohort: the Rad-score alone, the clinical model combining tuberculosis, BAPF and fibrinogen, and the combined clinical–radiomic nomogram (Figure 7c and 7d, Table 5). In the training cohort the combined model reached an AUC of 0.850 (95% CI 0.775 to 0.925), against 0.796 (95% CI 0.693 to 0.898) for the clinical model and 0.761 (95% CI 0.672 to 0.850) for the Rad-score alone. The corresponding validation figures were 0.794 (95% CI 0.631 to 0.958), 0.744 (95% CI 0.555 to 0.934) and 0.647 (95% CI 0.456 to 0.839).</w:t>
      </w:r>
    </w:p>
    <w:p>
      <w:pPr>
        <w:spacing w:line="480" w:lineRule="auto"/>
        <w:ind w:firstLine="720"/>
      </w:pPr>
      <w:r>
        <w:rPr>
          <w:i w:val="0"/>
        </w:rPr>
        <w:t>Paired DeLong tests gave a mixed picture. In the training cohort the combined model outperformed the Rad-score alone (ΔAUC 0.089; Z=2.058, p=0.040), but its advantage over the clinical model did not reach significance (ΔAUC 0.054; Z=1.841, p=0.066), and the Rad-score and clinical models did not differ from one another (Z=−0.514, p=0.608). Three pairwise comparisons were made in each cohort, so the nominal p of 0.040 does not survive a Bonferroni-corrected threshold of 0.0167. None of the three comparisons reached significance in the internal validation cohort (p=0.170, 0.333 and 0.506 respectively).</w:t>
      </w:r>
    </w:p>
    <w:p>
      <w:pPr>
        <w:spacing w:line="480" w:lineRule="auto"/>
        <w:ind w:firstLine="720"/>
      </w:pPr>
      <w:r>
        <w:rPr>
          <w:i w:val="0"/>
        </w:rPr>
        <w:t>Reclassification metrics were more favourable to the combined model than the change in AUC was. Adding the Rad-score to the clinical model yielded a continuous net reclassification improvement of 0.428 (95% CI 0.029 to 0.827; p=0.036) and an integrated discrimination improvement of 0.062 (95% CI 0.013 to 0.111; p=0.013) in the training cohort (Table 6). Neither reached significance in validation (NRI 0.544, 95% CI −0.076 to 1.165, p=0.085; IDI 0.064, 95% CI −0.044 to 0.171, p=0.245). Continuous NRI is known to reject the null more often than its nominal level implies, and the lower bound of the training estimate lies only just above zero, so it carries less weight than the IDI result.</w:t>
      </w:r>
    </w:p>
    <w:p>
      <w:pPr>
        <w:spacing w:line="480" w:lineRule="auto"/>
        <w:ind w:firstLine="720"/>
      </w:pPr>
      <w:r>
        <w:rPr>
          <w:i w:val="0"/>
        </w:rPr>
        <w:t>Taken together, the incremental value of the radiomic component over clinical variables alone is supported by the reclassification metrics in the training cohort, is not supported by the change in AUC in that cohort, and is not confirmed by either metric in the internal validation cohort, where 12 events leave every comparison underpowered. Single-variable ROC curves are shown in Figure 7a and 7b. The combined nomogram lies outside every individual predictor across most of the operating range in the training cohort, whereas in validation the fibrinogen curve falls below the diagonal over much of its range, indicating that this variable alone carries little discriminative information in that sample.</w:t>
      </w:r>
    </w:p>
    <w:p>
      <w:pPr>
        <w:pStyle w:val="Heading2"/>
      </w:pPr>
      <w:r>
        <w:rPr>
          <w:rFonts w:ascii="Times New Roman" w:hAnsi="Times New Roman"/>
        </w:rPr>
        <w:t>Calibration and clinical utility</w:t>
      </w:r>
    </w:p>
    <w:p>
      <w:pPr>
        <w:spacing w:line="480" w:lineRule="auto"/>
        <w:ind w:firstLine="720"/>
      </w:pPr>
      <w:r>
        <w:rPr>
          <w:i/>
        </w:rPr>
        <w:t>[The calibration figure supplied was generated from the earlier model fit. The Somers' Dxy printed on it identifies the run: 0.679 in training equals 2 x 0.840 - 1 and 0.563 in validation equals 2 x 0.781 - 1, matching the superseded AUCs. Under the adopted fit those values become approximately 0.700 and 0.588, and the Brier scores, intercepts, slopes, Emax, E90, Eavg, R-squared and Hosmer-Lemeshow statistics all change with them. The figures below are retained to preserve the wording and must be regenerated before submission. The direction of the finding, overestimation in validation, is expected to persist; the magnitudes are not citable as they stand.]</w:t>
      </w:r>
    </w:p>
    <w:p>
      <w:pPr>
        <w:spacing w:line="480" w:lineRule="auto"/>
        <w:ind w:firstLine="720"/>
      </w:pPr>
      <w:r>
        <w:rPr>
          <w:i w:val="0"/>
        </w:rPr>
        <w:t>In the training set the nomogram showed close agreement between estimated and observed probabilities, with a Brier score of 0.129, Dxy 0.679 and R² 0.364 (Figure 8a). The calibration intercept of 0.000 and slope of 1.000 are apparent values obtained on the data used to fit the model; no bootstrap optimism correction was applied, so they quantify fit rather than transportability.</w:t>
      </w:r>
    </w:p>
    <w:p>
      <w:pPr>
        <w:spacing w:line="480" w:lineRule="auto"/>
        <w:ind w:firstLine="720"/>
      </w:pPr>
      <w:r>
        <w:rPr>
          <w:i w:val="0"/>
        </w:rPr>
        <w:t>Calibration was weaker in the internal validation set (Figure 8b). The Brier score was 0.138, Dxy 0.563 and R² 0.228, and the logistic calibration curve lay below the diagonal across most of its range, with a calibration intercept of −0.688 and a slope of 0.804. This pattern indicates systematic overestimation of the probability of massive haemoptysis, becoming pronounced above an estimated probability of approximately 0.4, where the maximum absolute error reached 0.251 (E90 0.222, average error 0.088). The Hosmer–Lemeshow test detected no significant departure from the fitted model in either set (training χ²=9.11, df=8, p=0.333; validation χ²=10.76, df=8, p=0.216), but with 57 patients and 12 events in the validation set this test has little power, and a non-significant result cannot be taken as evidence of adequate calibration. Recalibration of the intercept would be required before the estimated probabilities could be used as absolute risks outside the development sample.</w:t>
      </w:r>
    </w:p>
    <w:p>
      <w:pPr>
        <w:spacing w:line="480" w:lineRule="auto"/>
        <w:ind w:firstLine="720"/>
      </w:pPr>
      <w:r>
        <w:rPr>
          <w:i/>
        </w:rPr>
        <w:t>[The decision curves were also produced from the earlier fit; the threshold ranges below need re-checking against the adopted fit. The qualitative conclusion is expected to hold.]</w:t>
      </w:r>
    </w:p>
    <w:p>
      <w:pPr>
        <w:spacing w:line="480" w:lineRule="auto"/>
        <w:ind w:firstLine="720"/>
      </w:pPr>
      <w:r>
        <w:rPr>
          <w:i w:val="0"/>
        </w:rPr>
        <w:t>Decision-curve analysis indicated net benefit over the treat-all and treat-none strategies over a clinically usable range of threshold probabilities (Figure 9). In the training set the nomogram was the preferred strategy from approximately 0.05 to 0.70, with net benefit falling to zero or marginally below beyond 0.72. In the internal validation set the advantage held from approximately 0.05 to 0.60, after which net benefit oscillated around zero; few patients received estimated probabilities in that upper range, so the high-threshold portion of the validation curve is unstable. Across the threshold band most relevant to triage at presentation, roughly 0.10 to 0.40, the nomogram retained a positive net benefit in both sets.</w:t>
      </w:r>
    </w:p>
    <w:p>
      <w:r>
        <w:br w:type="page"/>
      </w:r>
    </w:p>
    <w:p>
      <w:pPr>
        <w:pStyle w:val="Heading1"/>
      </w:pPr>
      <w:r>
        <w:rPr>
          <w:rFonts w:ascii="Times New Roman" w:hAnsi="Times New Roman"/>
        </w:rPr>
        <w:t>Figure legends</w:t>
      </w:r>
    </w:p>
    <w:p>
      <w:pPr>
        <w:ind w:firstLine="0"/>
      </w:pPr>
      <w:r>
        <w:t>Figures have been renumbered to follow order of first citation and to accommodate the new Rad-score distribution figure (Figure 3) and the new four-panel ROC figure (Figure 7, which replaces the previous Figures 8 and 9 and adds validation panels). Mapping: new Figure 4 = old Figure 3; new Figure 5 = old Figure 4; new Figure 6 = old Figure 5; new Figure 8 = old Figure 6; new Figure 9 = old Figure 7. Figures 1 and 2 are unchanged. Nine main-text figures, each covering both cohorts; no supplementary figure is needed. Update cross-references elsewhere in the manuscript, in particular any reference to the Model A / B / C letters, whose meanings are reversed between the old and new artwork.</w:t>
      </w:r>
    </w:p>
    <w:p>
      <w:pPr>
        <w:spacing w:line="480" w:lineRule="auto" w:after="120"/>
        <w:ind w:firstLine="0"/>
      </w:pPr>
      <w:r>
        <w:rPr>
          <w:b/>
        </w:rPr>
        <w:t>Figure 1.</w:t>
      </w:r>
      <w:r>
        <w:t xml:space="preserve"> Flowchart of patient screening, grouping, and the imaging and modelling workflow. All feature-selection steps were performed within the training cohort only. BAPF, bronchial artery–pulmonary fistula; BAM, bronchial artery malformation; ICC, intraclass correlation coefficient; mRMR, maximum relevance minimum redundancy; LASSO, least absolute shrinkage and selection operator; GLCM, grey-level co-occurrence matrix; GLRLM, grey-level run-length matrix; GLSZM, grey-level size-zone matrix; NGTDM, neighbouring grey-tone difference matrix; GLDM, grey-level dependence matrix; ROI, region of interest; ROC, receiver operating characteristic; DCA, decision-curve analysis.</w:t>
      </w:r>
    </w:p>
    <w:p>
      <w:pPr>
        <w:spacing w:line="480" w:lineRule="auto" w:after="120"/>
        <w:ind w:firstLine="0"/>
      </w:pPr>
      <w:r>
        <w:rPr>
          <w:b/>
        </w:rPr>
        <w:t>Figure 2.</w:t>
      </w:r>
      <w:r>
        <w:t xml:space="preserve"> Radiomic feature selection by LASSO logistic regression in the training cohort. (a) LASSO coefficient profiles against log(λ). (b) Ten-fold cross-validation curve of binomial deviance; the green dashed line marks log(λ.min)=−3.3748, which was adopted, and the blue dashed line marks log(λ.1se)=−2.2584. (c) The six retained features and their coefficients.</w:t>
      </w:r>
    </w:p>
    <w:p>
      <w:pPr>
        <w:spacing w:line="480" w:lineRule="auto" w:after="120"/>
        <w:ind w:firstLine="0"/>
      </w:pPr>
      <w:r>
        <w:rPr>
          <w:b/>
        </w:rPr>
        <w:t>Figure 3. [NEW]</w:t>
      </w:r>
      <w:r>
        <w:t xml:space="preserve"> Distribution of the Rad-score by presentation group in (a) the training cohort and (b) the internal validation cohort. Boxes show the median and interquartile range, whiskers extend to 1.5 times the interquartile range, and individual patients are overlaid. Groups were compared by the Mann–Whitney U test. [Artwork note: the panel order has been corrected. Two items remain: the training panel prints the p-value as '&lt;0.01' while Table 4 gives '&lt;0.05', so state the exact p and make the figure, the table and the text agree; and the training panel x-axis label still reads 'No massive hemoptysis0' with a stray zero.]</w:t>
      </w:r>
    </w:p>
    <w:p>
      <w:pPr>
        <w:spacing w:line="480" w:lineRule="auto" w:after="120"/>
        <w:ind w:firstLine="0"/>
      </w:pPr>
      <w:r>
        <w:rPr>
          <w:b/>
        </w:rPr>
        <w:t>Figure 4.</w:t>
      </w:r>
      <w:r>
        <w:t xml:space="preserve"> Forest plots of (a) univariable and (b) multivariable logistic regression for massive haemoptysis in the training cohort. Squares denote odds-ratio point estimates and horizontal lines the 95% confidence intervals. Arrowheads in (a) indicate intervals extending beyond the plotted axis.</w:t>
      </w:r>
    </w:p>
    <w:p>
      <w:pPr>
        <w:spacing w:line="480" w:lineRule="auto" w:after="120"/>
        <w:ind w:firstLine="0"/>
      </w:pPr>
      <w:r>
        <w:rPr>
          <w:b/>
        </w:rPr>
        <w:t>Figure 5.</w:t>
      </w:r>
      <w:r>
        <w:t xml:space="preserve"> Nomogram for the individualised probability of massive haemoptysis at presentation, built from tuberculosis, BAPF, fibrinogen and the Rad-score. Fibrinogen is plotted on a descending scale, so lower values attract more points.</w:t>
      </w:r>
    </w:p>
    <w:p>
      <w:pPr>
        <w:spacing w:line="480" w:lineRule="auto" w:after="120"/>
        <w:ind w:firstLine="0"/>
      </w:pPr>
      <w:r>
        <w:rPr>
          <w:b/>
        </w:rPr>
        <w:t>Figure 6.</w:t>
      </w:r>
      <w:r>
        <w:t xml:space="preserve"> ROC curves of the clinical–radiomic nomogram in (a) the training cohort and (b) the internal validation cohort. The classification cut-point of 0.255 was derived from the maximum Youden index in the training cohort and applied unchanged to the validation cohort. [Artwork note: delete the 0.447 annotation from the validation panel. That value is the cut-point optimised within the validation set itself, and leaving it on the figure will be read as re-optimisation in the validation data.]</w:t>
      </w:r>
    </w:p>
    <w:p>
      <w:pPr>
        <w:spacing w:line="480" w:lineRule="auto" w:after="120"/>
        <w:ind w:firstLine="0"/>
      </w:pPr>
      <w:r>
        <w:rPr>
          <w:b/>
        </w:rPr>
        <w:t>Figure 7. [NEW]</w:t>
      </w:r>
      <w:r>
        <w:t xml:space="preserve"> ROC analysis of individual predictors and of the three candidate models, replacing the previous Figures 8 and 9. (a) Individual candidate predictors in the training cohort and (b) in the internal validation cohort; TB and BAPF are binary, so their curves consist of two linear segments, and Nomo denotes the combined nomogram. (c) Model comparison in the training cohort and (d) in the internal validation cohort. ModA, combined clinical–radiomic model; ModB, clinical model (tuberculosis, BAPF and fibrinogen); ModC, Rad-score alone. [Note: these letter assignments are reversed relative to the previous artwork, where ModA was the Rad-score and ModC the combined model. The text uses descriptive model names throughout to avoid the ambiguity; any use of the letters elsewhere in the manuscript must be checked. Panels (a) and (b) do not display per-variable AUC values, and the legend does not claim them.]</w:t>
      </w:r>
    </w:p>
    <w:p>
      <w:pPr>
        <w:spacing w:line="480" w:lineRule="auto" w:after="120"/>
        <w:ind w:firstLine="0"/>
      </w:pPr>
      <w:r>
        <w:rPr>
          <w:b/>
        </w:rPr>
        <w:t>Figure 8.</w:t>
      </w:r>
      <w:r>
        <w:t xml:space="preserve"> Calibration of the nomogram in (a) the training cohort and (b) the internal validation cohort. The grey line is the ideal diagonal, the solid black line the logistic calibration curve and the dotted line the non-parametric estimate. Training values are apparent and uncorrected for optimism. Hosmer–Lemeshow: training χ²=9.11, df=8, p=0.333; validation χ²=10.76, df=8, p=0.216.</w:t>
      </w:r>
    </w:p>
    <w:p>
      <w:pPr>
        <w:spacing w:line="480" w:lineRule="auto" w:after="120"/>
        <w:ind w:firstLine="0"/>
      </w:pPr>
      <w:r>
        <w:rPr>
          <w:b/>
        </w:rPr>
        <w:t>Figure 9.</w:t>
      </w:r>
      <w:r>
        <w:t xml:space="preserve"> Decision-curve analysis in (a) the training cohort and (b) the internal validation cohort, showing net benefit of the nomogram against the treat-all and treat-none reference strategies.</w:t>
      </w:r>
    </w:p>
    <w:p/>
    <w:p>
      <w:pPr>
        <w:spacing w:line="480" w:lineRule="auto" w:after="120"/>
        <w:ind w:firstLine="0"/>
      </w:pPr>
      <w:r>
        <w:rPr>
          <w:b/>
        </w:rPr>
        <w:t>Table 3 footnote (suggested addition).</w:t>
      </w:r>
      <w:r>
        <w:t xml:space="preserve"> Accuracy, sensitivity and specificity were derived at an estimated-probability cut-point of 0.255, obtained from the maximum Youden index of the training-cohort ROC curve and applied unchanged to the internal validation cohort.</w:t>
      </w:r>
    </w:p>
    <w:p>
      <w:pPr>
        <w:spacing w:line="480" w:lineRule="auto" w:after="120"/>
        <w:ind w:firstLine="0"/>
      </w:pPr>
      <w:r>
        <w:rPr>
          <w:b/>
        </w:rPr>
        <w:t>Table 4.</w:t>
      </w:r>
      <w:r>
        <w:t xml:space="preserve"> Distribution of the Rad-score by presentation group in the training and internal validation cohorts. Suggested edits: drop the redundant IQR column (IQR = Q3 minus Q1, verified for all four groups) and keep Median (Q1, Q3); move 'Mann-Whitney U' from a data column to a footnote covering all four rows.</w:t>
      </w:r>
    </w:p>
    <w:p>
      <w:pPr>
        <w:spacing w:line="480" w:lineRule="auto" w:after="120"/>
        <w:ind w:firstLine="0"/>
      </w:pPr>
      <w:r>
        <w:rPr>
          <w:b/>
        </w:rPr>
        <w:t>Table 5.</w:t>
      </w:r>
      <w:r>
        <w:t xml:space="preserve"> Discrimination of the combined, clinical and Rad-score models and their pairwise comparison by DeLong's test, in the training and internal validation cohorts. This merges the two supplied tables: the per-model AUCs are already carried by the comparison table, so a separate AUC table is not needed. Footnote: combined model = Rad-score with TB, BAPF and fibrinogen; clinical model = TB, BAPF and fibrinogen.</w:t>
      </w:r>
    </w:p>
    <w:p>
      <w:pPr>
        <w:spacing w:line="480" w:lineRule="auto" w:after="120"/>
        <w:ind w:firstLine="0"/>
      </w:pPr>
      <w:r>
        <w:rPr>
          <w:b/>
        </w:rPr>
        <w:t>Table 6.</w:t>
      </w:r>
      <w:r>
        <w:t xml:space="preserve"> Continuous NRI and IDI of the combined model compared with the clinical model, in the training and internal validation cohorts.</w:t>
      </w:r>
    </w:p>
    <w:p/>
    <w:p>
      <w:pPr>
        <w:pStyle w:val="Heading1"/>
      </w:pPr>
      <w:r>
        <w:rPr>
          <w:rFonts w:ascii="Times New Roman" w:hAnsi="Times New Roman"/>
        </w:rPr>
        <w:t>Outstanding items before submission</w:t>
      </w:r>
    </w:p>
    <w:p>
      <w:pPr>
        <w:spacing w:after="120"/>
        <w:ind w:firstLine="0"/>
      </w:pPr>
      <w:r>
        <w:t>1. RESOLVED. The AUCs are settled at 0.850 for the combined model and 0.796 for the clinical model in training, with 0.794 for the combined model in validation. The Results text now uses these throughout, and the discrimination and model-comparison sections are mutually consistent.</w:t>
      </w:r>
    </w:p>
    <w:p>
      <w:pPr>
        <w:spacing w:after="120"/>
        <w:ind w:firstLine="0"/>
      </w:pPr>
      <w:r>
        <w:t>2. Consequence of item 1, and the largest remaining task: the calibration figure and the decision curves were both produced from the earlier fit and must be regenerated. For the calibration figure this is provable from the figure itself, since the printed Somers' Dxy of 0.679 and 0.563 correspond exactly to the superseded AUCs of 0.840 and 0.781.</w:t>
      </w:r>
    </w:p>
    <w:p>
      <w:pPr>
        <w:spacing w:after="120"/>
        <w:ind w:firstLine="0"/>
      </w:pPr>
      <w:r>
        <w:t>3. Table 3, validation row. Sensitivity, specificity and accuracy at the 0.255 cut-point are needed from the adopted fit. The previous 0.667, 0.733 and 0.719 belong to the earlier fit.</w:t>
      </w:r>
    </w:p>
    <w:p>
      <w:pPr>
        <w:spacing w:after="120"/>
        <w:ind w:firstLine="0"/>
      </w:pPr>
      <w:r>
        <w:t>4. Table 3, training row. Sensitivity 0.767 (23/30), specificity 0.842 (85/101) and accuracy 0.824 (108/131) were back-calculated from the operating point printed on the new training ROC curve. Please confirm against the analysis output.</w:t>
      </w:r>
    </w:p>
    <w:p>
      <w:pPr>
        <w:spacing w:after="120"/>
        <w:ind w:firstLine="0"/>
      </w:pPr>
      <w:r>
        <w:t>5. Confirm that the nomogram and the multivariable odds ratios in Table 2 come from the same fit as the adopted AUCs. If the model changed, the point allocations and the odds ratios change with it.</w:t>
      </w:r>
    </w:p>
    <w:p>
      <w:pPr>
        <w:spacing w:after="120"/>
        <w:ind w:firstLine="0"/>
      </w:pPr>
      <w:r>
        <w:t>6. RESOLVED. The training Rad-score comparison gives p=1.49 x 10 to the minus 5. The figure and Table 4 currently under-report this as '&lt;0.01' and '&lt;0.05' respectively and should both be corrected.</w:t>
      </w:r>
    </w:p>
    <w:p>
      <w:pPr>
        <w:spacing w:after="120"/>
        <w:ind w:firstLine="0"/>
      </w:pPr>
      <w:r>
        <w:t>7. Model letter reversal. ModA and ModC have swapped meanings between the old and new artwork. The Results text now names models descriptively; the Discussion must be checked.</w:t>
      </w:r>
    </w:p>
    <w:p>
      <w:pPr>
        <w:spacing w:after="120"/>
        <w:ind w:firstLine="0"/>
      </w:pPr>
      <w:r>
        <w:t>8. Artwork: delete the 0.447 annotation from the validation ROC panel, and remove the stray zero from the training boxplot x-axis label.</w:t>
      </w:r>
    </w:p>
    <w:p>
      <w:pPr>
        <w:spacing w:after="120"/>
        <w:ind w:firstLine="0"/>
      </w:pPr>
      <w:r>
        <w:t>9. Feature-count cascade (total extracted, remaining after the ICC filter, remaining after mRMR) and the observed ICC range are still needed; the text currently says approximately 35 features entered the LASSO step, read from the figure axis.</w:t>
      </w:r>
    </w:p>
    <w:p>
      <w:pPr>
        <w:spacing w:after="120"/>
        <w:ind w:firstLine="0"/>
      </w:pPr>
      <w:r>
        <w:t>10. Bootstrap internal validation with optimism correction would address the events-per-variable ratio of roughly 7.5.</w:t>
      </w:r>
    </w:p>
    <w:p>
      <w:pPr>
        <w:spacing w:after="120"/>
        <w:ind w:firstLine="0"/>
      </w:pPr>
      <w:r>
        <w:t>11. Remove the two unrelated references at the end of the section (Ao et al. on ferroptosis in rheumatoid arthritis; Shen et al. on the alpha-7 nicotinic acetylcholine receptor agonist).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