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2. Materials and Methods</w:t>
      </w:r>
    </w:p>
    <w:p>
      <w:pPr>
        <w:pStyle w:val="Heading2"/>
      </w:pPr>
      <w:r>
        <w:rPr>
          <w:rFonts w:ascii="Times New Roman" w:hAnsi="Times New Roman" w:eastAsia="Times New Roman"/>
          <w:b/>
          <w:i/>
          <w:sz w:val="24"/>
        </w:rPr>
        <w:t>2.1. Study Design and Patients</w:t>
      </w:r>
    </w:p>
    <w:p>
      <w:pPr>
        <w:spacing w:after="160" w:line="360" w:lineRule="auto"/>
      </w:pPr>
      <w:r>
        <w:rPr>
          <w:rFonts w:ascii="Times New Roman" w:hAnsi="Times New Roman" w:eastAsia="Times New Roman"/>
        </w:rPr>
        <w:t>This single-center retrospective study was conducted at University-Town Hospital of Chongqing Medical University and was approved by the institutional review board (approval no. IIT 2026-026); the requirement for written informed consent was waived because of the retrospective design. Consecutive patients who presented with hemoptysis and underwent contrast-enhanced chest CT between January 2021 and June 2025 were screened. Patients were excluded if they (i) did not complete contrast-enhanced chest CT; (ii) had severe motion or metal artifacts, or otherwise inadequate image quality that did not meet the requirements for radiomic analysis; or (iii) had incomplete clinical data, including incomplete imaging, laboratory, or medical-record information. In total, 188 patients met the criteria and formed the study cohort (Figure 1).</w:t>
      </w:r>
    </w:p>
    <w:p>
      <w:pPr>
        <w:pStyle w:val="Heading2"/>
      </w:pPr>
      <w:r>
        <w:rPr>
          <w:rFonts w:ascii="Times New Roman" w:hAnsi="Times New Roman" w:eastAsia="Times New Roman"/>
          <w:b/>
          <w:i/>
          <w:sz w:val="24"/>
        </w:rPr>
        <w:t>2.2. Definition and Grouping of Hemoptysis Severity</w:t>
      </w:r>
    </w:p>
    <w:p>
      <w:pPr>
        <w:spacing w:after="160" w:line="360" w:lineRule="auto"/>
      </w:pPr>
      <w:r>
        <w:rPr>
          <w:rFonts w:ascii="Times New Roman" w:hAnsi="Times New Roman" w:eastAsia="Times New Roman"/>
        </w:rPr>
        <w:t>Hemoptysis severity, which served as the reference standard for this differential-diagnosis study, was graded from the documented 24-hour expectorated blood volume. Massive hemoptysis was defined as a 24-hour volume &gt;500 mL or a single expectoration &gt;100 mL. Non-massive hemoptysis comprised mild (24-hour volume &lt;100 mL) and moderate (24-hour volume 100–500 mL) cases. Severity was graded by two respiratory physicians who were blinded to the radiomic analysis.</w:t>
      </w:r>
    </w:p>
    <w:p>
      <w:pPr>
        <w:pStyle w:val="Heading2"/>
      </w:pPr>
      <w:r>
        <w:rPr>
          <w:rFonts w:ascii="Times New Roman" w:hAnsi="Times New Roman" w:eastAsia="Times New Roman"/>
          <w:b/>
          <w:i/>
          <w:sz w:val="24"/>
        </w:rPr>
        <w:t>2.3. Clinical, Laboratory, and Angiographic Variables</w:t>
      </w:r>
    </w:p>
    <w:p>
      <w:pPr>
        <w:spacing w:after="160" w:line="360" w:lineRule="auto"/>
      </w:pPr>
      <w:r>
        <w:rPr>
          <w:rFonts w:ascii="Times New Roman" w:hAnsi="Times New Roman" w:eastAsia="Times New Roman"/>
        </w:rPr>
        <w:t xml:space="preserve">Clinical and laboratory variables were retrieved from the electronic medical record: age, sex, smoking status and duration; comorbidities (malignancy, pulmonary tuberculosis, bronchiectasis, and fungal infection); antiplatelet and antithrombotic medication use; and admission laboratory values (platelet count, D-dimer, international normalized ratio [INR], and fibrinogen). Bronchial artery abnormality (BAA) was determined by bronchial artery angiography (digital subtraction angiography) and was defined as the presence of a bronchial artery–pulmonary fistula (BAPF), a bronchial artery malformation (BAM), or both; BAA was adjudicated by the interventional physician who performed the angiographic procedure. </w:t>
      </w:r>
      <w:r>
        <w:rPr>
          <w:rFonts w:ascii="Times New Roman" w:hAnsi="Times New Roman" w:eastAsia="Times New Roman"/>
          <w:b/>
          <w:highlight w:val="yellow"/>
        </w:rPr>
        <w:t>[confirm: whether all 188 patients underwent bronchial artery angiography and, if not, how BAA-negative status was assigned to patients who did not undergo angiography]</w:t>
      </w:r>
      <w:r>
        <w:rPr>
          <w:rFonts w:ascii="Times New Roman" w:hAnsi="Times New Roman" w:eastAsia="Times New Roman"/>
        </w:rPr>
        <w:t>.</w:t>
      </w:r>
    </w:p>
    <w:p>
      <w:pPr>
        <w:pStyle w:val="Heading2"/>
      </w:pPr>
      <w:r>
        <w:rPr>
          <w:rFonts w:ascii="Times New Roman" w:hAnsi="Times New Roman" w:eastAsia="Times New Roman"/>
          <w:b/>
          <w:i/>
          <w:sz w:val="24"/>
        </w:rPr>
        <w:t>2.4. CT Image Acquisition</w:t>
      </w:r>
    </w:p>
    <w:p>
      <w:pPr>
        <w:spacing w:after="160" w:line="360" w:lineRule="auto"/>
      </w:pPr>
      <w:r>
        <w:rPr>
          <w:rFonts w:ascii="Times New Roman" w:hAnsi="Times New Roman" w:eastAsia="Times New Roman"/>
        </w:rPr>
        <w:t xml:space="preserve">Contrast-enhanced chest CT was performed on </w:t>
      </w:r>
      <w:r>
        <w:rPr>
          <w:rFonts w:ascii="Times New Roman" w:hAnsi="Times New Roman" w:eastAsia="Times New Roman"/>
          <w:b/>
          <w:highlight w:val="yellow"/>
        </w:rPr>
        <w:t>[confirm: scanner vendor and model(s)]</w:t>
      </w:r>
      <w:r>
        <w:rPr>
          <w:rFonts w:ascii="Times New Roman" w:hAnsi="Times New Roman" w:eastAsia="Times New Roman"/>
        </w:rPr>
        <w:t xml:space="preserve"> with a slice thickness of 1 mm </w:t>
      </w:r>
      <w:r>
        <w:rPr>
          <w:rFonts w:ascii="Times New Roman" w:hAnsi="Times New Roman" w:eastAsia="Times New Roman"/>
          <w:b/>
          <w:highlight w:val="yellow"/>
        </w:rPr>
        <w:t>[confirm: tube voltage (kVp); tube current or automatic exposure control; reconstruction interval; reconstruction kernel]</w:t>
      </w:r>
      <w:r>
        <w:rPr>
          <w:rFonts w:ascii="Times New Roman" w:hAnsi="Times New Roman" w:eastAsia="Times New Roman"/>
        </w:rPr>
        <w:t xml:space="preserve">. </w:t>
      </w:r>
      <w:r>
        <w:rPr>
          <w:rFonts w:ascii="Times New Roman" w:hAnsi="Times New Roman" w:eastAsia="Times New Roman"/>
          <w:b/>
          <w:highlight w:val="yellow"/>
        </w:rPr>
        <w:t>[confirm: iodinated contrast agent, concentration, volume, and injection rate]</w:t>
      </w:r>
      <w:r>
        <w:rPr>
          <w:rFonts w:ascii="Times New Roman" w:hAnsi="Times New Roman" w:eastAsia="Times New Roman"/>
        </w:rPr>
        <w:t xml:space="preserve"> was administered intravenously, and radiomic analysis was performed on arterial-phase images. DICOM images were retrieved from the picture archiving and communication system for analysis.</w:t>
      </w:r>
    </w:p>
    <w:p>
      <w:pPr>
        <w:pStyle w:val="Heading2"/>
      </w:pPr>
      <w:r>
        <w:rPr>
          <w:rFonts w:ascii="Times New Roman" w:hAnsi="Times New Roman" w:eastAsia="Times New Roman"/>
          <w:b/>
          <w:i/>
          <w:sz w:val="24"/>
        </w:rPr>
        <w:t>2.5. Lesion Segmentation and Reproducibility</w:t>
      </w:r>
    </w:p>
    <w:p>
      <w:pPr>
        <w:spacing w:after="160" w:line="360" w:lineRule="auto"/>
      </w:pPr>
      <w:r>
        <w:rPr>
          <w:rFonts w:ascii="Times New Roman" w:hAnsi="Times New Roman" w:eastAsia="Times New Roman"/>
        </w:rPr>
        <w:t>Regions of interest encompassing the lesion were segmented manually, slice by slice, on the arterial-phase images using 3D Slicer (version 5.3.0) by two physicians with five years of experience in image interpretation, both blinded to hemoptysis severity. To assess reproducibility, 20 randomly selected cases were independently re-segmented by the second reader, and the intraclass correlation coefficient (ICC) was calculated for each feature; features with an ICC ≤0.75 were regarded as non-reproducible and excluded.</w:t>
      </w:r>
    </w:p>
    <w:p>
      <w:pPr>
        <w:pStyle w:val="Heading2"/>
      </w:pPr>
      <w:r>
        <w:rPr>
          <w:rFonts w:ascii="Times New Roman" w:hAnsi="Times New Roman" w:eastAsia="Times New Roman"/>
          <w:b/>
          <w:i/>
          <w:sz w:val="24"/>
        </w:rPr>
        <w:t>2.6. Radiomic Feature Extraction</w:t>
      </w:r>
    </w:p>
    <w:p>
      <w:pPr>
        <w:spacing w:after="160" w:line="360" w:lineRule="auto"/>
      </w:pPr>
      <w:r>
        <w:rPr>
          <w:rFonts w:ascii="Times New Roman" w:hAnsi="Times New Roman" w:eastAsia="Times New Roman"/>
        </w:rPr>
        <w:t xml:space="preserve">A total of 1,315 radiomic features were extracted from each segmented lesion using DCPM (version 6.15.9) </w:t>
      </w:r>
      <w:r>
        <w:rPr>
          <w:rFonts w:ascii="Times New Roman" w:hAnsi="Times New Roman" w:eastAsia="Times New Roman"/>
          <w:b/>
          <w:highlight w:val="yellow"/>
        </w:rPr>
        <w:t>[confirm: IBSI compliance]</w:t>
      </w:r>
      <w:r>
        <w:rPr>
          <w:rFonts w:ascii="Times New Roman" w:hAnsi="Times New Roman" w:eastAsia="Times New Roman"/>
        </w:rPr>
        <w:t xml:space="preserve">. Before extraction, images were </w:t>
      </w:r>
      <w:r>
        <w:rPr>
          <w:rFonts w:ascii="Times New Roman" w:hAnsi="Times New Roman" w:eastAsia="Times New Roman"/>
          <w:b/>
          <w:highlight w:val="yellow"/>
        </w:rPr>
        <w:t>[confirm: resampled to an isotropic voxel size of … mm; intensity-discretized with a fixed bin width/count of …; intensity-normalized as …]</w:t>
      </w:r>
      <w:r>
        <w:rPr>
          <w:rFonts w:ascii="Times New Roman" w:hAnsi="Times New Roman" w:eastAsia="Times New Roman"/>
        </w:rPr>
        <w:t xml:space="preserve">. The extracted features comprised </w:t>
      </w:r>
      <w:r>
        <w:rPr>
          <w:rFonts w:ascii="Times New Roman" w:hAnsi="Times New Roman" w:eastAsia="Times New Roman"/>
          <w:b/>
          <w:highlight w:val="yellow"/>
        </w:rPr>
        <w:t>[confirm: first-order, shape, and texture (GLCM, GLRLM, GLSZM, GLDM, NGTDM) classes, including features derived from wavelet- and LoG-filtered images]</w:t>
      </w:r>
      <w:r>
        <w:rPr>
          <w:rFonts w:ascii="Times New Roman" w:hAnsi="Times New Roman" w:eastAsia="Times New Roman"/>
        </w:rPr>
        <w:t>.</w:t>
      </w:r>
    </w:p>
    <w:p>
      <w:pPr>
        <w:pStyle w:val="Heading2"/>
      </w:pPr>
      <w:r>
        <w:rPr>
          <w:rFonts w:ascii="Times New Roman" w:hAnsi="Times New Roman" w:eastAsia="Times New Roman"/>
          <w:b/>
          <w:i/>
          <w:sz w:val="24"/>
        </w:rPr>
        <w:t>2.7. Feature Selection and Rad-score Construction</w:t>
      </w:r>
    </w:p>
    <w:p>
      <w:pPr>
        <w:spacing w:after="160" w:line="360" w:lineRule="auto"/>
      </w:pPr>
      <w:r>
        <w:rPr>
          <w:rFonts w:ascii="Times New Roman" w:hAnsi="Times New Roman" w:eastAsia="Times New Roman"/>
        </w:rPr>
        <w:t xml:space="preserve">Feature selection was performed in the training cohort only. Reproducible features (ICC &gt;0.75; n = 484) were reduced by minimum-redundancy maximum-relevance filtering (mRMRe package) to the 35 most informative, non-redundant features, and then submitted to least absolute shrinkage and selection operator (LASSO) logistic regression with 10-fold cross-validation minimizing the binomial deviance </w:t>
      </w:r>
      <w:r>
        <w:rPr>
          <w:rFonts w:ascii="Times New Roman" w:hAnsi="Times New Roman" w:eastAsia="Times New Roman"/>
          <w:b/>
          <w:highlight w:val="yellow"/>
        </w:rPr>
        <w:t>[confirm: LASSO implementation/package, e.g., glmnet]</w:t>
      </w:r>
      <w:r>
        <w:rPr>
          <w:rFonts w:ascii="Times New Roman" w:hAnsi="Times New Roman" w:eastAsia="Times New Roman"/>
        </w:rPr>
        <w:t>; six features with non-zero coefficients were retained. For each patient, the Rad-score was computed as the sum of these six features weighted by their LASSO coefficients plus the model intercept.</w:t>
      </w:r>
    </w:p>
    <w:p>
      <w:pPr>
        <w:pStyle w:val="Heading2"/>
      </w:pPr>
      <w:r>
        <w:rPr>
          <w:rFonts w:ascii="Times New Roman" w:hAnsi="Times New Roman" w:eastAsia="Times New Roman"/>
          <w:b/>
          <w:i/>
          <w:sz w:val="24"/>
        </w:rPr>
        <w:t>2.8. Model Development</w:t>
      </w:r>
    </w:p>
    <w:p>
      <w:pPr>
        <w:spacing w:after="160" w:line="360" w:lineRule="auto"/>
      </w:pPr>
      <w:r>
        <w:rPr>
          <w:rFonts w:ascii="Times New Roman" w:hAnsi="Times New Roman" w:eastAsia="Times New Roman"/>
        </w:rPr>
        <w:t>The cohort was randomly divided into a training set (n = 131) and an internal validation set (n = 57) in a 7:3 ratio without stratification by outcome (random seed 123). Candidate variables — the clinical, laboratory, and angiographic variables in Section 2.3 and the Rad-score — were screened by univariable logistic regression, and those with P &lt; 0.05 were entered into a multivariable logistic regression model with backward elimination. The independent factors so identified were used to construct a clinical–radiomic nomogram (rms package) for differentiating massive from non-massive hemoptysis. For comparison, a clinical model (clinical variables only) and a Rad-score-only model were also fitted.</w:t>
      </w:r>
    </w:p>
    <w:p>
      <w:pPr>
        <w:pStyle w:val="Heading2"/>
      </w:pPr>
      <w:r>
        <w:rPr>
          <w:rFonts w:ascii="Times New Roman" w:hAnsi="Times New Roman" w:eastAsia="Times New Roman"/>
          <w:b/>
          <w:i/>
          <w:sz w:val="24"/>
        </w:rPr>
        <w:t>2.9. Model Evaluation and Statistical Analysis</w:t>
      </w:r>
    </w:p>
    <w:p>
      <w:pPr>
        <w:spacing w:after="160" w:line="360" w:lineRule="auto"/>
      </w:pPr>
      <w:r>
        <w:rPr>
          <w:rFonts w:ascii="Times New Roman" w:hAnsi="Times New Roman" w:eastAsia="Times New Roman"/>
        </w:rPr>
        <w:t xml:space="preserve">Model discrimination was quantified by the area under the receiver operating characteristic curve (AUC) and compared pairwise with the DeLong test (pROC package); because three comparisons were made per cohort, a Bonferroni-corrected significance threshold of P = 0.0167 was applied to those comparisons. An operating cut-point was set at the maximum Youden index in the training cohort and applied unchanged to the internal validation cohort to derive accuracy, sensitivity, and specificity. Calibration was assessed with calibration curves and the mean absolute error using 500 bootstrap resamples (val.prob and calibrate functions, rms package), and clinical utility was evaluated by decision-curve analysis </w:t>
      </w:r>
      <w:r>
        <w:rPr>
          <w:rFonts w:ascii="Times New Roman" w:hAnsi="Times New Roman" w:eastAsia="Times New Roman"/>
          <w:b/>
          <w:highlight w:val="yellow"/>
        </w:rPr>
        <w:t>[confirm: DCA package, e.g., rmda]</w:t>
      </w:r>
      <w:r>
        <w:rPr>
          <w:rFonts w:ascii="Times New Roman" w:hAnsi="Times New Roman" w:eastAsia="Times New Roman"/>
        </w:rPr>
        <w:t xml:space="preserve">. The incremental value of adding the Rad-score to the clinical model was quantified by the continuous net reclassification improvement (NRI; nricens package) and the integrated discrimination improvement (IDI; PredictABEL package), and multi-model ROC comparison used the ROCR package. Baseline characteristics were compared with the comparegroups package, the ICC was computed with the psych package, and logistic models were fitted with the stats package. Continuous variables are reported as median [Q1, Q3] and were compared with the Mann–Whitney U test; categorical variables are reported as n (%) and were compared with the χ² or Fisher exact test. All tests were two-sided, and P &lt; 0.05 was considered statistically significant unless otherwise specified. Analyses were performed in R </w:t>
      </w:r>
      <w:r>
        <w:rPr>
          <w:rFonts w:ascii="Times New Roman" w:hAnsi="Times New Roman" w:eastAsia="Times New Roman"/>
          <w:b/>
          <w:highlight w:val="yellow"/>
        </w:rPr>
        <w:t>[confirm: R version]</w:t>
      </w:r>
      <w:r>
        <w:rPr>
          <w:rFonts w:ascii="Times New Roman" w:hAnsi="Times New Roman" w:eastAsia="Times New Roman"/>
        </w:rPr>
        <w:t xml:space="preserve"> and DCPM (version 6.15.9).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