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sz w:val="28"/>
        </w:rPr>
        <w:t>1. Introduction</w:t>
      </w:r>
    </w:p>
    <w:p>
      <w:pPr>
        <w:spacing w:after="160" w:line="360" w:lineRule="auto"/>
      </w:pPr>
      <w:r>
        <w:rPr>
          <w:rFonts w:ascii="Times New Roman" w:hAnsi="Times New Roman" w:eastAsia="Times New Roman"/>
        </w:rPr>
        <w:t xml:space="preserve">Hemoptysis, the expectoration of blood originating from the lower respiratory tract, is a common reason for respiratory and emergency presentation and spans a wide clinical spectrum, from trivial blood-streaking of sputum to a life-threatening emergency </w:t>
      </w:r>
      <w:r>
        <w:rPr>
          <w:rFonts w:ascii="Times New Roman" w:hAnsi="Times New Roman" w:eastAsia="Times New Roman"/>
          <w:b/>
          <w:highlight w:val="yellow"/>
        </w:rPr>
        <w:t>[cite: epidemiology and clinical spectrum of hemoptysis]</w:t>
      </w:r>
      <w:r>
        <w:rPr>
          <w:rFonts w:ascii="Times New Roman" w:hAnsi="Times New Roman" w:eastAsia="Times New Roman"/>
        </w:rPr>
        <w:t xml:space="preserve">. Although massive hemoptysis accounts for only a minority of cases, it carries a high risk of asphyxiation and death when airway soiling is not controlled promptly, and untreated series report substantial mortality </w:t>
      </w:r>
      <w:r>
        <w:rPr>
          <w:rFonts w:ascii="Times New Roman" w:hAnsi="Times New Roman" w:eastAsia="Times New Roman"/>
          <w:b/>
          <w:highlight w:val="yellow"/>
        </w:rPr>
        <w:t>[cite: mortality of massive hemoptysis]</w:t>
      </w:r>
      <w:r>
        <w:rPr>
          <w:rFonts w:ascii="Times New Roman" w:hAnsi="Times New Roman" w:eastAsia="Times New Roman"/>
        </w:rPr>
        <w:t xml:space="preserve">. Rapid recognition of patients whose bleeding is massive is therefore central to triage, airway protection, and the timely use of definitive treatment such as bronchial artery embolization </w:t>
      </w:r>
      <w:r>
        <w:rPr>
          <w:rFonts w:ascii="Times New Roman" w:hAnsi="Times New Roman" w:eastAsia="Times New Roman"/>
          <w:b/>
          <w:highlight w:val="yellow"/>
        </w:rPr>
        <w:t>[cite: management and bronchial artery embolization for massive hemoptysis]</w:t>
      </w:r>
      <w:r>
        <w:rPr>
          <w:rFonts w:ascii="Times New Roman" w:hAnsi="Times New Roman" w:eastAsia="Times New Roman"/>
        </w:rPr>
        <w:t>.</w:t>
      </w:r>
    </w:p>
    <w:p>
      <w:pPr>
        <w:spacing w:after="160" w:line="360" w:lineRule="auto"/>
      </w:pPr>
      <w:r>
        <w:rPr>
          <w:rFonts w:ascii="Times New Roman" w:hAnsi="Times New Roman" w:eastAsia="Times New Roman"/>
        </w:rPr>
        <w:t xml:space="preserve">In routine practice, hemoptysis severity is graded from the expectorated blood volume, but volume estimates are subjective, are often difficult to obtain reliably at presentation, and correspond imperfectly to the underlying anatomical bleeding risk </w:t>
      </w:r>
      <w:r>
        <w:rPr>
          <w:rFonts w:ascii="Times New Roman" w:hAnsi="Times New Roman" w:eastAsia="Times New Roman"/>
          <w:b/>
          <w:highlight w:val="yellow"/>
        </w:rPr>
        <w:t>[cite: limitations of volume-based severity grading]</w:t>
      </w:r>
      <w:r>
        <w:rPr>
          <w:rFonts w:ascii="Times New Roman" w:hAnsi="Times New Roman" w:eastAsia="Times New Roman"/>
        </w:rPr>
        <w:t xml:space="preserve">. Contrast-enhanced chest CT has become the first-line investigation because it localizes the bleeding site, identifies the underlying disease, and depicts the culprit vasculature — in particular bronchial and non-bronchial systemic arterial hypertrophy </w:t>
      </w:r>
      <w:r>
        <w:rPr>
          <w:rFonts w:ascii="Times New Roman" w:hAnsi="Times New Roman" w:eastAsia="Times New Roman"/>
          <w:b/>
          <w:highlight w:val="yellow"/>
        </w:rPr>
        <w:t>[cite: role of CT and CT angiography in hemoptysis]</w:t>
      </w:r>
      <w:r>
        <w:rPr>
          <w:rFonts w:ascii="Times New Roman" w:hAnsi="Times New Roman" w:eastAsia="Times New Roman"/>
        </w:rPr>
        <w:t xml:space="preserve">. Even so, the CT-based assessment of which patients have massive hemoptysis still rests largely on qualitative reading and on a small number of clinical variables, and a reproducible, quantitative aid to this differential diagnosis is lacking </w:t>
      </w:r>
      <w:r>
        <w:rPr>
          <w:rFonts w:ascii="Times New Roman" w:hAnsi="Times New Roman" w:eastAsia="Times New Roman"/>
          <w:b/>
          <w:highlight w:val="yellow"/>
        </w:rPr>
        <w:t>[cite: evidence gap]</w:t>
      </w:r>
      <w:r>
        <w:rPr>
          <w:rFonts w:ascii="Times New Roman" w:hAnsi="Times New Roman" w:eastAsia="Times New Roman"/>
        </w:rPr>
        <w:t>.</w:t>
      </w:r>
    </w:p>
    <w:p>
      <w:pPr>
        <w:spacing w:after="160" w:line="360" w:lineRule="auto"/>
      </w:pPr>
      <w:r>
        <w:rPr>
          <w:rFonts w:ascii="Times New Roman" w:hAnsi="Times New Roman" w:eastAsia="Times New Roman"/>
        </w:rPr>
        <w:t xml:space="preserve">Radiomics converts medical images into high-dimensional quantitative descriptors that capture lesion intensity, shape, and texture beyond the reach of visual inspection, and has shown value across a range of thoracic applications </w:t>
      </w:r>
      <w:r>
        <w:rPr>
          <w:rFonts w:ascii="Times New Roman" w:hAnsi="Times New Roman" w:eastAsia="Times New Roman"/>
          <w:b/>
          <w:highlight w:val="yellow"/>
        </w:rPr>
        <w:t>[cite: radiomics in thoracic imaging]</w:t>
      </w:r>
      <w:r>
        <w:rPr>
          <w:rFonts w:ascii="Times New Roman" w:hAnsi="Times New Roman" w:eastAsia="Times New Roman"/>
        </w:rPr>
        <w:t xml:space="preserve">. Combining a radiomic signature with routinely available clinical variables in a single, interpretable model — such as a nomogram — can support individualized assessment and communicate probability at the bedside </w:t>
      </w:r>
      <w:r>
        <w:rPr>
          <w:rFonts w:ascii="Times New Roman" w:hAnsi="Times New Roman" w:eastAsia="Times New Roman"/>
          <w:b/>
          <w:highlight w:val="yellow"/>
        </w:rPr>
        <w:t>[cite: clinical–radiomic nomogram applications]</w:t>
      </w:r>
      <w:r>
        <w:rPr>
          <w:rFonts w:ascii="Times New Roman" w:hAnsi="Times New Roman" w:eastAsia="Times New Roman"/>
        </w:rPr>
        <w:t xml:space="preserve">. To date, however, the radiomic characterization of hemoptysis severity has received limited attention </w:t>
      </w:r>
      <w:r>
        <w:rPr>
          <w:rFonts w:ascii="Times New Roman" w:hAnsi="Times New Roman" w:eastAsia="Times New Roman"/>
          <w:b/>
          <w:highlight w:val="yellow"/>
        </w:rPr>
        <w:t>[cite: prior radiomics work on hemoptysis, if any]</w:t>
      </w:r>
      <w:r>
        <w:rPr>
          <w:rFonts w:ascii="Times New Roman" w:hAnsi="Times New Roman" w:eastAsia="Times New Roman"/>
        </w:rPr>
        <w:t>.</w:t>
      </w:r>
    </w:p>
    <w:p>
      <w:pPr>
        <w:spacing w:after="160" w:line="360" w:lineRule="auto"/>
      </w:pPr>
      <w:r>
        <w:rPr>
          <w:rFonts w:ascii="Times New Roman" w:hAnsi="Times New Roman" w:eastAsia="Times New Roman"/>
        </w:rPr>
        <w:t>In this study, we developed and internally validated a clinical–radiomic nomogram to differentiate massive from non-massive hemoptysis, using contrast-enhanced chest CT together with clinical, laboratory, and angiographic data. We further examined which clinical, laboratory, and imaging factors were independently associated with massive hemoptysis and assessed the incremental value of a CT Rad-score over the clinical variables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