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b/>
          <w:sz w:val="28"/>
        </w:rPr>
        <w:t>3. Results</w:t>
      </w:r>
    </w:p>
    <w:p>
      <w:pPr>
        <w:pStyle w:val="Heading2"/>
      </w:pPr>
      <w:r>
        <w:rPr>
          <w:rFonts w:ascii="Times New Roman" w:hAnsi="Times New Roman"/>
          <w:b/>
          <w:i/>
          <w:sz w:val="24"/>
        </w:rPr>
        <w:t>3.1. Patient Characteristics</w:t>
      </w:r>
    </w:p>
    <w:p>
      <w:pPr>
        <w:spacing w:after="160" w:line="360" w:lineRule="auto"/>
      </w:pPr>
      <w:r>
        <w:rPr>
          <w:rFonts w:ascii="Times New Roman" w:hAnsi="Times New Roman" w:eastAsia="Times New Roman"/>
        </w:rPr>
        <w:t>A total of 188 patients with hemoptysis who underwent enhanced chest CT between January 2021 and June 2025 were included (Figure 1). Massive hemoptysis was identified in 42 patients (22.34%) and non-massive hemoptysis in 146 (77.66%). The cohort was randomly partitioned into a training set (n = 131) and an internal validation set (n = 57) in a 7:3 ratio, with a comparable prevalence of massive hemoptysis in the two sets (30/131, 22.90% vs 12/57, 21.05%). Because both sets were drawn from a single cohort by random partition, the between-set comparisons in Table 1 are descriptive; the two sets were similar across demographic, clinical, and laboratory variables, with the exception of bronchial artery abnormality (BAA), which was more frequent in the internal validation set (29.82% vs 16.03%). Full baseline characteristics are summarized in Table 1.</w:t>
      </w:r>
    </w:p>
    <w:p>
      <w:pPr>
        <w:pStyle w:val="Heading2"/>
      </w:pPr>
      <w:r>
        <w:rPr>
          <w:rFonts w:ascii="Times New Roman" w:hAnsi="Times New Roman"/>
          <w:b/>
          <w:i/>
          <w:sz w:val="24"/>
        </w:rPr>
        <w:t>3.2. Radiomic Feature Selection and Rad-score Construction</w:t>
      </w:r>
    </w:p>
    <w:p>
      <w:pPr>
        <w:spacing w:after="160" w:line="360" w:lineRule="auto"/>
      </w:pPr>
      <w:r>
        <w:rPr>
          <w:rFonts w:ascii="Times New Roman" w:hAnsi="Times New Roman" w:eastAsia="Times New Roman"/>
        </w:rPr>
        <w:t>From each segmented lesion, 1,315 radiomic features were extracted. Features with an intraclass correlation coefficient ≤ 0.75 were removed, leaving 484 reproducible features; minimum-redundancy maximum-relevance (mRMR) filtering reduced these to 35 candidates, and least absolute shrinkage and selection operator (LASSO) logistic regression, with the penalty parameter tuned by cross-validation (Figure 2a,b), retained 6 features with non-zero coefficients (Figure 2c). The Rad-score was calculated for every patient as the linear combination of these 6 features weighted by their LASSO coefficients. Because the Rad-score is expressed on the linear-predictor (log-odds) scale, its absolute values are not directly interpretable and only relative differences between patients are meaningful.</w:t>
      </w:r>
    </w:p>
    <w:p>
      <w:pPr>
        <w:pStyle w:val="Heading2"/>
      </w:pPr>
      <w:r>
        <w:rPr>
          <w:rFonts w:ascii="Times New Roman" w:hAnsi="Times New Roman"/>
          <w:b/>
          <w:i/>
          <w:sz w:val="24"/>
        </w:rPr>
        <w:t>3.3. Association Between the Rad-score and Massive Hemoptysis</w:t>
      </w:r>
    </w:p>
    <w:p>
      <w:pPr>
        <w:spacing w:after="160" w:line="360" w:lineRule="auto"/>
      </w:pPr>
      <w:r>
        <w:rPr>
          <w:rFonts w:ascii="Times New Roman" w:hAnsi="Times New Roman" w:eastAsia="Times New Roman"/>
        </w:rPr>
        <w:t>The Rad-score was higher in patients with massive hemoptysis than in those with non-massive hemoptysis. In the training cohort, the median Rad-score was −1.043 (Q1, Q3: −1.189, −0.706) in the massive group versus −1.361 (−1.640, −1.062) in the non-massive group (Mann–Whitney U test, P = 1.49 × 10⁻⁵). The difference was in the same direction in the internal validation cohort (−1.029 [−1.275, −0.596] vs −1.189 [−1.523, −0.954]) but did not reach statistical significance (P = 0.122) (Table 4, Figure 3).</w:t>
      </w:r>
    </w:p>
    <w:p>
      <w:pPr>
        <w:pStyle w:val="Heading2"/>
      </w:pPr>
      <w:r>
        <w:rPr>
          <w:rFonts w:ascii="Times New Roman" w:hAnsi="Times New Roman"/>
          <w:b/>
          <w:i/>
          <w:sz w:val="24"/>
        </w:rPr>
        <w:t>3.4. Independent Factors Associated with Massive Hemoptysis</w:t>
      </w:r>
    </w:p>
    <w:p>
      <w:pPr>
        <w:spacing w:after="160" w:line="360" w:lineRule="auto"/>
      </w:pPr>
      <w:r>
        <w:rPr>
          <w:rFonts w:ascii="Times New Roman" w:hAnsi="Times New Roman" w:eastAsia="Times New Roman"/>
        </w:rPr>
        <w:t>On univariable logistic regression, tuberculosis (odds ratio [OR] 4.23, 95% CI 1.43–12.51; P = 0.009), bronchiectasis (OR 2.36, 1.03–5.41; P = 0.042), BAA (OR 5.27, 1.96–14.16; P = 0.001), fibrinogen (OR 0.57, 0.39–0.83; P = 0.004), and the Rad-score (OR 7.96, 2.75–23.11; P &lt; 0.001) were associated with massive hemoptysis. In the multivariable model, four variables remained independently associated with massive hemoptysis: tuberculosis (adjusted OR 5.18, 1.42–18.93; P = 0.013), BAA (adjusted OR 4.32, 1.33–14.10; P = 0.015), the Rad-score (adjusted OR 4.73, 1.53–14.63; P = 0.007), and fibrinogen, which was inversely associated (adjusted OR 0.65, 0.45–0.95; P = 0.025); bronchiectasis was not retained (Table 2, Figure 4).</w:t>
      </w:r>
    </w:p>
    <w:p>
      <w:pPr>
        <w:pStyle w:val="Heading2"/>
      </w:pPr>
      <w:r>
        <w:rPr>
          <w:rFonts w:ascii="Times New Roman" w:hAnsi="Times New Roman"/>
          <w:b/>
          <w:i/>
          <w:sz w:val="24"/>
        </w:rPr>
        <w:t>3.5. Development and Performance of the Clinical–Radiomic Nomogram for Differentiating Massive Hemoptysis</w:t>
      </w:r>
    </w:p>
    <w:p>
      <w:pPr>
        <w:spacing w:after="160" w:line="360" w:lineRule="auto"/>
      </w:pPr>
      <w:r>
        <w:rPr>
          <w:rFonts w:ascii="Times New Roman" w:hAnsi="Times New Roman" w:eastAsia="Times New Roman"/>
        </w:rPr>
        <w:t>A nomogram was constructed to estimate the probability that a patient's hemoptysis was massive — that is, for the differential diagnosis of massive versus non-massive hemoptysis rather than the prediction of future bleeding — from the four independent factors: tuberculosis, BAA, fibrinogen, and the Rad-score (Figure 5). At an estimated-probability cut-point of 0.255, defined by the maximum Youden index in the training cohort and applied unchanged to the internal validation cohort, the nomogram achieved an accuracy of 0.824 (108/131), a sensitivity of 0.767 (23/30), and a specificity of 0.842 (85/101) in the training cohort, and an accuracy of 0.684 (39/57), a sensitivity of 0.750 (9/12), and a specificity of 0.667 (30/45) in the internal validation cohort (Table 3). Discrimination, measured as the area under the receiver operating characteristic curve (AUC), was 0.850 (95% CI 0.775–0.925) in the training cohort and 0.794 (0.631–0.958) in the internal validation cohort (Figure 6a,b); the wide confidence interval in the internal validation cohort reflects its small size (12 events). Calibration curves lay close to the diagonal, with a bootstrap-corrected mean absolute error of 0.024 (training) and 0.044 (internal validation) (Figure 6c,d). Decision-curve analysis showed a positive net benefit relative to the treat-all and treat-none strategies over a broad range of threshold probabilities (approximately 0.10–0.70 in the training cohort and 0.10–0.60 in the internal validation cohort) (Figure 6e,f).</w:t>
      </w:r>
    </w:p>
    <w:p>
      <w:pPr>
        <w:pStyle w:val="Heading2"/>
      </w:pPr>
      <w:r>
        <w:rPr>
          <w:rFonts w:ascii="Times New Roman" w:hAnsi="Times New Roman"/>
          <w:b/>
          <w:i/>
          <w:sz w:val="24"/>
        </w:rPr>
        <w:t>3.6. Discrimination Relative to Single Predictors and Incremental Value of the Rad-score</w:t>
      </w:r>
    </w:p>
    <w:p>
      <w:pPr>
        <w:spacing w:after="160" w:line="360" w:lineRule="auto"/>
      </w:pPr>
      <w:r>
        <w:rPr>
          <w:rFonts w:ascii="Times New Roman" w:hAnsi="Times New Roman" w:eastAsia="Times New Roman"/>
        </w:rPr>
        <w:t>The discrimination of the nomogram was compared with that of a model based on the three clinical variables alone (tuberculosis, BAA, and fibrinogen) and with the Rad-score alone. In the training cohort, the AUCs were 0.850 (0.775–0.925) for the nomogram, 0.796 (0.693–0.898) for the clinical model, and 0.761 (0.672–0.850) for the Rad-score; the corresponding values in the internal validation cohort were 0.794 (0.631–0.958), 0.744 (0.555–0.934), and 0.647 (0.456–0.839) (Table 5, Figure 7c,d). Receiver operating characteristic curves for each individual predictor, the Rad-score, and the nomogram are shown in Figure 7a (training) and Figure 7b (internal validation); in the training cohort the nomogram and the Rad-score lay above any single clinical factor across most of the curve, whereas in the internal validation cohort the curves converged and BAA alone performed comparably to the multivariable models.</w:t>
      </w:r>
    </w:p>
    <w:p>
      <w:pPr>
        <w:spacing w:after="160" w:line="360" w:lineRule="auto"/>
      </w:pPr>
      <w:r>
        <w:rPr>
          <w:rFonts w:ascii="Times New Roman" w:hAnsi="Times New Roman" w:eastAsia="Times New Roman"/>
        </w:rPr>
        <w:t>By the DeLong test, the difference in AUC between the nomogram and the Rad-score alone reached nominal significance in the training cohort (Z = 2.06, P = 0.040) but not the Bonferroni-corrected threshold of P = 0.0167 for three comparisons per cohort; the difference between the nomogram and the clinical model was not significant (Z = 1.84, P = 0.066), and no pairwise difference was significant in the internal validation cohort (all P &gt; 0.17) (Table 5). Adding the Rad-score to the clinical model yielded an integrated discrimination improvement (IDI) of 0.062 (95% CI 0.013–0.111; P = 0.013) and a continuous net reclassification improvement (NRI) of 0.428 (0.029–0.827; P = 0.036) in the training cohort; in the internal validation cohort neither index was significant (IDI 0.064 [−0.044–0.171], P = 0.245; NRI 0.544 [−0.076–1.165], P = 0.085) (Table 6). Because the continuous NRI is known to reject the null more readily than its nominal level implies, the IDI provides the more conservative estimate; on that basis the incremental value of the Rad-score over the clinical variables was supported only in the training cohort and was not confirmed in internal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