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b/>
          <w:sz w:val="28"/>
        </w:rPr>
        <w:t>3. Results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3.1. Patient Characteristics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A total of 188 patients with haemoptysis who underwent enhanced chest CT between January 2021 and June 2025 were included (Figure 1). Massive haemoptysis was identified in 42 patients (22.34%) and non-massive haemoptysis in 146 (77.66%). The cohort was randomly partitioned into a training set (n = 131) and an internal validation set (n = 57) in a 7:3 ratio, with a comparable prevalence of massive haemoptysis in the two sets (30/131, 22.90% vs 12/57, 21.05%). Because both sets were drawn from a single cohort by random partition, the between-set comparisons in Table 1 are descriptive; the two sets were similar across demographic, clinical, and laboratory variables, with the exception of bronchial artery abnormality (BAA), which was more frequent in the internal validation set (29.82% vs 16.03%). Full baseline characteristics are summarized in Table 1.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3.2. Radiomic Feature Selection and Rad-score Construction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From each segmented lesion, 1,315 radiomic features were extracted. Features with an intraclass correlation coefficient ≤ 0.75 were removed, leaving 484 reproducible features; minimum-redundancy maximum-relevance (mRMR) filtering reduced these to 35 candidates, and least absolute shrinkage and selection operator (LASSO) logistic regression, with the penalty parameter tuned by cross-validation (Figure 2a,b), retained 6 features with non-zero coefficients (Figure 2c). The Rad-score was calculated for every patient as the linear combination of these 6 features weighted by their LASSO coefficients. Because the Rad-score is expressed on the linear-predictor (log-odds) scale, its absolute values are not directly interpretable and only relative differences between patients are meaningful.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3.3. Association Between the Rad-score and Massive Haemoptysis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The Rad-score was higher in patients with massive haemoptysis than in those with non-massive haemoptysis. In the training cohort, the median Rad-score was −1.043 (Q1, Q3: −1.189, −0.706) in the massive group versus −1.361 (−1.640, −1.062) in the non-massive group (Mann–Whitney U test, P = 1.49 × 10⁻⁵). The difference was in the same direction in the internal validation cohort (−1.029 [−1.275, −0.596] vs −1.189 [−1.523, −0.954]) but did not reach statistical significance (P = 0.122) (Table 4, Figure 3).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3.4. Independent Factors Associated with Massive Haemoptysis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On univariable logistic regression, tuberculosis (odds ratio [OR] 4.23, 95% CI 1.43–12.51; P = 0.009), bronchiectasis (OR 2.36, 1.03–5.41; P = 0.042), BAA (OR 5.27, 1.96–14.16; P = 0.001), fibrinogen (OR 0.57, 0.39–0.83; P = 0.004), and the Rad-score (OR 7.96, 2.75–23.11; P &lt; 0.001) were associated with massive haemoptysis. In the multivariable model, four variables remained independently associated with massive haemoptysis: tuberculosis (adjusted OR 5.18, 1.42–18.93; P = 0.013), BAA (adjusted OR 4.32, 1.33–14.10; P = 0.015), the Rad-score (adjusted OR 4.73, 1.53–14.63; P = 0.007), and fibrinogen, which was inversely associated (adjusted OR 0.65, 0.45–0.95; P = 0.025); bronchiectasis was not retained (Table 2, Figure 4).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3.5. Development and Performance of the Clinical–Radiomic Nomogram for Differentiating Massive Haemoptysis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A nomogram was constructed to estimate the probability that a patient's haemoptysis was massive — that is, to differentiate massive from non-massive haemoptysis at presentation rather than to forecast future bleeding — from the four independent factors: tuberculosis, BAA, fibrinogen, and the Rad-score (Figure 5). At an estimated-probability cut-point of 0.255, defined by the maximum Youden index in the training cohort and applied unchanged to the internal validation cohort, the nomogram achieved an accuracy of 0.824 (108/131), a sensitivity of 0.767 (23/30), and a specificity of 0.842 (85/101) in the training cohort, and an accuracy of 0.684 (39/57), a sensitivity of 0.750 (9/12), and a specificity of 0.667 (30/45) in the internal validation cohort (Table 3). Discrimination, measured as the area under the receiver operating characteristic curve (AUC), was 0.850 (95% CI 0.775–0.925) in the training cohort and 0.794 (0.631–0.958) in the internal validation cohort (Figure 6a,b); the wide confidence interval in the internal validation cohort reflects its small size (12 events). Calibration curves lay close to the diagonal, with a bootstrap-corrected mean absolute error of 0.024 (training) and 0.044 (internal validation) (Figure 6c,d). Decision-curve analysis showed a positive net benefit relative to the treat-all and treat-none strategies over a broad range of threshold probabilities (approximately 0.10–0.70 in the training cohort and 0.10–0.60 in the internal validation cohort) (Figure 6e,f).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3.6. Discrimination Relative to Single Predictors and Incremental Value of the Rad-score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The discrimination of the nomogram was compared with that of a model based on the three clinical variables alone (tuberculosis, BAA, and fibrinogen) and with the Rad-score alone. In the training cohort, the AUCs were 0.850 (0.775–0.925) for the nomogram, 0.796 (0.693–0.898) for the clinical model, and 0.761 (0.672–0.850) for the Rad-score; the corresponding values in the internal validation cohort were 0.794 (0.631–0.958), 0.744 (0.555–0.934), and 0.647 (0.456–0.839) (Table 5, Figure 7c,d). Receiver operating characteristic curves for each individual predictor, the Rad-score, and the nomogram are shown in Figure 7a (training) and Figure 7b (internal validation); in the training cohort the nomogram and the Rad-score lay above any single clinical factor across most of the curve, whereas in the internal validation cohort the curves converged and BAA alone performed comparably to the multivariable models.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By the DeLong test, the difference in AUC between the nomogram and the Rad-score alone reached nominal significance in the training cohort (Z = 2.06, P = 0.040) but not the Bonferroni-corrected threshold of P = 0.0167 for three comparisons per cohort; the difference between the nomogram and the clinical model was not significant (Z = 1.84, P = 0.066), and no pairwise difference was significant in the internal validation cohort (all P &gt; 0.17) (Table 5). Adding the Rad-score to the clinical model yielded an integrated discrimination improvement (IDI) of 0.062 (95% CI 0.013–0.111; P = 0.013) and a continuous net reclassification improvement (NRI) of 0.428 (0.029–0.827; P = 0.036) in the training cohort; in the internal validation cohort neither index was significant (IDI 0.064 [−0.044–0.171], P = 0.245; NRI 0.544 [−0.076–1.165], P = 0.085) (Table 6). Because the continuous NRI is known to reject the null more readily than its nominal level implies, the IDI provides the more conservative estimate; on that basis the incremental value of the Rad-score over the clinical variables was supported only in the training cohort and was not confirmed in internal validation.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