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rFonts w:ascii="Times New Roman" w:cs="Times New Roman" w:eastAsia="Times New Roman" w:hAnsi="Times New Roman"/>
          <w:b/>
          <w:bCs/>
          <w:sz w:val="28"/>
          <w:szCs w:val="28"/>
        </w:rPr>
        <w:t xml:space="preserve">3. Results</w:t>
      </w:r>
    </w:p>
    <w:p>
      <w:pPr>
        <w:spacing w:after="100" w:before="240"/>
      </w:pPr>
      <w:r>
        <w:rPr>
          <w:rFonts w:ascii="Times New Roman" w:cs="Times New Roman" w:eastAsia="Times New Roman" w:hAnsi="Times New Roman"/>
          <w:b/>
          <w:bCs/>
          <w:sz w:val="24"/>
          <w:szCs w:val="24"/>
        </w:rPr>
        <w:t xml:space="preserve">3.1. Study Population and Cohort Characteristics</w:t>
      </w:r>
    </w:p>
    <w:p>
      <w:pPr>
        <w:spacing w:after="160" w:line="360"/>
        <w:jc w:val="both"/>
      </w:pPr>
      <w:r>
        <w:rPr>
          <w:rFonts w:ascii="Times New Roman" w:cs="Times New Roman" w:eastAsia="Times New Roman" w:hAnsi="Times New Roman"/>
          <w:sz w:val="22"/>
          <w:szCs w:val="22"/>
        </w:rPr>
        <w:t xml:space="preserve">Between January 2021 and June 2025, 188 patients who presented with haemoptysis and underwent enhanced chest CT were included in this retrospective study (Figure 1). Massive haemoptysis, defined as a 24-hour volume greater than 500 mL or a single expectorated episode greater than 100 mL, was recorded in 42 patients (22.34%); the remaining 146 patients (77.66%) had non-massive haemoptysis. The median age was 61.0 years (Q1–Q3, 54.0–70.0) and 130 patients (69.15%) were male.</w:t>
      </w:r>
    </w:p>
    <w:p>
      <w:pPr>
        <w:spacing w:after="160" w:line="360"/>
        <w:jc w:val="both"/>
      </w:pPr>
      <w:r>
        <w:rPr>
          <w:rFonts w:ascii="Times New Roman" w:cs="Times New Roman" w:eastAsia="Times New Roman" w:hAnsi="Times New Roman"/>
          <w:sz w:val="22"/>
          <w:szCs w:val="22"/>
        </w:rPr>
        <w:t xml:space="preserve">The cohort was randomly divided into a training set (n = 131) and an internal validation set (n = 57) in a 7:3 ratio. The proportion of massive haemoptysis was similar in the two sets (30/131, 22.90% versus 12/57, 21.05%; P = 0.929). Baseline demographic, comorbidity, medication, and laboratory variables were also comparable between the two sets (all P &gt; 0.05), with one exception: bronchial artery abnormality (BAA) was more frequent in the internal validation set than in the training set (29.82% versus 16.03%; P = 0.049) (Table 1).</w:t>
      </w:r>
    </w:p>
    <w:p>
      <w:pPr>
        <w:spacing w:after="100" w:before="240"/>
      </w:pPr>
      <w:r>
        <w:rPr>
          <w:rFonts w:ascii="Times New Roman" w:cs="Times New Roman" w:eastAsia="Times New Roman" w:hAnsi="Times New Roman"/>
          <w:b/>
          <w:bCs/>
          <w:sz w:val="24"/>
          <w:szCs w:val="24"/>
        </w:rPr>
        <w:t xml:space="preserve">3.2. Radiomics Feature Selection and Rad-Score Construction</w:t>
      </w:r>
    </w:p>
    <w:p>
      <w:pPr>
        <w:spacing w:after="160" w:line="360"/>
        <w:jc w:val="both"/>
      </w:pPr>
      <w:r>
        <w:rPr>
          <w:rFonts w:ascii="Times New Roman" w:cs="Times New Roman" w:eastAsia="Times New Roman" w:hAnsi="Times New Roman"/>
          <w:sz w:val="22"/>
          <w:szCs w:val="22"/>
        </w:rPr>
        <w:t xml:space="preserve">A total of 1,315 radiomic features were extracted from the segmented lesions on enhanced chest CT. Features with an intraclass correlation coefficient greater than 0.75 were retained to ensure reproducibility, which left 484 features. Minimum-redundancy maximum-relevance (mRMR) filtering further reduced this set to 35 candidate features (Figure 1).</w:t>
      </w:r>
    </w:p>
    <w:p>
      <w:pPr>
        <w:spacing w:after="160" w:line="360"/>
        <w:jc w:val="both"/>
      </w:pPr>
      <w:r>
        <w:rPr>
          <w:rFonts w:ascii="Times New Roman" w:cs="Times New Roman" w:eastAsia="Times New Roman" w:hAnsi="Times New Roman"/>
          <w:sz w:val="22"/>
          <w:szCs w:val="22"/>
        </w:rPr>
        <w:t xml:space="preserve">The 35 candidate features were entered into a least absolute shrinkage and selection operator (LASSO) logistic regression model in the training cohort. The penalty parameter was tuned by cross-validation, and the value that minimised the binomial deviance was adopted, which yielded six features with non-zero coefficients (Figure 2a,b). The retained features and their coefficients were RunVariance (0.306), Idn (0.271), Imc1 (0.198), MCC (0.055), ZoneVariance (0.002), and SmallAreaEmphasis (−0.173) (Figure 2c). A radiomics score (Rad-score) was then calculated for each patient as the linear combination of these six features weighted by their LASSO coefficients.</w:t>
      </w:r>
    </w:p>
    <w:p>
      <w:pPr>
        <w:spacing w:after="100" w:before="240"/>
      </w:pPr>
      <w:r>
        <w:rPr>
          <w:rFonts w:ascii="Times New Roman" w:cs="Times New Roman" w:eastAsia="Times New Roman" w:hAnsi="Times New Roman"/>
          <w:b/>
          <w:bCs/>
          <w:sz w:val="24"/>
          <w:szCs w:val="24"/>
        </w:rPr>
        <w:t xml:space="preserve">3.3. Association between the Rad-Score and Massive Haemoptysis</w:t>
      </w:r>
    </w:p>
    <w:p>
      <w:pPr>
        <w:spacing w:after="160" w:line="360"/>
        <w:jc w:val="both"/>
      </w:pPr>
      <w:r>
        <w:rPr>
          <w:rFonts w:ascii="Times New Roman" w:cs="Times New Roman" w:eastAsia="Times New Roman" w:hAnsi="Times New Roman"/>
          <w:sz w:val="22"/>
          <w:szCs w:val="22"/>
        </w:rPr>
        <w:t xml:space="preserve">The Rad-score was higher in patients with massive haemoptysis than in those with non-massive haemoptysis. In the training cohort, the median Rad-score was −1.043 (Q1–Q3, −1.189 to −0.706) in the massive group and −1.361 (−1.640 to −1.062) in the non-massive group (Mann–Whitney U test, P = 1.49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sz w:val="22"/>
          <w:szCs w:val="22"/>
        </w:rPr>
        <w:t xml:space="preserve">) (Table 4, Figure 3a). The difference was in the same direction in the internal validation cohort, where the median Rad-score was −1.029 (−1.275 to −0.596) in the massive group and −1.189 (−1.523 to −0.954) in the non-massive group; this difference did not reach statistical significance (P = 0.122) (Table 4, Figure 3b).</w:t>
      </w:r>
    </w:p>
    <w:p>
      <w:pPr>
        <w:spacing w:after="100" w:before="240"/>
      </w:pPr>
      <w:r>
        <w:rPr>
          <w:rFonts w:ascii="Times New Roman" w:cs="Times New Roman" w:eastAsia="Times New Roman" w:hAnsi="Times New Roman"/>
          <w:b/>
          <w:bCs/>
          <w:sz w:val="24"/>
          <w:szCs w:val="24"/>
        </w:rPr>
        <w:t xml:space="preserve">3.4. Independent Predictors of Massive Haemoptysis</w:t>
      </w:r>
    </w:p>
    <w:p>
      <w:pPr>
        <w:spacing w:after="160" w:line="360"/>
        <w:jc w:val="both"/>
      </w:pPr>
      <w:r>
        <w:rPr>
          <w:rFonts w:ascii="Times New Roman" w:cs="Times New Roman" w:eastAsia="Times New Roman" w:hAnsi="Times New Roman"/>
          <w:sz w:val="22"/>
          <w:szCs w:val="22"/>
        </w:rPr>
        <w:t xml:space="preserve">In univariable logistic regression in the training cohort, tuberculosis (odds ratio [OR] 4.23, 95% confidence interval [CI] 1.429–12.505; P = 0.009), BAA (OR 5.27, 95% CI 1.960–14.162; P = 0.001), bronchiectasis (OR 2.36, 95% CI 1.031–5.409; P = 0.042), fibrinogen (OR 0.57, 95% CI 0.386–0.830; P = 0.004), and the Rad-score (OR 7.96, 95% CI 2.745–23.105; P &lt; 0.001) were associated with massive haemoptysis (Table 2, Figure 4a).</w:t>
      </w:r>
    </w:p>
    <w:p>
      <w:pPr>
        <w:spacing w:after="160" w:line="360"/>
        <w:jc w:val="both"/>
      </w:pPr>
      <w:r>
        <w:rPr>
          <w:rFonts w:ascii="Times New Roman" w:cs="Times New Roman" w:eastAsia="Times New Roman" w:hAnsi="Times New Roman"/>
          <w:sz w:val="22"/>
          <w:szCs w:val="22"/>
        </w:rPr>
        <w:t xml:space="preserve">Four variables remained independently associated with massive haemoptysis in the multivariable model: tuberculosis (adjusted OR 5.18, 95% CI 1.419–18.931; P = 0.013), BAA (adjusted OR 4.32, 95% CI 1.325–14.098; P = 0.015), the Rad-score (adjusted OR 4.73, 95% CI 1.530–14.632; P = 0.007), and fibrinogen (adjusted OR 0.65, 95% CI 0.446–0.947; P = 0.025) (Table 2, Figure 4b). A higher fibrinogen concentration was associated with lower odds of massive haemoptysis. Bronchiectasis was significant in the univariable analysis but was not retained in the multivariable model.</w:t>
      </w:r>
    </w:p>
    <w:p>
      <w:pPr>
        <w:spacing w:after="100" w:before="240"/>
      </w:pPr>
      <w:r>
        <w:rPr>
          <w:rFonts w:ascii="Times New Roman" w:cs="Times New Roman" w:eastAsia="Times New Roman" w:hAnsi="Times New Roman"/>
          <w:b/>
          <w:bCs/>
          <w:sz w:val="24"/>
          <w:szCs w:val="24"/>
        </w:rPr>
        <w:t xml:space="preserve">3.5. Clinical–Radiomic Nomogram and Its Diagnostic Performance</w:t>
      </w:r>
    </w:p>
    <w:p>
      <w:pPr>
        <w:spacing w:after="160" w:line="360"/>
        <w:jc w:val="both"/>
      </w:pPr>
      <w:r>
        <w:rPr>
          <w:rFonts w:ascii="Times New Roman" w:cs="Times New Roman" w:eastAsia="Times New Roman" w:hAnsi="Times New Roman"/>
          <w:sz w:val="22"/>
          <w:szCs w:val="22"/>
        </w:rPr>
        <w:t xml:space="preserve">The four independent predictors were combined into a clinical–radiomic nomogram for estimating the probability of massive haemoptysis (Figure 5). The nomogram discriminated massive from non-massive haemoptysis with an area under the receiver operating characteristic curve (AUC) of 0.850 (95% CI 0.775–0.925) in the training cohort and 0.794 (95% CI 0.631–0.958) in the internal validation cohort (Table 3, Figure 6a,b).</w:t>
      </w:r>
    </w:p>
    <w:p>
      <w:pPr>
        <w:spacing w:after="160" w:line="360"/>
        <w:jc w:val="both"/>
      </w:pPr>
      <w:r>
        <w:rPr>
          <w:rFonts w:ascii="Times New Roman" w:cs="Times New Roman" w:eastAsia="Times New Roman" w:hAnsi="Times New Roman"/>
          <w:sz w:val="22"/>
          <w:szCs w:val="22"/>
        </w:rPr>
        <w:t xml:space="preserve">An estimated-probability cut-point of 0.255, corresponding to the maximum Youden index in the training cohort, was applied unchanged to the internal validation cohort. At this threshold the nomogram achieved an accuracy of 0.824 (108/131), a sensitivity of 0.767 (23/30), and a specificity of 0.842 (85/101) in the training cohort, and an accuracy of 0.684 (39/57), a sensitivity of 0.750 (9/12), and a specificity of 0.667 (30/45) in the internal validation cohort (Table 3).</w:t>
      </w:r>
    </w:p>
    <w:p>
      <w:pPr>
        <w:spacing w:after="160" w:line="360"/>
        <w:jc w:val="both"/>
      </w:pPr>
      <w:r>
        <w:rPr>
          <w:rFonts w:ascii="Times New Roman" w:cs="Times New Roman" w:eastAsia="Times New Roman" w:hAnsi="Times New Roman"/>
          <w:sz w:val="22"/>
          <w:szCs w:val="22"/>
        </w:rPr>
        <w:t xml:space="preserve">Calibration curves showed close agreement between the predicted and observed probabilities, with a mean absolute error of 0.024 in the training cohort and 0.044 in the internal validation cohort (Figure 6c,d). Decision curve analysis indicated that the nomogram provided a positive net benefit over the treat-all and treat-none strategies across a broad range of threshold probabilities in both cohorts (Figure 6e,f).</w:t>
      </w:r>
    </w:p>
    <w:p>
      <w:pPr>
        <w:spacing w:after="100" w:before="240"/>
      </w:pPr>
      <w:r>
        <w:rPr>
          <w:rFonts w:ascii="Times New Roman" w:cs="Times New Roman" w:eastAsia="Times New Roman" w:hAnsi="Times New Roman"/>
          <w:b/>
          <w:bCs/>
          <w:sz w:val="24"/>
          <w:szCs w:val="24"/>
        </w:rPr>
        <w:t xml:space="preserve">3.6. Incremental Value of the Rad-Score over Clinical Variables</w:t>
      </w:r>
    </w:p>
    <w:p>
      <w:pPr>
        <w:spacing w:after="160" w:line="360"/>
        <w:jc w:val="both"/>
      </w:pPr>
      <w:r>
        <w:rPr>
          <w:rFonts w:ascii="Times New Roman" w:cs="Times New Roman" w:eastAsia="Times New Roman" w:hAnsi="Times New Roman"/>
          <w:sz w:val="22"/>
          <w:szCs w:val="22"/>
        </w:rPr>
        <w:t xml:space="preserve">To assess the contribution of the Rad-score, three models were compared: a combined model (Rad-score plus tuberculosis, BAA, and fibrinogen), a clinical model (tuberculosis, BAA, and fibrinogen), and the Rad-score alone. In the training cohort, the AUCs were 0.850 (95% CI 0.775–0.925) for the combined model, 0.796 (95% CI 0.693–0.898) for the clinical model, and 0.761 (95% CI 0.672–0.850) for the Rad-score. In the internal validation cohort, the corresponding AUCs were 0.794 (95% CI 0.631–0.958), 0.744 (95% CI 0.555–0.934), and 0.647 (95% CI 0.456–0.839) (Table 5, Figure 7).</w:t>
      </w:r>
    </w:p>
    <w:p>
      <w:pPr>
        <w:spacing w:after="160" w:line="360"/>
        <w:jc w:val="both"/>
      </w:pPr>
      <w:r>
        <w:rPr>
          <w:rFonts w:ascii="Times New Roman" w:cs="Times New Roman" w:eastAsia="Times New Roman" w:hAnsi="Times New Roman"/>
          <w:sz w:val="22"/>
          <w:szCs w:val="22"/>
        </w:rPr>
        <w:t xml:space="preserve">Pairwise DeLong tests showed that the combined model had a higher AUC than the Rad-score alone in the training cohort (Z = 2.058; P = 0.040), whereas the difference between the combined and clinical models did not reach significance (Z = 1.841; P = 0.066) (Table 5). Because three comparisons were made in each cohort, a Bonferroni-corrected significance threshold of P = 0.0167 was applied; under this threshold none of the pairwise differences was statistically significant, and no pairwise difference reached significance in the internal validation cohort.</w:t>
      </w:r>
    </w:p>
    <w:p>
      <w:pPr>
        <w:spacing w:after="160" w:line="360"/>
        <w:jc w:val="both"/>
      </w:pPr>
      <w:r>
        <w:rPr>
          <w:rFonts w:ascii="Times New Roman" w:cs="Times New Roman" w:eastAsia="Times New Roman" w:hAnsi="Times New Roman"/>
          <w:sz w:val="22"/>
          <w:szCs w:val="22"/>
        </w:rPr>
        <w:t xml:space="preserve">Adding the Rad-score to the clinical model improved risk reclassification in the training cohort, with a continuous net reclassification improvement (NRI) of 0.428 (95% CI 0.029–0.827; P = 0.036) and an integrated discrimination improvement (IDI) of 0.062 (95% CI 0.013–0.111; P = 0.013) (Table 6). In the internal validation cohort, the NRI was 0.544 (95% CI −0.076 to 1.165; P = 0.085) and the IDI was 0.064 (95% CI −0.044 to 0.171; P = 0.245), neither of which reached significance. Because the continuous NRI rejects the null hypothesis more readily than its nominal level implies, the IDI provides the more conservative estimate of added value; both indices pointed in the same direction in the training cohort.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dc:title>
  <dc:creator>Results draft</dc:creator>
  <cp:lastModifiedBy>Un-named</cp:lastModifiedBy>
  <cp:revision>1</cp:revision>
  <dcterms:created xsi:type="dcterms:W3CDTF">2026-08-24T02:59:57.513Z</dcterms:created>
  <dcterms:modified xsi:type="dcterms:W3CDTF">2026-08-24T02:59:57.513Z</dcterms:modified>
</cp:coreProperties>
</file>

<file path=docProps/custom.xml><?xml version="1.0" encoding="utf-8"?>
<Properties xmlns="http://schemas.openxmlformats.org/officeDocument/2006/custom-properties" xmlns:vt="http://schemas.openxmlformats.org/officeDocument/2006/docPropsVTypes"/>
</file>