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4. Discussion</w:t>
      </w:r>
    </w:p>
    <w:p>
      <w:pPr>
        <w:spacing w:after="160" w:line="360" w:lineRule="auto"/>
      </w:pPr>
      <w:r>
        <w:rPr>
          <w:rFonts w:ascii="Times New Roman" w:hAnsi="Times New Roman" w:eastAsia="Times New Roman"/>
        </w:rPr>
        <w:t>In this retrospective study of patients presenting with haemoptysis, a CT radiomic signature (the Rad-score) derived from contrast-enhanced chest CT was independently associated with massive haemoptysis, and a clinical–radiomic nomogram that combined the Rad-score with three routinely available variables — tuberculosis, bronchial artery abnormality (BAA), and fibrinogen — differentiated massive from non-massive haemoptysis with good discrimination and calibration in the training cohort (area under the curve [AUC] 0.850; mean absolute error 0.024). The direction of association was preserved in the internal validation cohort (AUC 0.794), although the confidence interval was wide. Two features of the results temper their interpretation and shape the intended use of the model: the nomogram did not significantly outperform a model based on the three clinical variables alone, and the incremental value of the Rad-score reached statistical significance only in the training cohort. We therefore frame the model as an aid to the differential diagnosis of haemoptysis severity at presentation rather than as a tool to forecast future bleeding.</w:t>
      </w:r>
    </w:p>
    <w:p>
      <w:pPr>
        <w:pStyle w:val="Heading2"/>
      </w:pPr>
      <w:r>
        <w:rPr>
          <w:rFonts w:ascii="Times New Roman" w:hAnsi="Times New Roman" w:eastAsia="Times New Roman"/>
          <w:b/>
          <w:i/>
          <w:sz w:val="24"/>
        </w:rPr>
        <w:t>4.1. Interpretation of the Independent Factors</w:t>
      </w:r>
    </w:p>
    <w:p>
      <w:pPr>
        <w:spacing w:after="160" w:line="360" w:lineRule="auto"/>
      </w:pPr>
      <w:r>
        <w:rPr>
          <w:rFonts w:ascii="Times New Roman" w:hAnsi="Times New Roman" w:eastAsia="Times New Roman"/>
        </w:rPr>
        <w:t xml:space="preserve">The independent factors identified are consistent with the vascular mechanisms of severe haemoptysis. Hypertrophy and remodelling of the bronchial and non-bronchial systemic arteries form the anatomical substrate of most severe bleeding, so the strong association of BAA — defined as a bronchial artery–pulmonary fistula, a bronchial artery malformation, or both — with massive haemoptysis is mechanistically coherent </w:t>
      </w:r>
      <w:r>
        <w:rPr>
          <w:rFonts w:ascii="Times New Roman" w:hAnsi="Times New Roman" w:eastAsia="Times New Roman"/>
          <w:b/>
          <w:highlight w:val="yellow"/>
        </w:rPr>
        <w:t>[cite: bronchial artery pathology and massive haemoptysis]</w:t>
      </w:r>
      <w:r>
        <w:rPr>
          <w:rFonts w:ascii="Times New Roman" w:hAnsi="Times New Roman" w:eastAsia="Times New Roman"/>
        </w:rPr>
        <w:t xml:space="preserve">. Tuberculosis, whether active or prior, promotes bronchiectasis, Rasmussen aneurysm, and bronchial arterial remodelling, and is a recognised contributor to life-threatening haemoptysis </w:t>
      </w:r>
      <w:r>
        <w:rPr>
          <w:rFonts w:ascii="Times New Roman" w:hAnsi="Times New Roman" w:eastAsia="Times New Roman"/>
          <w:b/>
          <w:highlight w:val="yellow"/>
        </w:rPr>
        <w:t>[cite: tuberculosis and haemoptysis]</w:t>
      </w:r>
      <w:r>
        <w:rPr>
          <w:rFonts w:ascii="Times New Roman" w:hAnsi="Times New Roman" w:eastAsia="Times New Roman"/>
        </w:rPr>
        <w:t xml:space="preserve">. The inverse association of fibrinogen with massive haemoptysis should be read as an association rather than a causal effect; lower fibrinogen may reflect consumption or impaired haemostasis, but the finding requires confirmation </w:t>
      </w:r>
      <w:r>
        <w:rPr>
          <w:rFonts w:ascii="Times New Roman" w:hAnsi="Times New Roman" w:eastAsia="Times New Roman"/>
          <w:b/>
          <w:highlight w:val="yellow"/>
        </w:rPr>
        <w:t>[cite: coagulation markers and bleeding severity]</w:t>
      </w:r>
      <w:r>
        <w:rPr>
          <w:rFonts w:ascii="Times New Roman" w:hAnsi="Times New Roman" w:eastAsia="Times New Roman"/>
        </w:rPr>
        <w:t>. The Rad-score aggregates texture features — including run- and zone-variance and informational measures of correlation — that quantify lesion heterogeneity not readily appreciated by visual inspection, and is best regarded as a quantitative imaging biomarker complementary to the clinical variables.</w:t>
      </w:r>
    </w:p>
    <w:p>
      <w:pPr>
        <w:pStyle w:val="Heading2"/>
      </w:pPr>
      <w:r>
        <w:rPr>
          <w:rFonts w:ascii="Times New Roman" w:hAnsi="Times New Roman" w:eastAsia="Times New Roman"/>
          <w:b/>
          <w:i/>
          <w:sz w:val="24"/>
        </w:rPr>
        <w:t>4.2. Comparison with Previous Work</w:t>
      </w:r>
    </w:p>
    <w:p>
      <w:pPr>
        <w:spacing w:after="160" w:line="360" w:lineRule="auto"/>
      </w:pPr>
      <w:r>
        <w:rPr>
          <w:rFonts w:ascii="Times New Roman" w:hAnsi="Times New Roman" w:eastAsia="Times New Roman"/>
        </w:rPr>
        <w:t xml:space="preserve">Radiomic analysis of chest CT has been applied to a range of thoracic conditions, but its use for characterising haemoptysis severity remains limited </w:t>
      </w:r>
      <w:r>
        <w:rPr>
          <w:rFonts w:ascii="Times New Roman" w:hAnsi="Times New Roman" w:eastAsia="Times New Roman"/>
          <w:b/>
          <w:highlight w:val="yellow"/>
        </w:rPr>
        <w:t>[cite: prior radiomics studies in thoracic / haemoptysis imaging]</w:t>
      </w:r>
      <w:r>
        <w:rPr>
          <w:rFonts w:ascii="Times New Roman" w:hAnsi="Times New Roman" w:eastAsia="Times New Roman"/>
        </w:rPr>
        <w:t xml:space="preserve">. Our findings are in keeping with the established clinical importance of bronchial arterial pathology and of tuberculosis in severe haemoptysis, and they extend that clinical knowledge with a reproducibility-filtered imaging signature </w:t>
      </w:r>
      <w:r>
        <w:rPr>
          <w:rFonts w:ascii="Times New Roman" w:hAnsi="Times New Roman" w:eastAsia="Times New Roman"/>
          <w:b/>
          <w:highlight w:val="yellow"/>
        </w:rPr>
        <w:t>[cite: comparator studies / consistency or contrast with prior findings]</w:t>
      </w:r>
      <w:r>
        <w:rPr>
          <w:rFonts w:ascii="Times New Roman" w:hAnsi="Times New Roman" w:eastAsia="Times New Roman"/>
        </w:rPr>
        <w:t xml:space="preserve">. To our knowledge, </w:t>
      </w:r>
      <w:r>
        <w:rPr>
          <w:rFonts w:ascii="Times New Roman" w:hAnsi="Times New Roman" w:eastAsia="Times New Roman"/>
          <w:b/>
          <w:highlight w:val="yellow"/>
        </w:rPr>
        <w:t>[confirm/cite: statement of what this study adds, bounded to the literature searched — avoid absolute novelty claims such as “first study” unless verified]</w:t>
      </w:r>
      <w:r>
        <w:rPr>
          <w:rFonts w:ascii="Times New Roman" w:hAnsi="Times New Roman" w:eastAsia="Times New Roman"/>
        </w:rPr>
        <w:t>.</w:t>
      </w:r>
    </w:p>
    <w:p>
      <w:pPr>
        <w:pStyle w:val="Heading2"/>
      </w:pPr>
      <w:r>
        <w:rPr>
          <w:rFonts w:ascii="Times New Roman" w:hAnsi="Times New Roman" w:eastAsia="Times New Roman"/>
          <w:b/>
          <w:i/>
          <w:sz w:val="24"/>
        </w:rPr>
        <w:t>4.3. Clinical Implications</w:t>
      </w:r>
    </w:p>
    <w:p>
      <w:pPr>
        <w:spacing w:after="160" w:line="360" w:lineRule="auto"/>
      </w:pPr>
      <w:r>
        <w:rPr>
          <w:rFonts w:ascii="Times New Roman" w:hAnsi="Times New Roman" w:eastAsia="Times New Roman"/>
        </w:rPr>
        <w:t>Because the nomogram draws on variables available early in the diagnostic pathway, it could support the differential diagnosis and triage of patients with haemoptysis at presentation — for example, prioritising early CT angiography or referral for bronchial artery embolisation in patients estimated to be at high probability of massive haemoptysis, particularly when the 24-hour expectorated volume is difficult to quantify. However, because the added value of the Rad-score over the three clinical variables was not statistically confirmed, a parsimonious clinical model may be sufficient in many settings, and the contribution of radiomics should be regarded as hypothesis-generating until confirmed in larger, external cohorts.</w:t>
      </w:r>
    </w:p>
    <w:p>
      <w:pPr>
        <w:pStyle w:val="Heading2"/>
      </w:pPr>
      <w:r>
        <w:rPr>
          <w:rFonts w:ascii="Times New Roman" w:hAnsi="Times New Roman" w:eastAsia="Times New Roman"/>
          <w:b/>
          <w:i/>
          <w:sz w:val="24"/>
        </w:rPr>
        <w:t>4.4. Limitations</w:t>
      </w:r>
    </w:p>
    <w:p>
      <w:pPr>
        <w:spacing w:after="160" w:line="360" w:lineRule="auto"/>
      </w:pPr>
      <w:r>
        <w:rPr>
          <w:rFonts w:ascii="Times New Roman" w:hAnsi="Times New Roman" w:eastAsia="Times New Roman"/>
        </w:rPr>
        <w:t xml:space="preserve">This study has several limitations. First, it was a </w:t>
      </w:r>
      <w:r>
        <w:rPr>
          <w:rFonts w:ascii="Times New Roman" w:hAnsi="Times New Roman" w:eastAsia="Times New Roman"/>
          <w:b/>
          <w:highlight w:val="yellow"/>
        </w:rPr>
        <w:t>[confirm: single-centre]</w:t>
      </w:r>
      <w:r>
        <w:rPr>
          <w:rFonts w:ascii="Times New Roman" w:hAnsi="Times New Roman" w:eastAsia="Times New Roman"/>
        </w:rPr>
        <w:t xml:space="preserve"> retrospective study, which introduces selection bias and limits generalisability. Second, the sample was modest and the internal validation cohort was small (57 patients, 12 events), yielding wide confidence intervals and limited statistical power; this is the most likely explanation for the non-significant between-group difference in Rad-score (P = 0.122) and the non-significant reclassification indices in the internal validation cohort. With 30 events and four predictors, the training model had approximately 7.5 events per variable, below the conventional threshold of ten, so some optimism and overfitting are likely and probably contributed to the decline in performance from the training to the internal validation cohort (accuracy 0.824 to 0.684; AUC 0.850 to 0.794). Third, validation relied on a single random split rather than an external or temporal cohort, and BAA was imbalanced between the training and validation sets (16.03% vs 29.82%), which may have affected the validation estimates. Fourth, the incremental value of the Rad-score over the clinical model was not statistically established (the AUC difference did not survive Bonferroni correction, and the reclassification indices were significant only in the training cohort), so the marginal benefit of radiomics remains unproven. Fifth, by design the model differentiates current haemoptysis severity and cannot forecast future bleeding, recurrence, or rebleeding after treatment. Sixth, radiomic reproducibility was addressed by intraclass-correlation filtering, but feature extraction was performed with </w:t>
      </w:r>
      <w:r>
        <w:rPr>
          <w:rFonts w:ascii="Times New Roman" w:hAnsi="Times New Roman" w:eastAsia="Times New Roman"/>
          <w:b/>
          <w:highlight w:val="yellow"/>
        </w:rPr>
        <w:t>[confirm: single software / single institution]</w:t>
      </w:r>
      <w:r>
        <w:rPr>
          <w:rFonts w:ascii="Times New Roman" w:hAnsi="Times New Roman" w:eastAsia="Times New Roman"/>
        </w:rPr>
        <w:t xml:space="preserve"> and segmentation was </w:t>
      </w:r>
      <w:r>
        <w:rPr>
          <w:rFonts w:ascii="Times New Roman" w:hAnsi="Times New Roman" w:eastAsia="Times New Roman"/>
          <w:b/>
          <w:highlight w:val="yellow"/>
        </w:rPr>
        <w:t>[confirm: manual]</w:t>
      </w:r>
      <w:r>
        <w:rPr>
          <w:rFonts w:ascii="Times New Roman" w:hAnsi="Times New Roman" w:eastAsia="Times New Roman"/>
        </w:rPr>
        <w:t>, so multi-scanner and multi-reader robustness remain to be tested. Finally, the reference standard — the documented 24-hour expectorated blood volume — is subject to reporting and measurement variability.</w:t>
      </w:r>
    </w:p>
    <w:p>
      <w:pPr>
        <w:pStyle w:val="Heading1"/>
      </w:pPr>
      <w:r>
        <w:rPr>
          <w:rFonts w:ascii="Times New Roman" w:hAnsi="Times New Roman" w:eastAsia="Times New Roman"/>
          <w:b/>
          <w:sz w:val="28"/>
        </w:rPr>
        <w:t>5. Conclusions</w:t>
      </w:r>
    </w:p>
    <w:p>
      <w:pPr>
        <w:spacing w:after="160" w:line="360" w:lineRule="auto"/>
      </w:pPr>
      <w:r>
        <w:rPr>
          <w:rFonts w:ascii="Times New Roman" w:hAnsi="Times New Roman" w:eastAsia="Times New Roman"/>
        </w:rPr>
        <w:t>In patients presenting with haemoptysis, a clinical–radiomic nomogram combining a CT Rad-score with tuberculosis, BAA, and fibrinogen differentiated massive from non-massive haemoptysis with good discrimination and calibration in the training cohort and offers a potential aid to early differential diagnosis. The model did not, however, significantly outperform a simpler model based on the three clinical variables alone, and its performance in the small internal validation cohort was uncertain. Larger, multicentre studies with external validation are needed to confirm the incremental value of radiomics and to establish the model's role in clinical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