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/>
          <w:sz w:val="28"/>
        </w:rPr>
        <w:t>3. Results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3.1. Patient Characteristics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A total of 188 patients with haemoptysis who underwent enhanced chest CT between January 2021 and June 2025 were included (Figure 1). Massive haemoptysis was identified in 42 patients (22.34%) and non-massive haemoptysis in 146 (77.66%). The cohort was randomly partitioned into a training set (n = 131) and an internal validation set (n = 57) in a 7:3 ratio, with a comparable prevalence of massive haemoptysis in the two sets (30/131, 22.90% vs 12/57, 21.05%). Because both sets were drawn from a single cohort by random partition, the between-set comparisons in Table 1 are descriptive; the two sets were similar across demographic, clinical, and laboratory variables, with the exception of bronchial artery abnormality (BAA), which was more frequent in the internal validation set (29.82% vs 16.03%). Full baseline characteristics are summarized in Table 1.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3.2. Radiomic Feature Selection and Rad-score Construction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From each segmented lesion, 1,315 radiomic features were extracted. Features with an intraclass correlation coefficient ≤ 0.75 were removed, leaving 484 reproducible features; minimum-redundancy maximum-relevance (mRMR) filtering reduced these to 35 candidates, and least absolute shrinkage and selection operator (LASSO) logistic regression, with the penalty parameter tuned by cross-validation (Figure 2a,b), retained 6 features with non-zero coefficients (Figure 2c). The Rad-score was calculated for every patient as the linear combination of these 6 features weighted by their LASSO coefficients. Because the Rad-score is expressed on the linear-predictor (log-odds) scale, its absolute values are not directly interpretable and only relative differences between patients are meaningful.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3.3. Association Between the Rad-score and Massive Haemoptysis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The Rad-score was higher in patients with massive haemoptysis than in those with non-massive haemoptysis. In the training cohort, the median Rad-score was −1.043 (Q1, Q3: −1.189, −0.706) in the massive group versus −1.361 (−1.640, −1.062) in the non-massive group (Mann–Whitney U test, P = 1.49 × 10⁻⁵). The difference was in the same direction in the internal validation cohort (−1.029 [−1.275, −0.596] vs −1.189 [−1.523, −0.954]) but did not reach statistical significance (P = 0.122) (Table 4, Figure 3).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3.4. Independent Factors Associated with Massive Haemoptysis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On univariable logistic regression, tuberculosis (odds ratio [OR] 4.23, 95% CI 1.43–12.51; P = 0.009), bronchiectasis (OR 2.36, 1.03–5.41; P = 0.042), BAA (OR 5.27, 1.96–14.16; P = 0.001), fibrinogen (OR 0.57, 0.39–0.83; P = 0.004), and the Rad-score (OR 7.96, 2.75–23.11; P &lt; 0.001) were associated with massive haemoptysis. In the multivariable model, four variables remained independently associated with massive haemoptysis: tuberculosis (adjusted OR 5.18, 1.42–18.93; P = 0.013), BAA (adjusted OR 4.32, 1.33–14.10; P = 0.015), the Rad-score (adjusted OR 4.73, 1.53–14.63; P = 0.007), and fibrinogen, which was inversely associated (adjusted OR 0.65, 0.45–0.95; P = 0.025); bronchiectasis was not retained (Table 2, Figure 4).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3.5. Development and Performance of the Clinical–Radiomic Nomogram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A nomogram was constructed from the four independent factors — tuberculosis, BAA, fibrinogen, and the Rad-score (Figure 5). At a predicted-probability cut-point of 0.255, defined by the maximum Youden index in the training cohort and applied unchanged to the internal validation cohort, the nomogram achieved an accuracy of 0.824 (108/131), a sensitivity of 0.767 (23/30), and a specificity of 0.842 (85/101) in the training cohort, and an accuracy of 0.684 (39/57), a sensitivity of 0.750 (9/12), and a specificity of 0.667 (30/45) in the internal validation cohort (Table 3). Discrimination, measured as the area under the receiver operating characteristic curve (AUC), was 0.850 (95% CI 0.775–0.925) in the training cohort and 0.794 (0.631–0.958) in the internal validation cohort (Figure 6a,b); the wide confidence interval in the internal validation cohort reflects its small size (12 events). Calibration curves lay close to the diagonal, with a bootstrap-corrected mean absolute error of 0.024 (training) and 0.044 (internal validation) (Figure 6c,d). Decision-curve analysis showed a positive net benefit relative to the treat-all and treat-none strategies over a broad range of threshold probabilities (approximately 0.10–0.70 in the training cohort and 0.10–0.60 in the internal validation cohort) (Figure 6e,f).</w:t>
      </w:r>
    </w:p>
    <w:p>
      <w:pPr>
        <w:pStyle w:val="Heading2"/>
      </w:pPr>
      <w:r>
        <w:rPr>
          <w:rFonts w:ascii="Times New Roman" w:hAnsi="Times New Roman"/>
          <w:b/>
          <w:i/>
          <w:sz w:val="24"/>
        </w:rPr>
        <w:t>3.6. Discrimination Relative to Single Predictors and Incremental Value of the Rad-score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The discrimination of the nomogram was compared with that of a model based on the three clinical variables alone (tuberculosis, BAA, and fibrinogen) and with the Rad-score alone. In the training cohort, the AUCs were 0.850 (0.775–0.925) for the nomogram, 0.796 (0.693–0.898) for the clinical model, and 0.761 (0.672–0.850) for the Rad-score; the corresponding values in the internal validation cohort were 0.794 (0.631–0.958), 0.744 (0.555–0.934), and 0.647 (0.456–0.839) (Table 5, Figure 7c,d). Receiver operating characteristic curves for each individual predictor, the Rad-score, and the nomogram are shown in Figure 7a (training) and Figure 7b (internal validation); in the training cohort the nomogram and the Rad-score lay above any single clinical factor across most of the curve, whereas in the internal validation cohort the curves converged and BAA alone performed comparably to the multivariable models.</w:t>
      </w:r>
    </w:p>
    <w:p>
      <w:pPr>
        <w:spacing w:after="160" w:line="360" w:lineRule="auto"/>
      </w:pPr>
      <w:r>
        <w:rPr>
          <w:rFonts w:ascii="Times New Roman" w:hAnsi="Times New Roman" w:eastAsia="Times New Roman"/>
        </w:rPr>
        <w:t>By the DeLong test, the difference in AUC between the nomogram and the Rad-score alone reached nominal significance in the training cohort (Z = 2.06, P = 0.040) but not the Bonferroni-corrected threshold of P = 0.0167 for three comparisons per cohort; the difference between the nomogram and the clinical model was not significant (Z = 1.84, P = 0.066), and no pairwise difference was significant in the internal validation cohort (all P &gt; 0.17) (Table 5). Adding the Rad-score to the clinical model yielded an integrated discrimination improvement (IDI) of 0.062 (95% CI 0.013–0.111; P = 0.013) and a continuous net reclassification improvement (NRI) of 0.428 (0.029–0.827; P = 0.036) in the training cohort; in the internal validation cohort neither index was significant (IDI 0.064 [−0.044–0.171], P = 0.245; NRI 0.544 [−0.076–1.165], P = 0.085) (Table 6). Because the continuous NRI is known to reject the null more readily than its nominal level implies, the IDI provides the more conservative estimate; on that basis the incremental value of the Rad-score over the clinical variables was supported only in the training cohort and was not confirmed in internal validation.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