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most recorded baseline variables: age (overall median 61 years, IQR 54 to 70; p=0.222), sex (130/188 male, 69.15%; p=0.709), smoking status (113/188 ever-smokers, 60.11%; p=0.688), duration of smoking, comorbid cancer, tuberculosis, bronchiectasis and fungal infection, antiplatelet and antithrombotic medication, platelet count (PLT), D-dimer (D-D), international normalised ratio (INR) and fibrinogen (Fib), none of which reached p&lt;0.10 (Table 1).</w:t>
      </w:r>
    </w:p>
    <w:p>
      <w:pPr>
        <w:spacing w:line="480" w:lineRule="auto"/>
        <w:ind w:firstLine="720"/>
      </w:pPr>
      <w:r>
        <w:rPr>
          <w:i w:val="0"/>
        </w:rPr>
        <w:t>One variable was the exception. Bronchial artery abnormality (BAA), a composite of bronchial artery–pulmonary fistula and bronchial artery malformation, which represent variants of the same abnormal bronchial arterial vasculature, was present in 38 of 188 patients overall (20.21%) but was distributed unevenly between the two sets: 21 of 131 training patients (16.03%) and 17 of 57 validation patients (29.82%), p=0.049. The validation cohort therefore carried nearly twice the prevalence of the strongest binary term in the model. Because the sets were generated by random splitting rather than by any allocation rule, this difference is a product of the partition obtained rather than of any systematic difference in ascertainment, but it should be kept in view when the two cohorts are compared.</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Of 1,315 features extracted, 484 (36.8%) had an inter-reader intraclass correlation coefficient (ICC) above 0.75 and were retained, with ICCs ranging from 0.760 to 0.914 (median 0.849). The maximum-relevance minimum-redundancy (mRMR) algorithm reduced these to 35, which entered the least absolute shrinkage and selection operator (LASSO) step.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p=1.49 × 10⁻⁵).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Five variables were associated with massive haemoptysis in univariable logistic regression (Table 2, Figure 4a): tuberculosis (OR 4.23, 95% CI 1.43 to 12.51; p=0.009), bronchiectasis (OR 2.36, 95% CI 1.03 to 5.41; p=0.042), BAA (OR 5.27, 95% CI 1.96 to 14.16; p=0.001),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BAA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5.18, 95% CI 1.42 to 18.93; p=0.013), BAA (OR 4.32, 95% CI 1.33 to 14.10; p=0.015), fibrinogen (OR 0.65, 95% CI 0.45 to 0.95; p=0.025) and the Rad-score (OR 4.73, 95% CI 1.53 to 14.63; p=0.007). Bronchiectasis, although associated on univariable testing, did not retain an independent association and was not carried into the final model. Higher fibrinogen was associated with a lower probability of massive presentation. With 30 events and four retained predictors, the model operates at roughly 7.5 events per variable, below the conventional threshold of ten, so the adjusted point estimates should be read as provisional.</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followed by fibrinogen, which is plotted on a descending scale so that lower values attract more points. Tuberculosis and BAA each contribute a smaller fixed amount when present.</w:t>
      </w:r>
    </w:p>
    <w:p>
      <w:pPr>
        <w:spacing w:line="480" w:lineRule="auto"/>
        <w:ind w:firstLine="720"/>
      </w:pPr>
      <w:r>
        <w:rPr>
          <w:i/>
        </w:rPr>
        <w:t>[The nomogram axis is still labelled BAPF and needs relabelling to BAA to match Table 1, Table 2 and the text. Point allocations are deliberately not reported in the text.]</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cohort, with an area under the receiver operating characteristic curve (AUC) of 0.850 (95% CI 0.775 to 0.925), sensitivity 0.767 (23/30), specificity 0.842 (85/101) and accuracy 0.824 (108/131) at the 0.255 cut-point. In the internal validation cohort the AUC was 0.794 (95% CI 0.631 to 0.958), with sensitivity 0.750 (9/12), specificity 0.667 (30/45) and accuracy 0.684 (39/57) at the same cut-point (Table 3, Figure 6). Sensitivity was thus slightly higher and specificity appreciably lower in validation than in training, and overall accuracy fell from 0.824 to 0.684. The validation interval spans 0.327 AUC units and its lower bound lies close to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val="0"/>
        </w:rPr>
        <w:t>In the training cohort the nomogram showed close agreement between estimated and observed probabilities, with a Brier score of 0.126, Dxy 0.700 and R² 0.376, and a maximum absolute calibration error of 0.101 (E90 0.058, average error 0.024)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substantially weaker in the internal validation cohort (Figure 8b). The Brier score was 0.141, Dxy 0.589 and R² 0.178, and the logistic calibration curve lay below the diagonal across its entire range, with a calibration intercept of −0.781 and a slope of 0.741. The model therefore overestimates the probability of massive haemoptysis systematically, and increasingly so at higher estimated probabilities: the maximum absolute error was 0.237, with E90 0.206 and an average error of 0.111. The calibration curve corresponds to observed proportions of 0.253, 0.382 and 0.561 at estimated probabilities of 0.4, 0.6 and 0.8, an absolute overestimation of 0.15 to 0.24 across that range.</w:t>
      </w:r>
    </w:p>
    <w:p>
      <w:pPr>
        <w:spacing w:line="480" w:lineRule="auto"/>
        <w:ind w:firstLine="720"/>
      </w:pPr>
      <w:r>
        <w:rPr>
          <w:i w:val="0"/>
        </w:rPr>
        <w:t>The Hosmer–Lemeshow test detected no significant departure from the fitted model in either cohort (training χ²=7.572, df=8, p=0.476; validation χ²=9.213, df=8, p=0.325). These results should not be read as evidence of adequate calibration. With 57 patients and 12 events the validation test has very little power, and the calibration intercept and slope reported above show a clear departure from the identity line that the test does not detect. Recalibration of the intercept would be required before the estimated probabilities could be used as absolute risks outside the development sample.</w:t>
      </w:r>
    </w:p>
    <w:p>
      <w:pPr>
        <w:spacing w:line="480" w:lineRule="auto"/>
        <w:ind w:firstLine="720"/>
      </w:pPr>
      <w:r>
        <w:rPr>
          <w:i/>
        </w:rPr>
        <w:t>[The two decision-curve panels are transposed relative to their captions and need swapping. Net benefit at a threshold of zero equals the prevalence, and the treat-all line crosses zero at the prevalence; the panel captioned training starts at 0.209, matching the validation prevalence of 12/57, and the panel captioned validation starts at 0.228, matching the training prevalence of 30/131. The text below already uses the corrected assignment.]</w:t>
      </w:r>
    </w:p>
    <w:p>
      <w:pPr>
        <w:spacing w:line="480" w:lineRule="auto"/>
        <w:ind w:firstLine="720"/>
      </w:pPr>
      <w:r>
        <w:rPr>
          <w:i w:val="0"/>
        </w:rPr>
        <w:t>Decision-curve analysis indicated net benefit over the treat-all and treat-none strategies across a clinically usable range of threshold probabilities (Figure 9). In the training cohort the nomogram was the preferred strategy from approximately 0.05 to 0.72, with net benefit falling below zero only beyond that point. In the internal validation cohort the advantage held from approximately 0.05 to 0.60, after which net benefit oscillated around zero and became negative beyond about 0.75; few patients received estimated probabilities in that upper range, so the high-threshold portion of the validation curve is unstable. Across the threshold band most relevant to triage at presentation, roughly 0.10 to 0.40, the nomogram retained a clear positive net benefit in both cohorts.</w:t>
      </w:r>
    </w:p>
    <w:p>
      <w:r>
        <w:br w:type="page"/>
      </w:r>
    </w:p>
    <w:p>
      <w:pPr>
        <w:pStyle w:val="Heading1"/>
      </w:pPr>
      <w:r>
        <w:rPr>
          <w:rFonts w:ascii="Times New Roman" w:hAnsi="Times New Roman"/>
        </w:rPr>
        <w:t>Figure legends</w:t>
      </w:r>
    </w:p>
    <w:p>
      <w:pPr>
        <w:ind w:firstLine="0"/>
      </w:pPr>
      <w:r>
        <w:t>Figures have been renumbered to follow order of first citation and to accommodate the new Rad-score distribution figure (Figure 3) and the new four-panel ROC figure (Figure 7, which replaces the previous Figures 8 and 9 and adds validation panels). Mapping: new Figure 4 = old Figure 3; new Figure 5 = old Figure 4; new Figure 6 = old Figure 5; new Figure 8 = old Figure 6; new Figure 9 = old Figure 7. Figures 1 and 2 are unchanged. Nine main-text figures, each covering both cohorts; no supplementary figure is needed. Update cross-references elsewhere in the manuscript, in particular any reference to the Model A / B / C letters, whose meanings are reversed between the old and new artwork.</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[Artwork note: the panel order has been corrected. Two items remain: the training panel prints the p-value as '&lt;0.01' while Table 4 gives '&lt;0.05', so state the exact p and make the figure, the table and the text agree; and the training panel x-axis label still reads 'No massive hemoptysis0' with a stray zero.]</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 BAA, bronchial artery abnormality. [Both panels need redrawing from the adopted fit, with a single BAA row replacing the separate BAPF and BAM rows.]</w:t>
      </w:r>
    </w:p>
    <w:p>
      <w:pPr>
        <w:spacing w:line="480" w:lineRule="auto" w:after="120"/>
        <w:ind w:firstLine="0"/>
      </w:pPr>
      <w:r>
        <w:rPr>
          <w:b/>
        </w:rPr>
        <w:t>Figure 5.</w:t>
      </w:r>
      <w:r>
        <w:t xml:space="preserve"> Nomogram for the individualised probability of massive haemoptysis at presentation, built from tuberculosis, BAA, fibrinogen and the Rad-score. Fibrinogen is plotted on a descending scale, so lower values attract more points. BAA, bronchial artery abnormality (BAPF and/or BAM). [The second axis of the redrawn figure is still labelled BAPF and needs relabelling to BAA.]</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 [NEW]</w:t>
      </w:r>
      <w:r>
        <w:t xml:space="preserve"> ROC analysis of individual predictors and of the three candidate models, replacing the previous Figures 8 and 9. (a) Individual candidate predictors in the training cohort and (b) in the internal validation cohort; TB and BAPF are binary, so their curves consist of two linear segments, and Nomo denotes the combined nomogram. (c) Model comparison in the training cohort and (d) in the internal validation cohort. ModA, combined clinical–radiomic model; ModB, clinical model (tuberculosis, BAPF and fibrinogen); ModC, Rad-score alone. [Note: these letter assignments are reversed relative to the previous artwork, where ModA was the Rad-score and ModC the combined model. The text uses descriptive model names throughout to avoid the ambiguity; any use of the letters elsewhere in the manuscript must be checked. Panels (a) and (b) do not display per-variable AUC values, and the legend does not claim them.]</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χ²=7.572, df=8, p=0.476; validation χ²=9.213, df=8, p=0.325.</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 [The two panels are currently transposed and need swapping; see the note in the text.]</w:t>
      </w:r>
    </w:p>
    <w:p/>
    <w:p>
      <w:pPr>
        <w:spacing w:line="480" w:lineRule="auto" w:after="120"/>
        <w:ind w:firstLine="0"/>
      </w:pPr>
      <w:r>
        <w:rPr>
          <w:b/>
        </w:rPr>
        <w:t>Table 1.</w:t>
      </w:r>
      <w:r>
        <w:t xml:space="preserve"> Baseline characteristics. The separate BAPF and BAM rows are removed; only the BAA row is retained (38 of 188, 20.21% overall; 21 of 131, 16.03% training; 17 of 57, 29.82% validation; p=0.049). Footnote: BAA, bronchial artery abnormality, comprising bronchial artery-pulmonary fistula (n = 27) and bronchial artery malformation (n = 18), with 7 patients carrying both.</w:t>
      </w:r>
    </w:p>
    <w:p>
      <w:pPr>
        <w:spacing w:line="480" w:lineRule="auto" w:after="120"/>
        <w:ind w:firstLine="0"/>
      </w:pPr>
      <w:r>
        <w:rPr>
          <w:b/>
        </w:rPr>
        <w:t>Table 2.</w:t>
      </w:r>
      <w:r>
        <w:t xml:space="preserve"> Univariable and multivariable logistic regression. All univariable rows are retained: the original 17 variables become 16 once BAPF and BAM are combined into the single BAA row. The univariable column is filled throughout and the multivariable column only for the four variables retained in the model, with dashes elsewhere. The Rad-score univariable p-value printed as 0.000 in the source table should be written as &lt;0.001. A single column of exact p-values is enough; the paired thresholded and raw columns are redundant.</w:t>
      </w:r>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Two decision-curve panels are transposed and need swapping. Net benefit at a threshold of zero equals the prevalence: the panel captioned training starts at 0.209, matching validation (12/57 = 0.2105), and the panel captioned validation starts at 0.228, matching training (30/131 = 0.2290). This is the second panel transposition in this series, after the Rad-score boxplots. Writing the cohort name into the plotting call would prevent a third.</w:t>
      </w:r>
    </w:p>
    <w:p>
      <w:pPr>
        <w:spacing w:after="120"/>
        <w:ind w:firstLine="0"/>
      </w:pPr>
      <w:r>
        <w:t>2. Do not use the calibration sentence from the supplementary document. It states that the non-significant Hosmer-Lemeshow results suggest acceptable calibration in both datasets, which the same document's own figure contradicts: the validation intercept is -0.781, the slope 0.741, Emax 0.237, and the calibration curve lies below the diagonal across its whole range. With 12 events the test has almost no power, so a non-significant result cannot support the claim. The text reports the figures as they stand.</w:t>
      </w:r>
    </w:p>
    <w:p>
      <w:pPr>
        <w:spacing w:after="120"/>
        <w:ind w:firstLine="0"/>
      </w:pPr>
      <w:r>
        <w:t>3. Calibration in validation is worse after the merge, not better: intercept -0.688 to -0.781, slope 0.804 to 0.741, average error 0.088 to 0.111, while the AUC rose from 0.781 to 0.794. Discrimination and calibration moved in opposite directions, which is worth a sentence in the Discussion.</w:t>
      </w:r>
    </w:p>
    <w:p>
      <w:pPr>
        <w:spacing w:after="120"/>
        <w:ind w:firstLine="0"/>
      </w:pPr>
      <w:r>
        <w:t>4. The BAA row in Table 1 differs between cohorts at p=0.049, the only baseline variable that does. Training prevalence is 16.03% against 29.82% in validation. Separately, BAPF and BAM were both non-significant (p=0.134 and 0.271); the imbalance emerges only on combining them. This is a chance product of the random split, but the validation cohort carries nearly twice the prevalence of the strongest binary term, which may bear on the weaker validation calibration and the lower validation specificity.</w:t>
      </w:r>
    </w:p>
    <w:p>
      <w:pPr>
        <w:spacing w:after="120"/>
        <w:ind w:firstLine="0"/>
      </w:pPr>
      <w:r>
        <w:t>5. The redrawn nomogram's second axis is still labelled BAPF and needs relabelling to BAA.</w:t>
      </w:r>
    </w:p>
    <w:p>
      <w:pPr>
        <w:spacing w:after="120"/>
        <w:ind w:firstLine="0"/>
      </w:pPr>
      <w:r>
        <w:t>6. The Rad-score univariable p-value is printed as 0.000 and should be written as &lt;0.001.</w:t>
      </w:r>
    </w:p>
    <w:p>
      <w:pPr>
        <w:spacing w:after="120"/>
        <w:ind w:firstLine="0"/>
      </w:pPr>
      <w:r>
        <w:t>7. Nomogram point allocations in the text were read from the figure and should be checked against the nomogram() output.</w:t>
      </w:r>
    </w:p>
    <w:p>
      <w:pPr>
        <w:spacing w:after="120"/>
        <w:ind w:firstLine="0"/>
      </w:pPr>
      <w:r>
        <w:t>8. Methods should record the ICC form used for inter-reader reproducibility: a two-way random-effects model for absolute agreement with single measurements, ICC(2,1). A ready-to-paste sentence is in the working markdown file.</w:t>
      </w:r>
    </w:p>
    <w:p>
      <w:pPr>
        <w:spacing w:after="120"/>
        <w:ind w:firstLine="0"/>
      </w:pPr>
      <w:r>
        <w:t>9. Model letter reversal. ModA and ModC have swapped meanings between the old and new artwork. The Results text names models descriptively; the Discussion must be checked.</w:t>
      </w:r>
    </w:p>
    <w:p>
      <w:pPr>
        <w:spacing w:after="120"/>
        <w:ind w:firstLine="0"/>
      </w:pPr>
      <w:r>
        <w:t>10. Artwork: delete the 0.447 annotation from the validation ROC panel, and remove the stray zero from the training boxplot x-axis label.</w:t>
      </w:r>
    </w:p>
    <w:p>
      <w:pPr>
        <w:spacing w:after="120"/>
        <w:ind w:firstLine="0"/>
      </w:pPr>
      <w:r>
        <w:t>11. RESOLVED. The cascade is 1,315 extracted, 484 (36.8%) retained at ICC above 0.75, 35 after mRMR and 6 after LASSO, with retained-feature ICCs of 0.760 to 0.914 (median 0.849). The 35 matches the figure-axis reading, so the cascade is self-consistent. The ICC form is a two-way random-effects model for absolute agreement using single measurements, ICC(2,1); a ready-to-paste Methods sentence is in the working file. All Results data are now settled.</w:t>
      </w:r>
    </w:p>
    <w:p>
      <w:pPr>
        <w:spacing w:after="120"/>
        <w:ind w:firstLine="0"/>
      </w:pPr>
      <w:r>
        <w:t>12. Bootstrap internal validation with optimism correction would address the events-per-variable ratio of roughly 7.5, and is more pertinent now that a variable definition was changed during model development.</w:t>
      </w:r>
    </w:p>
    <w:p>
      <w:pPr>
        <w:spacing w:after="120"/>
        <w:ind w:firstLine="0"/>
      </w:pPr>
      <w:r>
        <w:t>13.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