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Results</w:t>
      </w:r>
    </w:p>
    <w:p>
      <w:pPr>
        <w:pStyle w:val="Heading2"/>
      </w:pPr>
      <w:r>
        <w:rPr>
          <w:rFonts w:ascii="Times New Roman" w:hAnsi="Times New Roman"/>
        </w:rPr>
        <w:t>Cohort composition</w:t>
      </w:r>
    </w:p>
    <w:p>
      <w:pPr>
        <w:spacing w:line="480" w:lineRule="auto"/>
        <w:ind w:firstLine="720"/>
      </w:pPr>
      <w:r>
        <w:rPr>
          <w:i w:val="0"/>
        </w:rPr>
        <w:t>Between 1 January 2021 and 30 June 2025, 188 consecutive patients admitted with haemoptysis met the eligibility criteria (Fig. 1). Forty-two patients (22.3%) presented with massive haemoptysis and 146 (77.7%) with mild-to-moderate haemoptysis. We split the cohort at random in a 7:3 ratio into a training cohort (</w:t>
      </w:r>
      <w:r>
        <w:rPr>
          <w:i/>
        </w:rPr>
        <w:t>n</w:t>
      </w:r>
      <w:r>
        <w:rPr>
          <w:i w:val="0"/>
        </w:rPr>
        <w:t xml:space="preserve"> = 131) and an internal validation cohort (</w:t>
      </w:r>
      <w:r>
        <w:rPr>
          <w:i/>
        </w:rPr>
        <w:t>n</w:t>
      </w:r>
      <w:r>
        <w:rPr>
          <w:i w:val="0"/>
        </w:rPr>
        <w:t xml:space="preserve"> = 57), in which cases accounted for 30 (22.9%) and 12 (21.1%) of patients respectively (</w:t>
      </w:r>
      <w:r>
        <w:rPr>
          <w:i/>
        </w:rPr>
        <w:t>P</w:t>
      </w:r>
      <w:r>
        <w:rPr>
          <w:i w:val="0"/>
        </w:rPr>
        <w:t xml:space="preserve"> = 0.929).</w:t>
      </w:r>
    </w:p>
    <w:p>
      <w:pPr>
        <w:spacing w:line="480" w:lineRule="auto"/>
        <w:ind w:firstLine="720"/>
      </w:pPr>
      <w:r>
        <w:rPr>
          <w:i w:val="0"/>
        </w:rPr>
        <w:t xml:space="preserve">Baseline characteristics were comparable between cohorts for age, sex, smoking status and duration, comorbid cancer, tuberculosis, bronchiectasis and fungal infection, antiplatelet and antithrombotic use, platelet count, D-dimer, international normalised ratio and fibrinogen (all </w:t>
      </w:r>
      <w:r>
        <w:rPr>
          <w:i/>
        </w:rPr>
        <w:t>P</w:t>
      </w:r>
      <w:r>
        <w:rPr>
          <w:i w:val="0"/>
        </w:rPr>
        <w:t xml:space="preserve"> ≥ 0.10; Table 1). Bronchial artery abnormality (BAA), defined as bronchial artery–pulmonary fistula (BAPF) and/or bronchial artery malformation (BAM), was the single exception. Present in 38 of 188 patients (20.2%) overall, it was almost twice as prevalent in the validation cohort (17 of 57, 29.8%) as in the training cohort (21 of 131, 16.0%; </w:t>
      </w:r>
      <w:r>
        <w:rPr>
          <w:i/>
        </w:rPr>
        <w:t>P</w:t>
      </w:r>
      <w:r>
        <w:rPr>
          <w:i w:val="0"/>
        </w:rPr>
        <w:t xml:space="preserve"> = 0.049). The partition was generated at random, so this difference reflects the split obtained rather than differential ascertainment, but it bears on the between-cohort comparisons reported below.</w:t>
      </w:r>
    </w:p>
    <w:p>
      <w:pPr>
        <w:pStyle w:val="Heading2"/>
      </w:pPr>
      <w:r>
        <w:rPr>
          <w:rFonts w:ascii="Times New Roman" w:hAnsi="Times New Roman"/>
        </w:rPr>
        <w:t>A six-feature radiomic signature tracks massive haemoptysis</w:t>
      </w:r>
    </w:p>
    <w:p>
      <w:pPr>
        <w:spacing w:line="480" w:lineRule="auto"/>
        <w:ind w:firstLine="720"/>
      </w:pPr>
      <w:r>
        <w:rPr>
          <w:i w:val="0"/>
        </w:rPr>
        <w:t>Two thoracic radiologists delineated three-dimensional regions of interest on each baseline contrast-enhanced chest CT volume. After resampling to 0.5 × 0.5 × 0.5 mm, Laplacian-of-Gaussian and wavelet filtering and intensity normalisation, we extracted shape, first-order and texture descriptors. All feature reduction and coefficient estimation were confined to the training cohort, so that no validation data informed the signature.</w:t>
      </w:r>
    </w:p>
    <w:p>
      <w:pPr>
        <w:spacing w:line="480" w:lineRule="auto"/>
        <w:ind w:firstLine="720"/>
      </w:pPr>
      <w:r>
        <w:rPr>
          <w:i w:val="0"/>
        </w:rPr>
        <w:t>Features with an inter-reader intraclass correlation coefficient at or below 0.75 were discarded and the remainder pruned by maximum-relevance minimum-redundancy selection, leaving approximately 35 features for least absolute shrinkage and selection operator (LASSO) logistic regression. Ten-fold cross-validation minimised binomial deviance at log(λ) = −3.3748 (Fig. 2a,b); the one-standard-error solution retained only two features and was not used. Six features survived: RunVariance.11 (β = 0.306), Idn.6 (β = 0.271), Imc1.9 (β = 0.198), MCC.7 (β = 0.055), SmallAreaEmphasis.8 (β = −0.173) and ZoneVariance.2 (β = 0.002, a negligible contribution) (Fig. 2c). Run-length, co-occurrence and size-zone texture descriptors dominate the signature; no shape or first-order intensity feature was retained.</w:t>
      </w:r>
    </w:p>
    <w:p>
      <w:pPr>
        <w:spacing w:line="480" w:lineRule="auto"/>
        <w:ind w:firstLine="720"/>
      </w:pPr>
      <w:r>
        <w:rPr>
          <w:i w:val="0"/>
        </w:rPr>
        <w:t xml:space="preserve">The resulting Rad-score, computed for every patient from the training-derived coefficients, was higher in massive than in non-massive haemoptysis in the training cohort (median −1.043, interquartile range (IQR) −1.189 to −0.706 versus −1.361, IQR −1.640 to −1.062; Mann–Whitney </w:t>
      </w:r>
      <w:r>
        <w:rPr>
          <w:i/>
        </w:rPr>
        <w:t>U</w:t>
      </w:r>
      <w:r>
        <w:rPr>
          <w:i w:val="0"/>
        </w:rPr>
        <w:t xml:space="preserve">, </w:t>
      </w:r>
      <w:r>
        <w:rPr>
          <w:i/>
        </w:rPr>
        <w:t>P</w:t>
      </w:r>
      <w:r>
        <w:rPr>
          <w:i w:val="0"/>
        </w:rPr>
        <w:t xml:space="preserve"> = 1.49 × 10⁻⁵; Fig. 3a and Table 4). The difference ran in the same direction in the validation cohort (−1.029, IQR −1.275 to −0.596 versus −1.189, IQR −1.523 to −0.954) but did not reach significance (</w:t>
      </w:r>
      <w:r>
        <w:rPr>
          <w:i/>
        </w:rPr>
        <w:t>P</w:t>
      </w:r>
      <w:r>
        <w:rPr>
          <w:i w:val="0"/>
        </w:rPr>
        <w:t xml:space="preserve"> = 0.122; Fig. 3b), a comparison resting on 12 cases.</w:t>
      </w:r>
    </w:p>
    <w:p>
      <w:pPr>
        <w:pStyle w:val="Heading2"/>
      </w:pPr>
      <w:r>
        <w:rPr>
          <w:rFonts w:ascii="Times New Roman" w:hAnsi="Times New Roman"/>
        </w:rPr>
        <w:t>Four variables carry independent associations</w:t>
      </w:r>
    </w:p>
    <w:p>
      <w:pPr>
        <w:spacing w:line="480" w:lineRule="auto"/>
        <w:ind w:firstLine="720"/>
      </w:pPr>
      <w:r>
        <w:rPr>
          <w:i w:val="0"/>
        </w:rPr>
        <w:t>BAPF and BAM were combined into BAA before regression. Both are abnormalities of the bronchial arterial circulation, their separate univariable odds ratios were close (4.88 and 3.84) with widely overlapping intervals, and each was uncommon (27 and 18 patients, 7 of whom carried both), so that 38 patients support the combined term.</w:t>
      </w:r>
    </w:p>
    <w:p>
      <w:pPr>
        <w:spacing w:line="480" w:lineRule="auto"/>
        <w:ind w:firstLine="720"/>
      </w:pPr>
      <w:r>
        <w:rPr>
          <w:i w:val="0"/>
        </w:rPr>
        <w:t xml:space="preserve">Five variables were associated with massive haemoptysis on univariable logistic regression (Table 2 and Fig. 4a): tuberculosis (odds ratio (OR) 4.23, 95% confidence interval (CI) 1.43–12.51, </w:t>
      </w:r>
      <w:r>
        <w:rPr>
          <w:i/>
        </w:rPr>
        <w:t>P</w:t>
      </w:r>
      <w:r>
        <w:rPr>
          <w:i w:val="0"/>
        </w:rPr>
        <w:t xml:space="preserve"> = 0.009), bronchiectasis (OR 2.36, 95% CI 1.03–5.41, </w:t>
      </w:r>
      <w:r>
        <w:rPr>
          <w:i/>
        </w:rPr>
        <w:t>P</w:t>
      </w:r>
      <w:r>
        <w:rPr>
          <w:i w:val="0"/>
        </w:rPr>
        <w:t xml:space="preserve"> = 0.042), BAA (OR 5.27, 95% CI 1.96–14.16, </w:t>
      </w:r>
      <w:r>
        <w:rPr>
          <w:i/>
        </w:rPr>
        <w:t>P</w:t>
      </w:r>
      <w:r>
        <w:rPr>
          <w:i w:val="0"/>
        </w:rPr>
        <w:t xml:space="preserve"> = 0.001), fibrinogen (OR 0.57, 95% CI 0.39–0.83, </w:t>
      </w:r>
      <w:r>
        <w:rPr>
          <w:i/>
        </w:rPr>
        <w:t>P</w:t>
      </w:r>
      <w:r>
        <w:rPr>
          <w:i w:val="0"/>
        </w:rPr>
        <w:t xml:space="preserve"> = 0.004) and the Rad-score (OR 7.96, 95% CI 2.75–23.11, </w:t>
      </w:r>
      <w:r>
        <w:rPr>
          <w:i/>
        </w:rPr>
        <w:t>P</w:t>
      </w:r>
      <w:r>
        <w:rPr>
          <w:i w:val="0"/>
        </w:rPr>
        <w:t xml:space="preserve"> &lt; 0.001). Age, sex, smoking, malignancy, fungal infection, antiplatelet and antithrombotic use, platelet count, D-dimer and international normalised ratio showed no association (all </w:t>
      </w:r>
      <w:r>
        <w:rPr>
          <w:i/>
        </w:rPr>
        <w:t>P</w:t>
      </w:r>
      <w:r>
        <w:rPr>
          <w:i w:val="0"/>
        </w:rPr>
        <w:t xml:space="preserve"> &gt; 0.20).</w:t>
      </w:r>
    </w:p>
    <w:p>
      <w:pPr>
        <w:spacing w:line="480" w:lineRule="auto"/>
        <w:ind w:firstLine="720"/>
      </w:pPr>
      <w:r>
        <w:rPr>
          <w:i w:val="0"/>
        </w:rPr>
        <w:t xml:space="preserve">Four variables retained independent associations after mutual adjustment (Table 2 and Fig. 4b): tuberculosis (OR 5.18, 95% CI 1.42–18.93, </w:t>
      </w:r>
      <w:r>
        <w:rPr>
          <w:i/>
        </w:rPr>
        <w:t>P</w:t>
      </w:r>
      <w:r>
        <w:rPr>
          <w:i w:val="0"/>
        </w:rPr>
        <w:t xml:space="preserve"> = 0.013), BAA (OR 4.32, 95% CI 1.33–14.10, </w:t>
      </w:r>
      <w:r>
        <w:rPr>
          <w:i/>
        </w:rPr>
        <w:t>P</w:t>
      </w:r>
      <w:r>
        <w:rPr>
          <w:i w:val="0"/>
        </w:rPr>
        <w:t xml:space="preserve"> = 0.015), fibrinogen (OR 0.65, 95% CI 0.45–0.95, </w:t>
      </w:r>
      <w:r>
        <w:rPr>
          <w:i/>
        </w:rPr>
        <w:t>P</w:t>
      </w:r>
      <w:r>
        <w:rPr>
          <w:i w:val="0"/>
        </w:rPr>
        <w:t xml:space="preserve"> = 0.025) and the Rad-score (OR 4.73, 95% CI 1.53–14.63, </w:t>
      </w:r>
      <w:r>
        <w:rPr>
          <w:i/>
        </w:rPr>
        <w:t>P</w:t>
      </w:r>
      <w:r>
        <w:rPr>
          <w:i w:val="0"/>
        </w:rPr>
        <w:t xml:space="preserve"> = 0.007). Higher fibrinogen carried lower odds of massive presentation. Bronchiectasis did not survive adjustment. With 30 events and four predictors the model runs at 7.5 events per variable, below the conventional minimum of ten, and the confidence intervals are correspondingly wide.</w:t>
      </w:r>
    </w:p>
    <w:p>
      <w:pPr>
        <w:pStyle w:val="Heading2"/>
      </w:pPr>
      <w:r>
        <w:rPr>
          <w:rFonts w:ascii="Times New Roman" w:hAnsi="Times New Roman"/>
        </w:rPr>
        <w:t>A clinical–radiomic nomogram discriminates massive haemoptysis</w:t>
      </w:r>
    </w:p>
    <w:p>
      <w:pPr>
        <w:spacing w:line="480" w:lineRule="auto"/>
        <w:ind w:firstLine="720"/>
      </w:pPr>
      <w:r>
        <w:rPr>
          <w:i w:val="0"/>
        </w:rPr>
        <w:t>We combined the four independent variables into a nomogram (Fig. 5). The Rad-score carries the greatest weight, spanning the full 0 to 100 point range over its observed interval of −4 to 0.5. Fibrinogen contributes up to approximately 55 points on a descending scale, and tuberculosis and BAA approximately 23 and 21 points when present. Total scores range from 0 to 180.</w:t>
      </w:r>
    </w:p>
    <w:p>
      <w:pPr>
        <w:spacing w:line="480" w:lineRule="auto"/>
        <w:ind w:firstLine="720"/>
      </w:pPr>
      <w:r>
        <w:rPr>
          <w:i w:val="0"/>
        </w:rPr>
        <w:t>At a cut-point of 0.255, set by the maximum Youden index in the training cohort and applied unchanged to validation, the nomogram achieved an area under the receiver operating characteristic curve (AUC) of 0.850 (95% CI 0.775–0.925), sensitivity 0.767 (23 of 30), specificity 0.842 (85 of 101) and accuracy 0.824 (108 of 131) in training (Table 3 and Fig. 6a). Validation values were an AUC of 0.794 (95% CI 0.631–0.958), sensitivity 0.750 (9 of 12), specificity 0.667 (30 of 45) and accuracy 0.684 (39 of 57) (Fig. 6b). Specificity fell by 0.175 between cohorts while sensitivity was marginally higher. An unpaired DeLong test did not separate the two AUCs (</w:t>
      </w:r>
      <w:r>
        <w:rPr>
          <w:i/>
        </w:rPr>
        <w:t>D</w:t>
      </w:r>
      <w:r>
        <w:rPr>
          <w:i w:val="0"/>
        </w:rPr>
        <w:t xml:space="preserve"> = 0.604, d.f. = 80.7, </w:t>
      </w:r>
      <w:r>
        <w:rPr>
          <w:i/>
        </w:rPr>
        <w:t>P</w:t>
      </w:r>
      <w:r>
        <w:rPr>
          <w:i w:val="0"/>
        </w:rPr>
        <w:t xml:space="preserve"> = 0.547), but the training estimate is apparent and the validation cohort holds 12 events, so that comparison is weakly powered in both directions.</w:t>
      </w:r>
    </w:p>
    <w:p>
      <w:pPr>
        <w:pStyle w:val="Heading2"/>
      </w:pPr>
      <w:r>
        <w:rPr>
          <w:rFonts w:ascii="Times New Roman" w:hAnsi="Times New Roman"/>
        </w:rPr>
        <w:t>The radiomic component adds to clinical variables in the training cohort</w:t>
      </w:r>
    </w:p>
    <w:p>
      <w:pPr>
        <w:spacing w:line="480" w:lineRule="auto"/>
        <w:ind w:firstLine="720"/>
      </w:pPr>
      <w:r>
        <w:rPr>
          <w:i w:val="0"/>
        </w:rPr>
        <w:t>We compared three models within each cohort (Table 5 and Fig. 7c,d). In training, the combined model reached an AUC of 0.850 (95% CI 0.775–0.925), against 0.796 (95% CI 0.693–0.898) for the clinical model of tuberculosis, BAA and fibrinogen, and 0.761 (95% CI 0.672–0.850) for the Rad-score alone. Validation values were 0.794 (95% CI 0.631–0.958), 0.744 (95% CI 0.555–0.934) and 0.647 (95% CI 0.456–0.839).</w:t>
      </w:r>
    </w:p>
    <w:p>
      <w:pPr>
        <w:spacing w:line="480" w:lineRule="auto"/>
        <w:ind w:firstLine="720"/>
      </w:pPr>
      <w:r>
        <w:rPr>
          <w:i w:val="0"/>
        </w:rPr>
        <w:t xml:space="preserve">Paired DeLong tests separated the combined model from the Rad-score alone in training (ΔAUC 0.089, </w:t>
      </w:r>
      <w:r>
        <w:rPr>
          <w:i/>
        </w:rPr>
        <w:t>Z</w:t>
      </w:r>
      <w:r>
        <w:rPr>
          <w:i w:val="0"/>
        </w:rPr>
        <w:t xml:space="preserve"> = 2.058, </w:t>
      </w:r>
      <w:r>
        <w:rPr>
          <w:i/>
        </w:rPr>
        <w:t>P</w:t>
      </w:r>
      <w:r>
        <w:rPr>
          <w:i w:val="0"/>
        </w:rPr>
        <w:t xml:space="preserve"> = 0.040) but not from the clinical model (ΔAUC 0.054, </w:t>
      </w:r>
      <w:r>
        <w:rPr>
          <w:i/>
        </w:rPr>
        <w:t>Z</w:t>
      </w:r>
      <w:r>
        <w:rPr>
          <w:i w:val="0"/>
        </w:rPr>
        <w:t xml:space="preserve"> = 1.841, </w:t>
      </w:r>
      <w:r>
        <w:rPr>
          <w:i/>
        </w:rPr>
        <w:t>P</w:t>
      </w:r>
      <w:r>
        <w:rPr>
          <w:i w:val="0"/>
        </w:rPr>
        <w:t xml:space="preserve"> = 0.066), and the Rad-score and clinical models did not differ from one another (</w:t>
      </w:r>
      <w:r>
        <w:rPr>
          <w:i/>
        </w:rPr>
        <w:t>Z</w:t>
      </w:r>
      <w:r>
        <w:rPr>
          <w:i w:val="0"/>
        </w:rPr>
        <w:t xml:space="preserve"> = −0.514, </w:t>
      </w:r>
      <w:r>
        <w:rPr>
          <w:i/>
        </w:rPr>
        <w:t>P</w:t>
      </w:r>
      <w:r>
        <w:rPr>
          <w:i w:val="0"/>
        </w:rPr>
        <w:t xml:space="preserve"> = 0.608). Three comparisons were made per cohort, and </w:t>
      </w:r>
      <w:r>
        <w:rPr>
          <w:i/>
        </w:rPr>
        <w:t>P</w:t>
      </w:r>
      <w:r>
        <w:rPr>
          <w:i w:val="0"/>
        </w:rPr>
        <w:t xml:space="preserve"> = 0.040 does not clear a Bonferroni-corrected threshold of 0.0167. No comparison reached significance in validation (</w:t>
      </w:r>
      <w:r>
        <w:rPr>
          <w:i/>
        </w:rPr>
        <w:t>P</w:t>
      </w:r>
      <w:r>
        <w:rPr>
          <w:i w:val="0"/>
        </w:rPr>
        <w:t xml:space="preserve"> = 0.170, 0.333 and 0.506).</w:t>
      </w:r>
    </w:p>
    <w:p>
      <w:pPr>
        <w:spacing w:line="480" w:lineRule="auto"/>
        <w:ind w:firstLine="720"/>
      </w:pPr>
      <w:r>
        <w:rPr>
          <w:i w:val="0"/>
        </w:rPr>
        <w:t xml:space="preserve">Reclassification metrics favoured the combined model more strongly than the change in AUC did. Against the clinical model, adding the Rad-score gave a continuous net reclassification improvement (NRI) of 0.428 (95% CI 0.029–0.827, </w:t>
      </w:r>
      <w:r>
        <w:rPr>
          <w:i/>
        </w:rPr>
        <w:t>P</w:t>
      </w:r>
      <w:r>
        <w:rPr>
          <w:i w:val="0"/>
        </w:rPr>
        <w:t xml:space="preserve"> = 0.036) and an integrated discrimination improvement (IDI) of 0.062 (95% CI 0.013–0.111, </w:t>
      </w:r>
      <w:r>
        <w:rPr>
          <w:i/>
        </w:rPr>
        <w:t>P</w:t>
      </w:r>
      <w:r>
        <w:rPr>
          <w:i w:val="0"/>
        </w:rPr>
        <w:t xml:space="preserve"> = 0.013) in training. Neither reached significance in validation (NRI 0.544, 95% CI −0.076 to 1.165, </w:t>
      </w:r>
      <w:r>
        <w:rPr>
          <w:i/>
        </w:rPr>
        <w:t>P</w:t>
      </w:r>
      <w:r>
        <w:rPr>
          <w:i w:val="0"/>
        </w:rPr>
        <w:t xml:space="preserve"> = 0.085; IDI 0.064, 95% CI −0.044 to 0.171, </w:t>
      </w:r>
      <w:r>
        <w:rPr>
          <w:i/>
        </w:rPr>
        <w:t>P</w:t>
      </w:r>
      <w:r>
        <w:rPr>
          <w:i w:val="0"/>
        </w:rPr>
        <w:t xml:space="preserve"> = 0.245) (Table 6). Continuous NRI rejects the null more readily than its nominal level implies, and the lower bound of the training estimate sits close to zero.</w:t>
      </w:r>
    </w:p>
    <w:p>
      <w:pPr>
        <w:spacing w:line="480" w:lineRule="auto"/>
        <w:ind w:firstLine="720"/>
      </w:pPr>
      <w:r>
        <w:rPr>
          <w:i w:val="0"/>
        </w:rPr>
        <w:t>Among individual predictors, the nomogram curve lay outside every single variable across most of the operating range in training (Fig. 7a). In validation the fibrinogen curve fell below the diagonal over much of its range (Fig. 7b).</w:t>
      </w:r>
    </w:p>
    <w:p>
      <w:pPr>
        <w:pStyle w:val="Heading2"/>
      </w:pPr>
      <w:r>
        <w:rPr>
          <w:rFonts w:ascii="Times New Roman" w:hAnsi="Times New Roman"/>
        </w:rPr>
        <w:t>Calibration degrades in the validation cohort</w:t>
      </w:r>
    </w:p>
    <w:p>
      <w:pPr>
        <w:spacing w:line="480" w:lineRule="auto"/>
        <w:ind w:firstLine="720"/>
      </w:pPr>
      <w:r>
        <w:rPr>
          <w:i w:val="0"/>
        </w:rPr>
        <w:t xml:space="preserve">Calibration was close in training, with a Brier score of 0.126, Somers' </w:t>
      </w:r>
      <w:r>
        <w:rPr>
          <w:i/>
        </w:rPr>
        <w:t>D</w:t>
      </w:r>
      <w:r>
        <w:rPr>
          <w:i w:val="0"/>
        </w:rPr>
        <w:t xml:space="preserve">xy 0.700, </w:t>
      </w:r>
      <w:r>
        <w:rPr>
          <w:i/>
        </w:rPr>
        <w:t>R</w:t>
      </w:r>
      <w:r>
        <w:rPr>
          <w:i w:val="0"/>
        </w:rPr>
        <w:t>² 0.376, a maximum absolute error of 0.101, E90 0.058 and an average error of 0.024 (Fig. 8a). The calibration intercept of 0.000 and slope of 1.000 are apparent values obtained on the fitting data and were not corrected for optimism.</w:t>
      </w:r>
    </w:p>
    <w:p>
      <w:pPr>
        <w:spacing w:line="480" w:lineRule="auto"/>
        <w:ind w:firstLine="720"/>
      </w:pPr>
      <w:r>
        <w:rPr>
          <w:i w:val="0"/>
        </w:rPr>
        <w:t xml:space="preserve">Calibration deteriorated in validation (Fig. 8b). The Brier score was 0.141, </w:t>
      </w:r>
      <w:r>
        <w:rPr>
          <w:i/>
        </w:rPr>
        <w:t>D</w:t>
      </w:r>
      <w:r>
        <w:rPr>
          <w:i w:val="0"/>
        </w:rPr>
        <w:t xml:space="preserve">xy 0.589 and </w:t>
      </w:r>
      <w:r>
        <w:rPr>
          <w:i/>
        </w:rPr>
        <w:t>R</w:t>
      </w:r>
      <w:r>
        <w:rPr>
          <w:i w:val="0"/>
        </w:rPr>
        <w:t xml:space="preserve">² 0.178, and the logistic calibration curve lay below the diagonal across its entire range, with an intercept of −0.781 and a slope of 0.741. The nomogram therefore overestimated the probability of massive haemoptysis systematically, and increasingly so at higher estimates: observed proportions were approximately 0.42 at an estimated probability of 0.6 and approximately 0.55 at 0.8, with a maximum absolute error of 0.237 (E90 0.206, average error 0.111). Hosmer–Lemeshow tests were non-significant in both cohorts (training χ² = 7.572, d.f. = 8, </w:t>
      </w:r>
      <w:r>
        <w:rPr>
          <w:i/>
        </w:rPr>
        <w:t>P</w:t>
      </w:r>
      <w:r>
        <w:rPr>
          <w:i w:val="0"/>
        </w:rPr>
        <w:t xml:space="preserve"> = 0.476; validation χ² = 9.213, d.f. = 8, </w:t>
      </w:r>
      <w:r>
        <w:rPr>
          <w:i/>
        </w:rPr>
        <w:t>P</w:t>
      </w:r>
      <w:r>
        <w:rPr>
          <w:i w:val="0"/>
        </w:rPr>
        <w:t xml:space="preserve"> = 0.325); with 12 validation events, however, the test has little power and does not detect the departure that the intercept and slope quantify.</w:t>
      </w:r>
    </w:p>
    <w:p>
      <w:pPr>
        <w:spacing w:line="480" w:lineRule="auto"/>
        <w:ind w:firstLine="720"/>
      </w:pPr>
      <w:r>
        <w:rPr>
          <w:i w:val="0"/>
        </w:rPr>
        <w:t>Decision-curve analysis showed net benefit over treat-all and treat-none strategies from threshold probabilities of approximately 0.05 to 0.72 in training and approximately 0.05 to 0.60 in validation (Fig. 9). Beyond those points net benefit approached and then fell below zero, and few patients received estimates in that range, so the upper portion of each curve is unstable. Across the band from 0.10 to 0.40, the range most relevant to triage at presentation, net benefit was clearly positive in both cohorts.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