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Title (options)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</w:rPr>
        <w:t>Option 1 (recommended): A Clinical–Radiomic Nomogram for Differentiating Massive from Non-Massive Hemoptysis on Contrast-Enhanced Chest CT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</w:rPr>
        <w:t>Option 2: CT Radiomics for the Differential Diagnosis of Massive Hemoptysis: Development and Internal Validation of a Clinical–Radiomic Nomogram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</w:rPr>
        <w:t>Option 3: Differentiating Massive Hemoptysis Using a CT Radiomics-Based Clinical Nomogram: A Retrospective Study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Abstract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</w:rPr>
        <w:t xml:space="preserve">Background: </w:t>
      </w:r>
      <w:r>
        <w:rPr>
          <w:rFonts w:ascii="Times New Roman" w:hAnsi="Times New Roman" w:eastAsia="Times New Roman"/>
        </w:rPr>
        <w:t>Massive hemoptysis is a life-threatening emergency, and differentiating it from non-massive hemoptysis is important for triage and timely treatment. We developed and internally validated a clinical–radiomic nomogram to make this differentiation on contrast-enhanced chest CT.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</w:rPr>
        <w:t xml:space="preserve">Methods: </w:t>
      </w:r>
      <w:r>
        <w:rPr>
          <w:rFonts w:ascii="Times New Roman" w:hAnsi="Times New Roman" w:eastAsia="Times New Roman"/>
        </w:rPr>
        <w:t>We retrospectively studied 188 patients with hemoptysis (42 massive, 146 non-massive) who underwent contrast-enhanced chest CT (January 2021–June 2025), randomly split into training (n = 131) and internal validation (n = 57) cohorts. A Rad-score was built from six CT features selected by intraclass-correlation filtering, minimum-redundancy maximum-relevance, and LASSO regression; independent factors from multivariable logistic regression were combined in a nomogram and assessed for discrimination, calibration, and the incremental value of the Rad-score.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</w:rPr>
        <w:t xml:space="preserve">Results: </w:t>
      </w:r>
      <w:r>
        <w:rPr>
          <w:rFonts w:ascii="Times New Roman" w:hAnsi="Times New Roman" w:eastAsia="Times New Roman"/>
        </w:rPr>
        <w:t>Tuberculosis, bronchial artery abnormality, fibrinogen (inversely), and the Rad-score were independently associated with massive hemoptysis. The nomogram (combined model) achieved an area under the curve of 0.842 (95% CI 0.766–0.919) in training and 0.811 (0.654–0.969) in internal validation, with acceptable calibration (Hosmer–Lemeshow P = 0.779 and 0.183). It discriminated better than the clinical model in the training cohort (DeLong P = 0.034; not significant after correction for multiple comparisons) but not in internal validation; adding the Rad-score improved reclassification (net reclassification improvement significant in both cohorts; integrated discrimination improvement significant in training only).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</w:rPr>
        <w:t xml:space="preserve">Conclusions: </w:t>
      </w:r>
      <w:r>
        <w:rPr>
          <w:rFonts w:ascii="Times New Roman" w:hAnsi="Times New Roman" w:eastAsia="Times New Roman"/>
        </w:rPr>
        <w:t>A clinical–radiomic nomogram differentiated massive from non-massive hemoptysis with good discrimination and calibration and may aid differential diagnosis; larger, externally validated studies are needed to confirm the incremental value of radiomics.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Keywords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</w:rPr>
        <w:t>hemoptysis; massive hemoptysis; radiomics; computed tomography; nomogram; bronchial artery; differential diagnosis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