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all recorded baseline variables: age (overall median 61 years, IQR 54 to 70; p=0.222), sex (130/188 male, 69.15%; p=0.709), smoking status (113/188 ever-smokers, 60.11%; p=0.688), duration of smoking, comorbid cancer, tuberculosis, bronchiectasis and fungal infection, bronchial artery–pulmonary fistula (BAPF), bronchial artery malformation (BAM), antiplatelet and antithrombotic medication, platelet count (PLT), D-dimer (D-D), international normalised ratio (INR) and fibrinogen (Fib), with no comparison reaching p&lt;0.10 (Table 1). Because the two sets were generated by random splitting rather than by any allocation rule, these p-values describe the partition actually obtained and are not tests of a substantive hypothesis.</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Features with an inter-reader intraclass correlation coefficient (ICC) at or below 0.75 were discarded, and the survivors were further pruned by the maximum-relevance minimum-redundancy (mRMR) algorithm. Approximately 35 features entered the least absolute shrinkage and selection operator (LASSO) step (Figure 2b, upper axis).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p&lt;0.01).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Six variables were associated with massive haemoptysis in univariable logistic regression (Table 2, Figure 4a): tuberculosis (OR 4.23, 95% CI 1.43 to 12.51; p=0.009), bronchiectasis (OR 2.36, 95% CI 1.03 to 5.41; p=0.042), BAPF (OR 4.88, 95% CI 1.60 to 14.90; p=0.005), BAM (OR 3.84, 95% CI 1.03 to 14.31; p=0.045),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BAPF, BAM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4.96, 95% CI 1.39 to 17.70; p=0.014), BAPF (OR 4.09, 95% CI 1.11 to 15.04; p=0.034), fibrinogen (OR 0.65, 95% CI 0.45 to 0.95; p=0.026) and the Rad-score (OR 5.21, 95% CI 1.70 to 15.94; p=0.004). Bronchiectasis and BAM did not retain independent associations. Higher fibrinogen was associated with a lower probability of massive presentation. With 30 events and four retained predictors, the multivariable model operates at roughly 7.5 events per variable, below the conventional threshold of ten, so the adjusted point estimates should be read as provisional.</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spanning the full 0 to 100 point range across its observed interval of −4 to 0.5. Fibrinogen contributes up to approximately 50 points on an inverted scale, so that lower values attract more points. Tuberculosis and BAPF contribute approximately 21 and 19 points respectively when present. Total scores range from 0 to 160, and the diagnostic probability scale becomes informative above a total of roughly 80 points.</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set, with an area under the receiver operating characteristic curve (AUC) of 0.840 (95% CI 0.764 to 0.915), accuracy 0.817 (107/131), sensitivity 0.733 (22/30) and specificity 0.842 (85/101). In the internal validation set the point estimate remained similar but the estimate was far less precise: AUC 0.781 (95% CI 0.614 to 0.949), accuracy 0.719 (41/57), sensitivity 0.667 (8/12) and specificity 0.733 (33/45) (Table 3, Figure 6). The validation interval spans 0.335 AUC units and its lower bound approaches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val="0"/>
        </w:rPr>
        <w:t>In the training set the nomogram showed close agreement between estimated and observed probabilities, with a Brier score of 0.129, Dxy 0.679 and R² 0.364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weaker in the internal validation set (Figure 8b). The Brier score was 0.138, Dxy 0.563 and R² 0.228, and the logistic calibration curve lay below the diagonal across most of its range, with a calibration intercept of −0.688 and a slope of 0.804. This pattern indicates systematic overestimation of the probability of massive haemoptysis, becoming pronounced above an estimated probability of approximately 0.4, where the maximum absolute error reached 0.251 (E90 0.222, average error 0.088). The Hosmer–Lemeshow test detected no significant departure from the fitted model in either set (training χ²=9.11, df=8, p=0.333; validation χ²=10.76, df=8, p=0.216), but with 57 patients and 12 events in the validation set this test has little power, and a non-significant result cannot be taken as evidence of adequate calibration. Recalibration of the intercept would be required before the estimated probabilities could be used as absolute risks outside the development sample.</w:t>
      </w:r>
    </w:p>
    <w:p>
      <w:pPr>
        <w:spacing w:line="480" w:lineRule="auto"/>
        <w:ind w:firstLine="720"/>
      </w:pPr>
      <w:r>
        <w:rPr>
          <w:i w:val="0"/>
        </w:rPr>
        <w:t>Decision-curve analysis indicated net benefit over the treat-all and treat-none strategies over a clinically usable range of threshold probabilities (Figure 9). In the training set the nomogram was the preferred strategy from approximately 0.05 to 0.70, with net benefit falling to zero or marginally below beyond 0.72. In the internal validation set the advantage held from approximately 0.05 to 0.60, after which net benefit oscillated around zero; few patients received estimated probabilities in that upper range, so the high-threshold portion of the validation curve is unstable. Across the threshold band most relevant to triage at presentation, roughly 0.10 to 0.40, the nomogram retained a positive net benefit in both sets.</w:t>
      </w:r>
    </w:p>
    <w:p>
      <w:r>
        <w:br w:type="page"/>
      </w:r>
    </w:p>
    <w:p>
      <w:pPr>
        <w:pStyle w:val="Heading1"/>
      </w:pPr>
      <w:r>
        <w:rPr>
          <w:rFonts w:ascii="Times New Roman" w:hAnsi="Times New Roman"/>
        </w:rPr>
        <w:t>Figure legends</w:t>
      </w:r>
    </w:p>
    <w:p>
      <w:pPr>
        <w:ind w:firstLine="0"/>
      </w:pPr>
      <w:r>
        <w:t>Figures have been renumbered to follow order of first citation and to accommodate the new Rad-score distribution figure (Figure 3) and the new four-panel ROC figure (Figure 7, which replaces the previous Figures 8 and 9 and adds validation panels). Mapping: new Figure 4 = old Figure 3; new Figure 5 = old Figure 4; new Figure 6 = old Figure 5; new Figure 8 = old Figure 6; new Figure 9 = old Figure 7. Figures 1 and 2 are unchanged. Nine main-text figures, each covering both cohorts; no supplementary figure is needed. Update cross-references elsewhere in the manuscript, in particular any reference to the Model A / B / C letters, whose meanings are reversed between the old and new artwork.</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[Artwork note: the panel order has been corrected. Two items remain: the training panel prints the p-value as '&lt;0.01' while Table 4 gives '&lt;0.05', so state the exact p and make the figure, the table and the text agree; and the training panel x-axis label still reads 'No massive hemoptysis0' with a stray zero.]</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w:t>
      </w:r>
    </w:p>
    <w:p>
      <w:pPr>
        <w:spacing w:line="480" w:lineRule="auto" w:after="120"/>
        <w:ind w:firstLine="0"/>
      </w:pPr>
      <w:r>
        <w:rPr>
          <w:b/>
        </w:rPr>
        <w:t>Figure 5.</w:t>
      </w:r>
      <w:r>
        <w:t xml:space="preserve"> Nomogram for the individualised probability of massive haemoptysis at presentation, built from tuberculosis, BAPF, fibrinogen and the Rad-score. Fibrinogen is plotted on a descending scale, so lower values attract more points.</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 [NEW]</w:t>
      </w:r>
      <w:r>
        <w:t xml:space="preserve"> ROC analysis of individual predictors and of the three candidate models, replacing the previous Figures 8 and 9. (a) Individual candidate predictors in the training cohort and (b) in the internal validation cohort; TB and BAPF are binary, so their curves consist of two linear segments, and Nomo denotes the combined nomogram. (c) Model comparison in the training cohort and (d) in the internal validation cohort. ModA, combined clinical–radiomic model; ModB, clinical model (tuberculosis, BAPF and fibrinogen); ModC, Rad-score alone. [Note: these letter assignments are reversed relative to the previous artwork, where ModA was the Rad-score and ModC the combined model. The text uses descriptive model names throughout to avoid the ambiguity; any use of the letters elsewhere in the manuscript must be checked. Panels (a) and (b) do not display per-variable AUC values, and the legend does not claim them.]</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χ²=9.11, df=8, p=0.333; validation χ²=10.76, df=8, p=0.216.</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w:t>
      </w:r>
    </w:p>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AUC discrepancy (blocking). Table 3, the nomogram ROC figure and the calibration figure report a training AUC of 0.840 and a validation AUC of 0.781, whereas every artefact in the supplementary materials, including the ROC curves, the DeLong output and the model tables, reports 0.850 and 0.794. The Rad-score-only model is identical across the two runs (0.761 with the same interval); only the clinical model (0.769 to 0.796) and the combined model (0.840 to 0.850) changed. One hypothesis worth checking is that 0.840 is the AUC of the nomogram total-points score and 0.850 that of the model linear predictor, in which case both may be reported provided each is labelled; that hypothesis does not, however, account for the change in the clinical model. If the newer run is adopted, Table 3, the calibration figure (its printed C statistic and its intercept, slope, Brier and Emax) and the decision curves must all be regenerated, and the nomogram point allocations and the multivariable odds ratios in Table 2 checked for consequent change. This draft keeps 0.840 and 0.781.</w:t>
      </w:r>
    </w:p>
    <w:p>
      <w:pPr>
        <w:spacing w:after="120"/>
        <w:ind w:firstLine="0"/>
      </w:pPr>
      <w:r>
        <w:t>2. Exact p-value for the training-cohort Rad-score comparison. Three renderings are currently in circulation: the first figure version showed four asterisks, the current figure shows '&lt;0.01' and Table 4 shows '&lt;0.05'. The text uses p&lt;0.01 pending an exact value.</w:t>
      </w:r>
    </w:p>
    <w:p>
      <w:pPr>
        <w:spacing w:after="120"/>
        <w:ind w:firstLine="0"/>
      </w:pPr>
      <w:r>
        <w:t>3. Model letter reversal. ModA and ModC have swapped meanings between the old and new artwork. The Results text now names models descriptively; the Discussion must be checked.</w:t>
      </w:r>
    </w:p>
    <w:p>
      <w:pPr>
        <w:spacing w:after="120"/>
        <w:ind w:firstLine="0"/>
      </w:pPr>
      <w:r>
        <w:t>4. Artwork: delete the 0.447 annotation from the validation ROC panel, and remove the stray zero from the training boxplot x-axis label.</w:t>
      </w:r>
    </w:p>
    <w:p>
      <w:pPr>
        <w:spacing w:after="120"/>
        <w:ind w:firstLine="0"/>
      </w:pPr>
      <w:r>
        <w:t>5. Feature-count cascade (total extracted, remaining after the ICC filter, remaining after mRMR) and the observed ICC range are still needed; the text currently says approximately 35 features entered the LASSO step, read from the figure axis.</w:t>
      </w:r>
    </w:p>
    <w:p>
      <w:pPr>
        <w:spacing w:after="120"/>
        <w:ind w:firstLine="0"/>
      </w:pPr>
      <w:r>
        <w:t>6. Validation calibration shows systematic overestimation (intercept -0.688, slope 0.804). Confirm whether to report this as it stands, as the draft does, or to add an intercept recalibration and report the corrected metrics.</w:t>
      </w:r>
    </w:p>
    <w:p>
      <w:pPr>
        <w:spacing w:after="120"/>
        <w:ind w:firstLine="0"/>
      </w:pPr>
      <w:r>
        <w:t>7. Bootstrap internal validation with optimism correction would address the events-per-variable ratio of roughly 7.5.</w:t>
      </w:r>
    </w:p>
    <w:p>
      <w:pPr>
        <w:spacing w:after="120"/>
        <w:ind w:firstLine="0"/>
      </w:pPr>
      <w:r>
        <w:t>8.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