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mall"/>
      </w:pPr>
      <w:r>
        <w:t xml:space="preserve">RIVERMARK HOME INSPECTIONS</w:t>
      </w:r>
    </w:p>
    <w:p>
      <w:pPr>
        <w:pStyle w:val="Title"/>
      </w:pPr>
      <w:r>
        <w:t xml:space="preserve">Your Home Systems &amp; Maintenance Guide</w:t>
      </w:r>
    </w:p>
    <w:p>
      <w:pPr>
        <w:pStyle w:val="Small"/>
      </w:pPr>
      <w:r>
        <w:t xml:space="preserve">EDITABLE MASTER • Save a separate client copy. Replace bracketed fields and remove preparation notes before delivery. Keep explicit unknown states.</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2500"/>
        <w:gridCol w:w="6860"/>
      </w:tblGrid>
      <w:tr>
        <w:trPr>
          <w:cantSplit/>
          <w:tblHeader/>
        </w:trPr>
        <w:tc>
          <w:tcPr>
            <w:tcW w:w="2500" w:type="dxa"/>
            <w:shd w:fill="EAE7DF"/>
          </w:tcPr>
          <w:p>
            <w:pPr>
              <w:pStyle w:val="TableHeader"/>
            </w:pPr>
            <w:r>
              <w:t xml:space="preserve">Prepared for</w:t>
            </w:r>
          </w:p>
        </w:tc>
        <w:tc>
          <w:tcPr>
            <w:tcW w:w="6860" w:type="dxa"/>
            <w:shd w:fill="EAE7DF"/>
          </w:tcPr>
          <w:p>
            <w:pPr>
              <w:pStyle w:val="TableHeader"/>
            </w:pPr>
            <w:r>
              <w:t xml:space="preserve">Details</w:t>
            </w:r>
          </w:p>
        </w:tc>
      </w:tr>
      <w:tr>
        <w:trPr>
          <w:cantSplit/>
        </w:trPr>
        <w:tc>
          <w:tcPr>
            <w:tcW w:w="2500" w:type="dxa"/>
          </w:tcPr>
          <w:p>
            <w:pPr>
              <w:pStyle w:val="TableText"/>
            </w:pPr>
            <w:r>
              <w:t xml:space="preserve">Client</w:t>
            </w:r>
          </w:p>
        </w:tc>
        <w:tc>
          <w:tcPr>
            <w:tcW w:w="6860" w:type="dxa"/>
          </w:tcPr>
          <w:p>
            <w:pPr>
              <w:pStyle w:val="TableText"/>
            </w:pPr>
            <w:r>
              <w:t xml:space="preserve">[Client name]</w:t>
            </w:r>
          </w:p>
        </w:tc>
      </w:tr>
      <w:tr>
        <w:trPr>
          <w:cantSplit/>
        </w:trPr>
        <w:tc>
          <w:tcPr>
            <w:tcW w:w="2500" w:type="dxa"/>
          </w:tcPr>
          <w:p>
            <w:pPr>
              <w:pStyle w:val="TableText"/>
            </w:pPr>
            <w:r>
              <w:t xml:space="preserve">Property / unit</w:t>
            </w:r>
          </w:p>
        </w:tc>
        <w:tc>
          <w:tcPr>
            <w:tcW w:w="6860" w:type="dxa"/>
          </w:tcPr>
          <w:p>
            <w:pPr>
              <w:pStyle w:val="TableText"/>
            </w:pPr>
            <w:r>
              <w:t xml:space="preserve">[Property address; unit if applicable]</w:t>
            </w:r>
          </w:p>
        </w:tc>
      </w:tr>
      <w:tr>
        <w:trPr>
          <w:cantSplit/>
        </w:trPr>
        <w:tc>
          <w:tcPr>
            <w:tcW w:w="2500" w:type="dxa"/>
          </w:tcPr>
          <w:p>
            <w:pPr>
              <w:pStyle w:val="TableText"/>
            </w:pPr>
            <w:r>
              <w:t xml:space="preserve">Inspection date</w:t>
            </w:r>
          </w:p>
        </w:tc>
        <w:tc>
          <w:tcPr>
            <w:tcW w:w="6860" w:type="dxa"/>
          </w:tcPr>
          <w:p>
            <w:pPr>
              <w:pStyle w:val="TableText"/>
            </w:pPr>
            <w:r>
              <w:t xml:space="preserve">[Inspection date]</w:t>
            </w:r>
          </w:p>
        </w:tc>
      </w:tr>
      <w:tr>
        <w:trPr>
          <w:cantSplit/>
        </w:trPr>
        <w:tc>
          <w:tcPr>
            <w:tcW w:w="2500" w:type="dxa"/>
          </w:tcPr>
          <w:p>
            <w:pPr>
              <w:pStyle w:val="TableText"/>
            </w:pPr>
            <w:r>
              <w:t xml:space="preserve">Reviewed report</w:t>
            </w:r>
          </w:p>
        </w:tc>
        <w:tc>
          <w:tcPr>
            <w:tcW w:w="6860" w:type="dxa"/>
          </w:tcPr>
          <w:p>
            <w:pPr>
              <w:pStyle w:val="TableText"/>
            </w:pPr>
            <w:r>
              <w:t xml:space="preserve">[Report title/version/date; relevant addenda]</w:t>
            </w:r>
          </w:p>
        </w:tc>
      </w:tr>
      <w:tr>
        <w:trPr>
          <w:cantSplit/>
        </w:trPr>
        <w:tc>
          <w:tcPr>
            <w:tcW w:w="2500" w:type="dxa"/>
          </w:tcPr>
          <w:p>
            <w:pPr>
              <w:pStyle w:val="TableText"/>
            </w:pPr>
            <w:r>
              <w:t xml:space="preserve">Guide preparation</w:t>
            </w:r>
          </w:p>
        </w:tc>
        <w:tc>
          <w:tcPr>
            <w:tcW w:w="6860" w:type="dxa"/>
          </w:tcPr>
          <w:p>
            <w:pPr>
              <w:pStyle w:val="TableText"/>
            </w:pPr>
            <w:r>
              <w:t xml:space="preserve">[Guide version/date; prepared and reviewed by]</w:t>
            </w:r>
          </w:p>
        </w:tc>
      </w:tr>
      <w:tr>
        <w:trPr>
          <w:cantSplit/>
        </w:trPr>
        <w:tc>
          <w:tcPr>
            <w:tcW w:w="2500" w:type="dxa"/>
          </w:tcPr>
          <w:p>
            <w:pPr>
              <w:pStyle w:val="TableText"/>
            </w:pPr>
            <w:r>
              <w:t xml:space="preserve">Possession timing</w:t>
            </w:r>
          </w:p>
        </w:tc>
        <w:tc>
          <w:tcPr>
            <w:tcW w:w="6860" w:type="dxa"/>
          </w:tcPr>
          <w:p>
            <w:pPr>
              <w:pStyle w:val="TableText"/>
            </w:pPr>
            <w:r>
              <w:t xml:space="preserve">[Timing confirmed directly with client; source/date, or Not confirmed]</w:t>
            </w:r>
          </w:p>
        </w:tc>
      </w:tr>
    </w:tbl>
    <w:p>
      <w:pPr/>
      <w:r>
        <w:t xml:space="preserve"/>
      </w:r>
    </w:p>
    <w:p>
      <w:pPr/>
      <w:r>
        <w:t xml:space="preserve">This guide is an educational companion to your inspection report. The report remains the controlling inspection record. Read both together; this guide does not replace findings, classifications or limitations.</w:t>
      </w:r>
    </w:p>
    <w:p>
      <w:pPr>
        <w:pStyle w:val="Heading1"/>
      </w:pPr>
      <w:r>
        <w:t xml:space="preserve">1. How to use this guide</w:t>
      </w:r>
    </w:p>
    <w:p>
      <w:pPr/>
      <w:r>
        <w:t xml:space="preserve">This guide draws from the systems and features identified during your inspection. Use it to organize practical ownership information, maintenance references and questions about your home. Report references lead back to the full context.</w:t>
      </w:r>
    </w:p>
    <w:p>
      <w:pPr/>
      <w:r>
        <w:t xml:space="preserve">Later changes to the property are not automatically reflected here. A listed task does not show that work has been completed. Keep current service records with this guide and ask an appropriate qualified provider when information is uncertain.</w:t>
      </w:r>
    </w:p>
    <w:p>
      <w:pPr>
        <w:pStyle w:val="Small"/>
      </w:pPr>
      <w:r>
        <w:t xml:space="preserve">Preparation note: include only documented facts. Identify client-supplied information separately. A blank field is not a finding. Use Observed / Not observed / Not confirmed / Not applicable as appropriate.</w:t>
      </w:r>
    </w:p>
    <w:p>
      <w:pPr>
        <w:pStyle w:val="Heading1"/>
        <w:pageBreakBefore/>
      </w:pPr>
      <w:r>
        <w:t xml:space="preserve">2. Your home at a glance</w:t>
      </w:r>
    </w:p>
    <w:p>
      <w:pPr/>
      <w:r>
        <w:t xml:space="preserve">A concise inventory of the documented property and contracted inspection scope. Identify which unit or building a system serves; include association responsibilities only when supported.</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2770"/>
        <w:gridCol w:w="6590"/>
      </w:tblGrid>
      <w:tr>
        <w:trPr>
          <w:cantSplit/>
          <w:tblHeader/>
        </w:trPr>
        <w:tc>
          <w:tcPr>
            <w:tcW w:w="2770" w:type="dxa"/>
            <w:shd w:fill="EAE7DF"/>
          </w:tcPr>
          <w:p>
            <w:pPr>
              <w:pStyle w:val="TableHeader"/>
            </w:pPr>
            <w:r>
              <w:t xml:space="preserve">System / feature</w:t>
            </w:r>
          </w:p>
        </w:tc>
        <w:tc>
          <w:tcPr>
            <w:tcW w:w="6590" w:type="dxa"/>
            <w:shd w:fill="EAE7DF"/>
          </w:tcPr>
          <w:p>
            <w:pPr>
              <w:pStyle w:val="TableHeader"/>
            </w:pPr>
            <w:r>
              <w:t xml:space="preserve">Documented details, state and report reference</w:t>
            </w:r>
          </w:p>
        </w:tc>
      </w:tr>
      <w:tr>
        <w:trPr>
          <w:cantSplit/>
        </w:trPr>
        <w:tc>
          <w:tcPr>
            <w:tcW w:w="2770" w:type="dxa"/>
          </w:tcPr>
          <w:p>
            <w:pPr>
              <w:pStyle w:val="TableText"/>
            </w:pPr>
            <w:r>
              <w:t xml:space="preserve">Property type</w:t>
            </w:r>
          </w:p>
        </w:tc>
        <w:tc>
          <w:tcPr>
            <w:tcW w:w="6590" w:type="dxa"/>
          </w:tcPr>
          <w:p>
            <w:pPr>
              <w:pStyle w:val="TableText"/>
            </w:pPr>
            <w:r>
              <w:t xml:space="preserve">[Property type; unit/building; state; report/record reference]</w:t>
            </w:r>
          </w:p>
        </w:tc>
      </w:tr>
      <w:tr>
        <w:trPr>
          <w:cantSplit/>
        </w:trPr>
        <w:tc>
          <w:tcPr>
            <w:tcW w:w="2770" w:type="dxa"/>
          </w:tcPr>
          <w:p>
            <w:pPr>
              <w:pStyle w:val="TableText"/>
            </w:pPr>
            <w:r>
              <w:t xml:space="preserve">Inspected areas</w:t>
            </w:r>
          </w:p>
        </w:tc>
        <w:tc>
          <w:tcPr>
            <w:tcW w:w="6590" w:type="dxa"/>
          </w:tcPr>
          <w:p>
            <w:pPr>
              <w:pStyle w:val="TableText"/>
            </w:pPr>
            <w:r>
              <w:t xml:space="preserve">[Agreed areas; material access/scope limits; state; report/record reference]</w:t>
            </w:r>
          </w:p>
        </w:tc>
      </w:tr>
      <w:tr>
        <w:trPr>
          <w:cantSplit/>
        </w:trPr>
        <w:tc>
          <w:tcPr>
            <w:tcW w:w="2770" w:type="dxa"/>
          </w:tcPr>
          <w:p>
            <w:pPr>
              <w:pStyle w:val="TableText"/>
            </w:pPr>
            <w:r>
              <w:t xml:space="preserve">Heating systems</w:t>
            </w:r>
          </w:p>
        </w:tc>
        <w:tc>
          <w:tcPr>
            <w:tcW w:w="6590" w:type="dxa"/>
          </w:tcPr>
          <w:p>
            <w:pPr>
              <w:pStyle w:val="TableText"/>
            </w:pPr>
            <w:r>
              <w:t xml:space="preserve">[Documented type(s); state; report/record reference]</w:t>
            </w:r>
          </w:p>
        </w:tc>
      </w:tr>
      <w:tr>
        <w:trPr>
          <w:cantSplit/>
        </w:trPr>
        <w:tc>
          <w:tcPr>
            <w:tcW w:w="2770" w:type="dxa"/>
          </w:tcPr>
          <w:p>
            <w:pPr>
              <w:pStyle w:val="TableText"/>
            </w:pPr>
            <w:r>
              <w:t xml:space="preserve">Cooling systems</w:t>
            </w:r>
          </w:p>
        </w:tc>
        <w:tc>
          <w:tcPr>
            <w:tcW w:w="6590" w:type="dxa"/>
          </w:tcPr>
          <w:p>
            <w:pPr>
              <w:pStyle w:val="TableText"/>
            </w:pPr>
            <w:r>
              <w:t xml:space="preserve">[Documented type(s); state; report/record reference]</w:t>
            </w:r>
          </w:p>
        </w:tc>
      </w:tr>
      <w:tr>
        <w:trPr>
          <w:cantSplit/>
        </w:trPr>
        <w:tc>
          <w:tcPr>
            <w:tcW w:w="2770" w:type="dxa"/>
          </w:tcPr>
          <w:p>
            <w:pPr>
              <w:pStyle w:val="TableText"/>
            </w:pPr>
            <w:r>
              <w:t xml:space="preserve">Water heating</w:t>
            </w:r>
          </w:p>
        </w:tc>
        <w:tc>
          <w:tcPr>
            <w:tcW w:w="6590" w:type="dxa"/>
          </w:tcPr>
          <w:p>
            <w:pPr>
              <w:pStyle w:val="TableText"/>
            </w:pPr>
            <w:r>
              <w:t xml:space="preserve">[Documented type(s); state; report/record reference]</w:t>
            </w:r>
          </w:p>
        </w:tc>
      </w:tr>
      <w:tr>
        <w:trPr>
          <w:cantSplit/>
        </w:trPr>
        <w:tc>
          <w:tcPr>
            <w:tcW w:w="2770" w:type="dxa"/>
          </w:tcPr>
          <w:p>
            <w:pPr>
              <w:pStyle w:val="TableText"/>
            </w:pPr>
            <w:r>
              <w:t xml:space="preserve">Water source</w:t>
            </w:r>
          </w:p>
        </w:tc>
        <w:tc>
          <w:tcPr>
            <w:tcW w:w="6590" w:type="dxa"/>
          </w:tcPr>
          <w:p>
            <w:pPr>
              <w:pStyle w:val="TableText"/>
            </w:pPr>
            <w:r>
              <w:t xml:space="preserve">[Documented source; state; report/record reference]</w:t>
            </w:r>
          </w:p>
        </w:tc>
      </w:tr>
      <w:tr>
        <w:trPr>
          <w:cantSplit/>
        </w:trPr>
        <w:tc>
          <w:tcPr>
            <w:tcW w:w="2770" w:type="dxa"/>
          </w:tcPr>
          <w:p>
            <w:pPr>
              <w:pStyle w:val="TableText"/>
            </w:pPr>
            <w:r>
              <w:t xml:space="preserve">Sewer / septic</w:t>
            </w:r>
          </w:p>
        </w:tc>
        <w:tc>
          <w:tcPr>
            <w:tcW w:w="6590" w:type="dxa"/>
          </w:tcPr>
          <w:p>
            <w:pPr>
              <w:pStyle w:val="TableText"/>
            </w:pPr>
            <w:r>
              <w:t xml:space="preserve">[Documented arrangement, as applicable; state; report/record reference]</w:t>
            </w:r>
          </w:p>
        </w:tc>
      </w:tr>
      <w:tr>
        <w:trPr>
          <w:cantSplit/>
        </w:trPr>
        <w:tc>
          <w:tcPr>
            <w:tcW w:w="2770" w:type="dxa"/>
          </w:tcPr>
          <w:p>
            <w:pPr>
              <w:pStyle w:val="TableText"/>
            </w:pPr>
            <w:r>
              <w:t xml:space="preserve">Electrical service</w:t>
            </w:r>
          </w:p>
        </w:tc>
        <w:tc>
          <w:tcPr>
            <w:tcW w:w="6590" w:type="dxa"/>
          </w:tcPr>
          <w:p>
            <w:pPr>
              <w:pStyle w:val="TableText"/>
            </w:pPr>
            <w:r>
              <w:t xml:space="preserve">[Documented service details; state; report/record reference]</w:t>
            </w:r>
          </w:p>
        </w:tc>
      </w:tr>
      <w:tr>
        <w:trPr>
          <w:cantSplit/>
        </w:trPr>
        <w:tc>
          <w:tcPr>
            <w:tcW w:w="2770" w:type="dxa"/>
          </w:tcPr>
          <w:p>
            <w:pPr>
              <w:pStyle w:val="TableText"/>
            </w:pPr>
            <w:r>
              <w:t xml:space="preserve">Fuel sources</w:t>
            </w:r>
          </w:p>
        </w:tc>
        <w:tc>
          <w:tcPr>
            <w:tcW w:w="6590" w:type="dxa"/>
          </w:tcPr>
          <w:p>
            <w:pPr>
              <w:pStyle w:val="TableText"/>
            </w:pPr>
            <w:r>
              <w:t xml:space="preserve">[Documented source(s); state; report/record reference]</w:t>
            </w:r>
          </w:p>
        </w:tc>
      </w:tr>
      <w:tr>
        <w:trPr>
          <w:cantSplit/>
        </w:trPr>
        <w:tc>
          <w:tcPr>
            <w:tcW w:w="2770" w:type="dxa"/>
          </w:tcPr>
          <w:p>
            <w:pPr>
              <w:pStyle w:val="TableText"/>
            </w:pPr>
            <w:r>
              <w:t xml:space="preserve">Roof type</w:t>
            </w:r>
          </w:p>
        </w:tc>
        <w:tc>
          <w:tcPr>
            <w:tcW w:w="6590" w:type="dxa"/>
          </w:tcPr>
          <w:p>
            <w:pPr>
              <w:pStyle w:val="TableText"/>
            </w:pPr>
            <w:r>
              <w:t xml:space="preserve">[Type, only if documented; state; report/record reference]</w:t>
            </w:r>
          </w:p>
        </w:tc>
      </w:tr>
      <w:tr>
        <w:trPr>
          <w:cantSplit/>
        </w:trPr>
        <w:tc>
          <w:tcPr>
            <w:tcW w:w="2770" w:type="dxa"/>
          </w:tcPr>
          <w:p>
            <w:pPr>
              <w:pStyle w:val="TableText"/>
            </w:pPr>
            <w:r>
              <w:t xml:space="preserve">Foundation / basement / crawlspace</w:t>
            </w:r>
          </w:p>
        </w:tc>
        <w:tc>
          <w:tcPr>
            <w:tcW w:w="6590" w:type="dxa"/>
          </w:tcPr>
          <w:p>
            <w:pPr>
              <w:pStyle w:val="TableText"/>
            </w:pPr>
            <w:r>
              <w:t xml:space="preserve">[Type, only if documented; state; report/record reference]</w:t>
            </w:r>
          </w:p>
        </w:tc>
      </w:tr>
      <w:tr>
        <w:trPr>
          <w:cantSplit/>
        </w:trPr>
        <w:tc>
          <w:tcPr>
            <w:tcW w:w="2770" w:type="dxa"/>
          </w:tcPr>
          <w:p>
            <w:pPr>
              <w:pStyle w:val="TableText"/>
            </w:pPr>
            <w:r>
              <w:t xml:space="preserve">Other major installed features</w:t>
            </w:r>
          </w:p>
        </w:tc>
        <w:tc>
          <w:tcPr>
            <w:tcW w:w="6590" w:type="dxa"/>
          </w:tcPr>
          <w:p>
            <w:pPr>
              <w:pStyle w:val="TableText"/>
            </w:pPr>
            <w:r>
              <w:t xml:space="preserve">[Only features actually observed; state; report/record reference]</w:t>
            </w:r>
          </w:p>
        </w:tc>
      </w:tr>
    </w:tbl>
    <w:p>
      <w:pPr/>
      <w:r>
        <w:t xml:space="preserve"/>
      </w:r>
    </w:p>
    <w:p>
      <w:pPr>
        <w:pStyle w:val="Small"/>
      </w:pPr>
      <w:r>
        <w:t xml:space="preserve">Observed = documented observation. Not observed = not seen within the inspection’s stated limits. Not confirmed = the information is uncertain or unsupported. Not applicable = does not apply to the property or agreed scope.</w:t>
      </w:r>
    </w:p>
    <w:p>
      <w:pPr>
        <w:pStyle w:val="Small"/>
      </w:pPr>
      <w:r>
        <w:t xml:space="preserve">Source / responsibility notes: [Separate observations from client-supplied information; record responsibility sources or Not confirmed]</w:t>
      </w:r>
    </w:p>
    <w:p>
      <w:pPr>
        <w:pStyle w:val="Heading1"/>
        <w:pageBreakBefore/>
      </w:pPr>
      <w:r>
        <w:t xml:space="preserve">3. Important locations</w:t>
      </w:r>
    </w:p>
    <w:p>
      <w:pPr/>
      <w:r>
        <w:t xml:space="preserve">Use this page to find documented controls and service points. Record identification and access limits. A location entry does not imply operation or testing; mention testing only when the reviewed report documents it.</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2660"/>
        <w:gridCol w:w="3450"/>
        <w:gridCol w:w="3250"/>
      </w:tblGrid>
      <w:tr>
        <w:trPr>
          <w:cantSplit/>
          <w:tblHeader/>
        </w:trPr>
        <w:tc>
          <w:tcPr>
            <w:tcW w:w="2660" w:type="dxa"/>
            <w:shd w:fill="EAE7DF"/>
          </w:tcPr>
          <w:p>
            <w:pPr>
              <w:pStyle w:val="TableHeader"/>
            </w:pPr>
            <w:r>
              <w:t xml:space="preserve">Item</w:t>
            </w:r>
          </w:p>
        </w:tc>
        <w:tc>
          <w:tcPr>
            <w:tcW w:w="3450" w:type="dxa"/>
            <w:shd w:fill="EAE7DF"/>
          </w:tcPr>
          <w:p>
            <w:pPr>
              <w:pStyle w:val="TableHeader"/>
            </w:pPr>
            <w:r>
              <w:t xml:space="preserve">Location / state</w:t>
            </w:r>
          </w:p>
        </w:tc>
        <w:tc>
          <w:tcPr>
            <w:tcW w:w="3250" w:type="dxa"/>
            <w:shd w:fill="EAE7DF"/>
          </w:tcPr>
          <w:p>
            <w:pPr>
              <w:pStyle w:val="TableHeader"/>
            </w:pPr>
            <w:r>
              <w:t xml:space="preserve">Report reference and limits</w:t>
            </w:r>
          </w:p>
        </w:tc>
      </w:tr>
      <w:tr>
        <w:trPr>
          <w:cantSplit/>
        </w:trPr>
        <w:tc>
          <w:tcPr>
            <w:tcW w:w="2660" w:type="dxa"/>
          </w:tcPr>
          <w:p>
            <w:pPr>
              <w:pStyle w:val="TableText"/>
            </w:pPr>
            <w:r>
              <w:t xml:space="preserve">Main electrical disconnect / panel</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Water shutoff</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Fuel shutoff</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HVAC filter</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Thermostat</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Sump equipment</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Sewer cleanout</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r>
        <w:trPr>
          <w:cantSplit/>
        </w:trPr>
        <w:tc>
          <w:tcPr>
            <w:tcW w:w="2660" w:type="dxa"/>
          </w:tcPr>
          <w:p>
            <w:pPr>
              <w:pStyle w:val="TableText"/>
            </w:pPr>
            <w:r>
              <w:t xml:space="preserve">Other useful controls</w:t>
            </w:r>
          </w:p>
        </w:tc>
        <w:tc>
          <w:tcPr>
            <w:tcW w:w="3450" w:type="dxa"/>
          </w:tcPr>
          <w:p>
            <w:pPr>
              <w:pStyle w:val="TableText"/>
            </w:pPr>
            <w:r>
              <w:t xml:space="preserve">[Documented location; unit served, or appropriate unknown state]</w:t>
            </w:r>
          </w:p>
        </w:tc>
        <w:tc>
          <w:tcPr>
            <w:tcW w:w="3250" w:type="dxa"/>
          </w:tcPr>
          <w:p>
            <w:pPr>
              <w:pStyle w:val="TableText"/>
            </w:pPr>
            <w:r>
              <w:t xml:space="preserve">[Report/record reference; access/testing limits; responsibility source if applicable]</w:t>
            </w:r>
          </w:p>
        </w:tc>
      </w:tr>
    </w:tbl>
    <w:p>
      <w:pPr/>
      <w:r>
        <w:t xml:space="preserve"/>
      </w:r>
    </w:p>
    <w:p>
      <w:pPr>
        <w:pStyle w:val="Heading2"/>
      </w:pPr>
      <w:r>
        <w:t xml:space="preserve">Safe use</w:t>
      </w:r>
    </w:p>
    <w:p>
      <w:pPr/>
      <w:r>
        <w:t xml:space="preserve">Do not operate unsafe or unfamiliar equipment solely because it appears in this guide. Listing a fuel valve, electrical panel or shutoff is not an instruction to operate it. Ask a qualified provider to explain safe access or operation when uncertain.</w:t>
      </w:r>
    </w:p>
    <w:p>
      <w:pPr/>
      <w:r>
        <w:t xml:space="preserve">Access / responsibility notes: [Documented access restrictions; homeowner or association responsibility and source, or Not confirmed]</w:t>
      </w:r>
    </w:p>
    <w:p>
      <w:pPr>
        <w:pStyle w:val="Heading1"/>
        <w:pageBreakBefore/>
      </w:pPr>
      <w:r>
        <w:t xml:space="preserve">4. Systems and equipment</w:t>
      </w:r>
    </w:p>
    <w:p>
      <w:pPr/>
      <w:r>
        <w:t xml:space="preserve">Duplicate this block for each documented system or item. Keep only supported details. A manufacturer reference must match the actual equipment; do not guess a model, age, filter requirement or maintenance interval.</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3000"/>
        <w:gridCol w:w="6360"/>
      </w:tblGrid>
      <w:tr>
        <w:trPr>
          <w:cantSplit/>
          <w:tblHeader/>
        </w:trPr>
        <w:tc>
          <w:tcPr>
            <w:tcW w:w="3000" w:type="dxa"/>
            <w:shd w:fill="EAE7DF"/>
          </w:tcPr>
          <w:p>
            <w:pPr>
              <w:pStyle w:val="TableHeader"/>
            </w:pPr>
            <w:r>
              <w:t xml:space="preserve">Equipment record</w:t>
            </w:r>
          </w:p>
        </w:tc>
        <w:tc>
          <w:tcPr>
            <w:tcW w:w="6360" w:type="dxa"/>
            <w:shd w:fill="EAE7DF"/>
          </w:tcPr>
          <w:p>
            <w:pPr>
              <w:pStyle w:val="TableHeader"/>
            </w:pPr>
            <w:r>
              <w:t xml:space="preserve">Documented information</w:t>
            </w:r>
          </w:p>
        </w:tc>
      </w:tr>
      <w:tr>
        <w:trPr>
          <w:cantSplit/>
        </w:trPr>
        <w:tc>
          <w:tcPr>
            <w:tcW w:w="3000" w:type="dxa"/>
          </w:tcPr>
          <w:p>
            <w:pPr>
              <w:pStyle w:val="TableText"/>
            </w:pPr>
            <w:r>
              <w:t xml:space="preserve">System / equipment</w:t>
            </w:r>
          </w:p>
        </w:tc>
        <w:tc>
          <w:tcPr>
            <w:tcW w:w="6360" w:type="dxa"/>
          </w:tcPr>
          <w:p>
            <w:pPr>
              <w:pStyle w:val="TableText"/>
            </w:pPr>
            <w:r>
              <w:t xml:space="preserve">[System/equipment; unit or building served]</w:t>
            </w:r>
          </w:p>
        </w:tc>
      </w:tr>
      <w:tr>
        <w:trPr>
          <w:cantSplit/>
        </w:trPr>
        <w:tc>
          <w:tcPr>
            <w:tcW w:w="3000" w:type="dxa"/>
          </w:tcPr>
          <w:p>
            <w:pPr>
              <w:pStyle w:val="TableText"/>
            </w:pPr>
            <w:r>
              <w:t xml:space="preserve">Location</w:t>
            </w:r>
          </w:p>
        </w:tc>
        <w:tc>
          <w:tcPr>
            <w:tcW w:w="6360" w:type="dxa"/>
          </w:tcPr>
          <w:p>
            <w:pPr>
              <w:pStyle w:val="TableText"/>
            </w:pPr>
            <w:r>
              <w:t xml:space="preserve">[Documented location or Not confirmed]</w:t>
            </w:r>
          </w:p>
        </w:tc>
      </w:tr>
      <w:tr>
        <w:trPr>
          <w:cantSplit/>
        </w:trPr>
        <w:tc>
          <w:tcPr>
            <w:tcW w:w="3000" w:type="dxa"/>
          </w:tcPr>
          <w:p>
            <w:pPr>
              <w:pStyle w:val="TableText"/>
            </w:pPr>
            <w:r>
              <w:t xml:space="preserve">Manufacturer</w:t>
            </w:r>
          </w:p>
        </w:tc>
        <w:tc>
          <w:tcPr>
            <w:tcW w:w="6360" w:type="dxa"/>
          </w:tcPr>
          <w:p>
            <w:pPr>
              <w:pStyle w:val="TableText"/>
            </w:pPr>
            <w:r>
              <w:t xml:space="preserve">[Documented manufacturer or Not confirmed]</w:t>
            </w:r>
          </w:p>
        </w:tc>
      </w:tr>
      <w:tr>
        <w:trPr>
          <w:cantSplit/>
        </w:trPr>
        <w:tc>
          <w:tcPr>
            <w:tcW w:w="3000" w:type="dxa"/>
          </w:tcPr>
          <w:p>
            <w:pPr>
              <w:pStyle w:val="TableText"/>
            </w:pPr>
            <w:r>
              <w:t xml:space="preserve">Model</w:t>
            </w:r>
          </w:p>
        </w:tc>
        <w:tc>
          <w:tcPr>
            <w:tcW w:w="6360" w:type="dxa"/>
          </w:tcPr>
          <w:p>
            <w:pPr>
              <w:pStyle w:val="TableText"/>
            </w:pPr>
            <w:r>
              <w:t xml:space="preserve">[Documented model or Not confirmed]</w:t>
            </w:r>
          </w:p>
        </w:tc>
      </w:tr>
      <w:tr>
        <w:trPr>
          <w:cantSplit/>
        </w:trPr>
        <w:tc>
          <w:tcPr>
            <w:tcW w:w="3000" w:type="dxa"/>
          </w:tcPr>
          <w:p>
            <w:pPr>
              <w:pStyle w:val="TableText"/>
            </w:pPr>
            <w:r>
              <w:t xml:space="preserve">Serial</w:t>
            </w:r>
          </w:p>
        </w:tc>
        <w:tc>
          <w:tcPr>
            <w:tcW w:w="6360" w:type="dxa"/>
          </w:tcPr>
          <w:p>
            <w:pPr>
              <w:pStyle w:val="TableText"/>
            </w:pPr>
            <w:r>
              <w:t xml:space="preserve">[Documented serial or Not confirmed]</w:t>
            </w:r>
          </w:p>
        </w:tc>
      </w:tr>
      <w:tr>
        <w:trPr>
          <w:cantSplit/>
        </w:trPr>
        <w:tc>
          <w:tcPr>
            <w:tcW w:w="3000" w:type="dxa"/>
          </w:tcPr>
          <w:p>
            <w:pPr>
              <w:pStyle w:val="TableText"/>
            </w:pPr>
            <w:r>
              <w:t xml:space="preserve">Approximate age / basis</w:t>
            </w:r>
          </w:p>
        </w:tc>
        <w:tc>
          <w:tcPr>
            <w:tcW w:w="6360" w:type="dxa"/>
          </w:tcPr>
          <w:p>
            <w:pPr>
              <w:pStyle w:val="TableText"/>
            </w:pPr>
            <w:r>
              <w:t xml:space="preserve">[Supported age and source; otherwise Not confirmed]</w:t>
            </w:r>
          </w:p>
        </w:tc>
      </w:tr>
      <w:tr>
        <w:trPr>
          <w:cantSplit/>
        </w:trPr>
        <w:tc>
          <w:tcPr>
            <w:tcW w:w="3000" w:type="dxa"/>
          </w:tcPr>
          <w:p>
            <w:pPr>
              <w:pStyle w:val="TableText"/>
            </w:pPr>
            <w:r>
              <w:t xml:space="preserve">Filter type / size</w:t>
            </w:r>
          </w:p>
        </w:tc>
        <w:tc>
          <w:tcPr>
            <w:tcW w:w="6360" w:type="dxa"/>
          </w:tcPr>
          <w:p>
            <w:pPr>
              <w:pStyle w:val="TableText"/>
            </w:pPr>
            <w:r>
              <w:t xml:space="preserve">[Documented type and size; appropriate unknown/applicability state]</w:t>
            </w:r>
          </w:p>
        </w:tc>
      </w:tr>
      <w:tr>
        <w:trPr>
          <w:cantSplit/>
        </w:trPr>
        <w:tc>
          <w:tcPr>
            <w:tcW w:w="3000" w:type="dxa"/>
          </w:tcPr>
          <w:p>
            <w:pPr>
              <w:pStyle w:val="TableText"/>
            </w:pPr>
            <w:r>
              <w:t xml:space="preserve">Maintenance / reference notes</w:t>
            </w:r>
          </w:p>
        </w:tc>
        <w:tc>
          <w:tcPr>
            <w:tcW w:w="6360" w:type="dxa"/>
          </w:tcPr>
          <w:p>
            <w:pPr>
              <w:pStyle w:val="TableText"/>
            </w:pPr>
            <w:r>
              <w:t xml:space="preserve">[Applicable notes; verified source; no unsupported intervals]</w:t>
            </w:r>
          </w:p>
        </w:tc>
      </w:tr>
      <w:tr>
        <w:trPr>
          <w:cantSplit/>
        </w:trPr>
        <w:tc>
          <w:tcPr>
            <w:tcW w:w="3000" w:type="dxa"/>
          </w:tcPr>
          <w:p>
            <w:pPr>
              <w:pStyle w:val="TableText"/>
            </w:pPr>
            <w:r>
              <w:t xml:space="preserve">Manufacturer / manual / reference link</w:t>
            </w:r>
          </w:p>
        </w:tc>
        <w:tc>
          <w:tcPr>
            <w:tcW w:w="6360" w:type="dxa"/>
          </w:tcPr>
          <w:p>
            <w:pPr>
              <w:pStyle w:val="TableText"/>
            </w:pPr>
            <w:r>
              <w:t xml:space="preserve">[Verified title, publisher, matching equipment, URL and verification date; or Not confirmed]</w:t>
            </w:r>
          </w:p>
        </w:tc>
      </w:tr>
      <w:tr>
        <w:trPr>
          <w:cantSplit/>
        </w:trPr>
        <w:tc>
          <w:tcPr>
            <w:tcW w:w="3000" w:type="dxa"/>
          </w:tcPr>
          <w:p>
            <w:pPr>
              <w:pStyle w:val="TableText"/>
            </w:pPr>
            <w:r>
              <w:t xml:space="preserve">Report reference / state</w:t>
            </w:r>
          </w:p>
        </w:tc>
        <w:tc>
          <w:tcPr>
            <w:tcW w:w="6360" w:type="dxa"/>
          </w:tcPr>
          <w:p>
            <w:pPr>
              <w:pStyle w:val="TableText"/>
            </w:pPr>
            <w:r>
              <w:t xml:space="preserve">[Report item/page; Observed / Not observed / Not confirmed / Not applicable]</w:t>
            </w:r>
          </w:p>
        </w:tc>
      </w:tr>
    </w:tbl>
    <w:p>
      <w:pPr/>
      <w:r>
        <w:t xml:space="preserve"/>
      </w:r>
    </w:p>
    <w:p>
      <w:pPr/>
      <w:r>
        <w:t xml:space="preserve">Reference questions: [Questions for the appropriate qualified provider; record any later verified source separately]</w:t>
      </w:r>
    </w:p>
    <w:p>
      <w:pPr>
        <w:pStyle w:val="Heading1"/>
        <w:pageBreakBefore/>
      </w:pPr>
      <w:r>
        <w:t xml:space="preserve">5. Getting started after possession</w:t>
      </w:r>
    </w:p>
    <w:p>
      <w:pPr/>
      <w:r>
        <w:t xml:space="preserve">Organize tasks already supported by the reviewed report. These planning groups are not report classifications. Keep the report’s original priority wording and recommended provider; do not create findings or new diagnoses.</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2080"/>
        <w:gridCol w:w="3370"/>
        <w:gridCol w:w="3910"/>
      </w:tblGrid>
      <w:tr>
        <w:trPr>
          <w:cantSplit/>
          <w:tblHeader/>
        </w:trPr>
        <w:tc>
          <w:tcPr>
            <w:tcW w:w="2080" w:type="dxa"/>
            <w:shd w:fill="EAE7DF"/>
          </w:tcPr>
          <w:p>
            <w:pPr>
              <w:pStyle w:val="TableHeader"/>
            </w:pPr>
            <w:r>
              <w:t xml:space="preserve">Planning group</w:t>
            </w:r>
          </w:p>
        </w:tc>
        <w:tc>
          <w:tcPr>
            <w:tcW w:w="3370" w:type="dxa"/>
            <w:shd w:fill="EAE7DF"/>
          </w:tcPr>
          <w:p>
            <w:pPr>
              <w:pStyle w:val="TableHeader"/>
            </w:pPr>
            <w:r>
              <w:t xml:space="preserve">Report reference / original classification</w:t>
            </w:r>
          </w:p>
        </w:tc>
        <w:tc>
          <w:tcPr>
            <w:tcW w:w="3910" w:type="dxa"/>
            <w:shd w:fill="EAE7DF"/>
          </w:tcPr>
          <w:p>
            <w:pPr>
              <w:pStyle w:val="TableHeader"/>
            </w:pPr>
            <w:r>
              <w:t xml:space="preserve">Next step / status</w:t>
            </w:r>
          </w:p>
        </w:tc>
      </w:tr>
      <w:tr>
        <w:trPr>
          <w:cantSplit/>
        </w:trPr>
        <w:tc>
          <w:tcPr>
            <w:tcW w:w="2080" w:type="dxa"/>
          </w:tcPr>
          <w:p>
            <w:pPr>
              <w:pStyle w:val="TableText"/>
            </w:pPr>
            <w:r>
              <w:t xml:space="preserve">Priority items to understand</w:t>
            </w:r>
          </w:p>
        </w:tc>
        <w:tc>
          <w:tcPr>
            <w:tcW w:w="3370" w:type="dxa"/>
          </w:tcPr>
          <w:p>
            <w:pPr>
              <w:pStyle w:val="TableText"/>
            </w:pPr>
            <w:r>
              <w:t xml:space="preserve">[Report item/page; retain its classification; or no applicable task]</w:t>
            </w:r>
          </w:p>
        </w:tc>
        <w:tc>
          <w:tcPr>
            <w:tcW w:w="3910" w:type="dxa"/>
          </w:tcPr>
          <w:p>
            <w:pPr>
              <w:pStyle w:val="TableText"/>
            </w:pPr>
            <w:r>
              <w:t xml:space="preserve">[Report-based task; appropriate provider; status and source]</w:t>
            </w:r>
          </w:p>
        </w:tc>
      </w:tr>
      <w:tr>
        <w:trPr>
          <w:cantSplit/>
        </w:trPr>
        <w:tc>
          <w:tcPr>
            <w:tcW w:w="2080" w:type="dxa"/>
          </w:tcPr>
          <w:p>
            <w:pPr>
              <w:pStyle w:val="TableText"/>
            </w:pPr>
            <w:r>
              <w:t xml:space="preserve">Specialist follow-up</w:t>
            </w:r>
          </w:p>
        </w:tc>
        <w:tc>
          <w:tcPr>
            <w:tcW w:w="3370" w:type="dxa"/>
          </w:tcPr>
          <w:p>
            <w:pPr>
              <w:pStyle w:val="TableText"/>
            </w:pPr>
            <w:r>
              <w:t xml:space="preserve">[Report item/page; retain its classification; or no applicable task]</w:t>
            </w:r>
          </w:p>
        </w:tc>
        <w:tc>
          <w:tcPr>
            <w:tcW w:w="3910" w:type="dxa"/>
          </w:tcPr>
          <w:p>
            <w:pPr>
              <w:pStyle w:val="TableText"/>
            </w:pPr>
            <w:r>
              <w:t xml:space="preserve">[Report-based task; appropriate provider; status and source]</w:t>
            </w:r>
          </w:p>
        </w:tc>
      </w:tr>
      <w:tr>
        <w:trPr>
          <w:cantSplit/>
        </w:trPr>
        <w:tc>
          <w:tcPr>
            <w:tcW w:w="2080" w:type="dxa"/>
          </w:tcPr>
          <w:p>
            <w:pPr>
              <w:pStyle w:val="TableText"/>
            </w:pPr>
            <w:r>
              <w:t xml:space="preserve">Near-term maintenance</w:t>
            </w:r>
          </w:p>
        </w:tc>
        <w:tc>
          <w:tcPr>
            <w:tcW w:w="3370" w:type="dxa"/>
          </w:tcPr>
          <w:p>
            <w:pPr>
              <w:pStyle w:val="TableText"/>
            </w:pPr>
            <w:r>
              <w:t xml:space="preserve">[Report item/page; retain its classification; or no applicable task]</w:t>
            </w:r>
          </w:p>
        </w:tc>
        <w:tc>
          <w:tcPr>
            <w:tcW w:w="3910" w:type="dxa"/>
          </w:tcPr>
          <w:p>
            <w:pPr>
              <w:pStyle w:val="TableText"/>
            </w:pPr>
            <w:r>
              <w:t xml:space="preserve">[Report-based task; appropriate provider; status and source]</w:t>
            </w:r>
          </w:p>
        </w:tc>
      </w:tr>
      <w:tr>
        <w:trPr>
          <w:cantSplit/>
        </w:trPr>
        <w:tc>
          <w:tcPr>
            <w:tcW w:w="2080" w:type="dxa"/>
          </w:tcPr>
          <w:p>
            <w:pPr>
              <w:pStyle w:val="TableText"/>
            </w:pPr>
            <w:r>
              <w:t xml:space="preserve">Routine maintenance</w:t>
            </w:r>
          </w:p>
        </w:tc>
        <w:tc>
          <w:tcPr>
            <w:tcW w:w="3370" w:type="dxa"/>
          </w:tcPr>
          <w:p>
            <w:pPr>
              <w:pStyle w:val="TableText"/>
            </w:pPr>
            <w:r>
              <w:t xml:space="preserve">[Report item/page; retain its classification; or no applicable task]</w:t>
            </w:r>
          </w:p>
        </w:tc>
        <w:tc>
          <w:tcPr>
            <w:tcW w:w="3910" w:type="dxa"/>
          </w:tcPr>
          <w:p>
            <w:pPr>
              <w:pStyle w:val="TableText"/>
            </w:pPr>
            <w:r>
              <w:t xml:space="preserve">[Report-based task; appropriate provider; status and source]</w:t>
            </w:r>
          </w:p>
        </w:tc>
      </w:tr>
      <w:tr>
        <w:trPr>
          <w:cantSplit/>
        </w:trPr>
        <w:tc>
          <w:tcPr>
            <w:tcW w:w="2080" w:type="dxa"/>
          </w:tcPr>
          <w:p>
            <w:pPr>
              <w:pStyle w:val="TableText"/>
            </w:pPr>
            <w:r>
              <w:t xml:space="preserve">Monitoring</w:t>
            </w:r>
          </w:p>
        </w:tc>
        <w:tc>
          <w:tcPr>
            <w:tcW w:w="3370" w:type="dxa"/>
          </w:tcPr>
          <w:p>
            <w:pPr>
              <w:pStyle w:val="TableText"/>
            </w:pPr>
            <w:r>
              <w:t xml:space="preserve">[Report item/page; retain its classification; or no applicable task]</w:t>
            </w:r>
          </w:p>
        </w:tc>
        <w:tc>
          <w:tcPr>
            <w:tcW w:w="3910" w:type="dxa"/>
          </w:tcPr>
          <w:p>
            <w:pPr>
              <w:pStyle w:val="TableText"/>
            </w:pPr>
            <w:r>
              <w:t xml:space="preserve">[Report-based task; appropriate provider; status and source]</w:t>
            </w:r>
          </w:p>
        </w:tc>
      </w:tr>
    </w:tbl>
    <w:p>
      <w:pPr/>
      <w:r>
        <w:t xml:space="preserve"/>
      </w:r>
    </w:p>
    <w:p>
      <w:pPr/>
      <w:r>
        <w:t xml:space="preserve">Urgent concerns should not wait for possession, packet delivery or the remote session. Material corrections belong in the normal report correction/addendum process. This guide is not evidence that a recommended repair has been performed.</w:t>
      </w:r>
    </w:p>
    <w:p>
      <w:pPr/>
      <w:r>
        <w:t xml:space="preserve">Open questions / follow-through: [Report reference; responsible party; documented status; avoid unsupported completion claims]</w:t>
      </w:r>
    </w:p>
    <w:p>
      <w:pPr>
        <w:pStyle w:val="Heading1"/>
        <w:pageBreakBefore/>
      </w:pPr>
      <w:r>
        <w:t xml:space="preserve">6. Seasonal maintenance</w:t>
      </w:r>
    </w:p>
    <w:p>
      <w:pPr/>
      <w:r>
        <w:t xml:space="preserve">Build a routine for the actual home. Keep only tasks relevant to its documented systems/features. Verify manufacturer-specific guidance and responsibility before assigning intervals. Seasonal headings below do not establish service intervals.</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1820"/>
        <w:gridCol w:w="4400"/>
        <w:gridCol w:w="3140"/>
      </w:tblGrid>
      <w:tr>
        <w:trPr>
          <w:cantSplit/>
          <w:tblHeader/>
        </w:trPr>
        <w:tc>
          <w:tcPr>
            <w:tcW w:w="1820" w:type="dxa"/>
            <w:shd w:fill="EAE7DF"/>
          </w:tcPr>
          <w:p>
            <w:pPr>
              <w:pStyle w:val="TableHeader"/>
            </w:pPr>
            <w:r>
              <w:t xml:space="preserve">When</w:t>
            </w:r>
          </w:p>
        </w:tc>
        <w:tc>
          <w:tcPr>
            <w:tcW w:w="4400" w:type="dxa"/>
            <w:shd w:fill="EAE7DF"/>
          </w:tcPr>
          <w:p>
            <w:pPr>
              <w:pStyle w:val="TableHeader"/>
            </w:pPr>
            <w:r>
              <w:t xml:space="preserve">Applicable task and source</w:t>
            </w:r>
          </w:p>
        </w:tc>
        <w:tc>
          <w:tcPr>
            <w:tcW w:w="3140" w:type="dxa"/>
            <w:shd w:fill="EAE7DF"/>
          </w:tcPr>
          <w:p>
            <w:pPr>
              <w:pStyle w:val="TableHeader"/>
            </w:pPr>
            <w:r>
              <w:t xml:space="preserve">Responsibility / interval basis</w:t>
            </w:r>
          </w:p>
        </w:tc>
      </w:tr>
      <w:tr>
        <w:trPr>
          <w:cantSplit/>
        </w:trPr>
        <w:tc>
          <w:tcPr>
            <w:tcW w:w="1820" w:type="dxa"/>
          </w:tcPr>
          <w:p>
            <w:pPr>
              <w:pStyle w:val="TableText"/>
            </w:pPr>
            <w:r>
              <w:t xml:space="preserve">Monthly / as needed</w:t>
            </w:r>
          </w:p>
        </w:tc>
        <w:tc>
          <w:tcPr>
            <w:tcW w:w="4400" w:type="dxa"/>
          </w:tcPr>
          <w:p>
            <w:pPr>
              <w:pStyle w:val="TableText"/>
            </w:pPr>
            <w:r>
              <w:t xml:space="preserve">[Relevant task; system/feature; verified source, or no task established]</w:t>
            </w:r>
          </w:p>
        </w:tc>
        <w:tc>
          <w:tcPr>
            <w:tcW w:w="3140" w:type="dxa"/>
          </w:tcPr>
          <w:p>
            <w:pPr>
              <w:pStyle w:val="TableText"/>
            </w:pPr>
            <w:r>
              <w:t xml:space="preserve">[Responsible party; verified timing/manual/reference; or Not confirmed]</w:t>
            </w:r>
          </w:p>
        </w:tc>
      </w:tr>
      <w:tr>
        <w:trPr>
          <w:cantSplit/>
        </w:trPr>
        <w:tc>
          <w:tcPr>
            <w:tcW w:w="1820" w:type="dxa"/>
          </w:tcPr>
          <w:p>
            <w:pPr>
              <w:pStyle w:val="TableText"/>
            </w:pPr>
            <w:r>
              <w:t xml:space="preserve">Spring</w:t>
            </w:r>
          </w:p>
        </w:tc>
        <w:tc>
          <w:tcPr>
            <w:tcW w:w="4400" w:type="dxa"/>
          </w:tcPr>
          <w:p>
            <w:pPr>
              <w:pStyle w:val="TableText"/>
            </w:pPr>
            <w:r>
              <w:t xml:space="preserve">[Relevant task; system/feature; verified source, or no task established]</w:t>
            </w:r>
          </w:p>
        </w:tc>
        <w:tc>
          <w:tcPr>
            <w:tcW w:w="3140" w:type="dxa"/>
          </w:tcPr>
          <w:p>
            <w:pPr>
              <w:pStyle w:val="TableText"/>
            </w:pPr>
            <w:r>
              <w:t xml:space="preserve">[Responsible party; verified timing/manual/reference; or Not confirmed]</w:t>
            </w:r>
          </w:p>
        </w:tc>
      </w:tr>
      <w:tr>
        <w:trPr>
          <w:cantSplit/>
        </w:trPr>
        <w:tc>
          <w:tcPr>
            <w:tcW w:w="1820" w:type="dxa"/>
          </w:tcPr>
          <w:p>
            <w:pPr>
              <w:pStyle w:val="TableText"/>
            </w:pPr>
            <w:r>
              <w:t xml:space="preserve">Summer</w:t>
            </w:r>
          </w:p>
        </w:tc>
        <w:tc>
          <w:tcPr>
            <w:tcW w:w="4400" w:type="dxa"/>
          </w:tcPr>
          <w:p>
            <w:pPr>
              <w:pStyle w:val="TableText"/>
            </w:pPr>
            <w:r>
              <w:t xml:space="preserve">[Relevant task; system/feature; verified source, or no task established]</w:t>
            </w:r>
          </w:p>
        </w:tc>
        <w:tc>
          <w:tcPr>
            <w:tcW w:w="3140" w:type="dxa"/>
          </w:tcPr>
          <w:p>
            <w:pPr>
              <w:pStyle w:val="TableText"/>
            </w:pPr>
            <w:r>
              <w:t xml:space="preserve">[Responsible party; verified timing/manual/reference; or Not confirmed]</w:t>
            </w:r>
          </w:p>
        </w:tc>
      </w:tr>
      <w:tr>
        <w:trPr>
          <w:cantSplit/>
        </w:trPr>
        <w:tc>
          <w:tcPr>
            <w:tcW w:w="1820" w:type="dxa"/>
          </w:tcPr>
          <w:p>
            <w:pPr>
              <w:pStyle w:val="TableText"/>
            </w:pPr>
            <w:r>
              <w:t xml:space="preserve">Fall</w:t>
            </w:r>
          </w:p>
        </w:tc>
        <w:tc>
          <w:tcPr>
            <w:tcW w:w="4400" w:type="dxa"/>
          </w:tcPr>
          <w:p>
            <w:pPr>
              <w:pStyle w:val="TableText"/>
            </w:pPr>
            <w:r>
              <w:t xml:space="preserve">[Relevant task; system/feature; verified source, or no task established]</w:t>
            </w:r>
          </w:p>
        </w:tc>
        <w:tc>
          <w:tcPr>
            <w:tcW w:w="3140" w:type="dxa"/>
          </w:tcPr>
          <w:p>
            <w:pPr>
              <w:pStyle w:val="TableText"/>
            </w:pPr>
            <w:r>
              <w:t xml:space="preserve">[Responsible party; verified timing/manual/reference; or Not confirmed]</w:t>
            </w:r>
          </w:p>
        </w:tc>
      </w:tr>
      <w:tr>
        <w:trPr>
          <w:cantSplit/>
        </w:trPr>
        <w:tc>
          <w:tcPr>
            <w:tcW w:w="1820" w:type="dxa"/>
          </w:tcPr>
          <w:p>
            <w:pPr>
              <w:pStyle w:val="TableText"/>
            </w:pPr>
            <w:r>
              <w:t xml:space="preserve">Winter</w:t>
            </w:r>
          </w:p>
        </w:tc>
        <w:tc>
          <w:tcPr>
            <w:tcW w:w="4400" w:type="dxa"/>
          </w:tcPr>
          <w:p>
            <w:pPr>
              <w:pStyle w:val="TableText"/>
            </w:pPr>
            <w:r>
              <w:t xml:space="preserve">[Relevant task; system/feature; verified source, or no task established]</w:t>
            </w:r>
          </w:p>
        </w:tc>
        <w:tc>
          <w:tcPr>
            <w:tcW w:w="3140" w:type="dxa"/>
          </w:tcPr>
          <w:p>
            <w:pPr>
              <w:pStyle w:val="TableText"/>
            </w:pPr>
            <w:r>
              <w:t xml:space="preserve">[Responsible party; verified timing/manual/reference; or Not confirmed]</w:t>
            </w:r>
          </w:p>
        </w:tc>
      </w:tr>
    </w:tbl>
    <w:p>
      <w:pPr/>
      <w:r>
        <w:t xml:space="preserve"/>
      </w:r>
    </w:p>
    <w:p>
      <w:pPr>
        <w:pStyle w:val="Small"/>
      </w:pPr>
      <w:r>
        <w:t xml:space="preserve">Routine reference: [Applicable general maintenance already supported by the report; keep timing unconfirmed if unsupported]</w:t>
      </w:r>
    </w:p>
    <w:p>
      <w:pPr>
        <w:pStyle w:val="Heading1"/>
      </w:pPr>
      <w:r>
        <w:t xml:space="preserve">7. Useful records to keep</w:t>
      </w:r>
    </w:p>
    <w:p>
      <w:pPr/>
      <w:r>
        <w:t xml:space="preserve">Keep applicable records together. A record listed here is not proof that it exists or was reviewed. Association documents apply only when relevant to the property.</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3270"/>
        <w:gridCol w:w="6090"/>
      </w:tblGrid>
      <w:tr>
        <w:trPr>
          <w:cantSplit/>
          <w:tblHeader/>
        </w:trPr>
        <w:tc>
          <w:tcPr>
            <w:tcW w:w="3270" w:type="dxa"/>
            <w:shd w:fill="EAE7DF"/>
          </w:tcPr>
          <w:p>
            <w:pPr>
              <w:pStyle w:val="TableHeader"/>
            </w:pPr>
            <w:r>
              <w:t xml:space="preserve">Record</w:t>
            </w:r>
          </w:p>
        </w:tc>
        <w:tc>
          <w:tcPr>
            <w:tcW w:w="6090" w:type="dxa"/>
            <w:shd w:fill="EAE7DF"/>
          </w:tcPr>
          <w:p>
            <w:pPr>
              <w:pStyle w:val="TableHeader"/>
            </w:pPr>
            <w:r>
              <w:t xml:space="preserve">Location / reference / status</w:t>
            </w:r>
          </w:p>
        </w:tc>
      </w:tr>
      <w:tr>
        <w:trPr>
          <w:cantSplit/>
        </w:trPr>
        <w:tc>
          <w:tcPr>
            <w:tcW w:w="3270" w:type="dxa"/>
          </w:tcPr>
          <w:p>
            <w:pPr>
              <w:pStyle w:val="TableText"/>
            </w:pPr>
            <w:r>
              <w:t xml:space="preserve">Inspection report</w:t>
            </w:r>
          </w:p>
        </w:tc>
        <w:tc>
          <w:tcPr>
            <w:tcW w:w="6090" w:type="dxa"/>
          </w:tcPr>
          <w:p>
            <w:pPr>
              <w:pStyle w:val="TableText"/>
            </w:pPr>
            <w:r>
              <w:t xml:space="preserve">[Storage location/reference; availability state]</w:t>
            </w:r>
          </w:p>
        </w:tc>
      </w:tr>
      <w:tr>
        <w:trPr>
          <w:cantSplit/>
        </w:trPr>
        <w:tc>
          <w:tcPr>
            <w:tcW w:w="3270" w:type="dxa"/>
          </w:tcPr>
          <w:p>
            <w:pPr>
              <w:pStyle w:val="TableText"/>
            </w:pPr>
            <w:r>
              <w:t xml:space="preserve">This guide / packet</w:t>
            </w:r>
          </w:p>
        </w:tc>
        <w:tc>
          <w:tcPr>
            <w:tcW w:w="6090" w:type="dxa"/>
          </w:tcPr>
          <w:p>
            <w:pPr>
              <w:pStyle w:val="TableText"/>
            </w:pPr>
            <w:r>
              <w:t xml:space="preserve">[Storage location/reference; availability state]</w:t>
            </w:r>
          </w:p>
        </w:tc>
      </w:tr>
      <w:tr>
        <w:trPr>
          <w:cantSplit/>
        </w:trPr>
        <w:tc>
          <w:tcPr>
            <w:tcW w:w="3270" w:type="dxa"/>
          </w:tcPr>
          <w:p>
            <w:pPr>
              <w:pStyle w:val="TableText"/>
            </w:pPr>
            <w:r>
              <w:t xml:space="preserve">Equipment manuals</w:t>
            </w:r>
          </w:p>
        </w:tc>
        <w:tc>
          <w:tcPr>
            <w:tcW w:w="6090" w:type="dxa"/>
          </w:tcPr>
          <w:p>
            <w:pPr>
              <w:pStyle w:val="TableText"/>
            </w:pPr>
            <w:r>
              <w:t xml:space="preserve">[Storage location/reference; availability state]</w:t>
            </w:r>
          </w:p>
        </w:tc>
      </w:tr>
      <w:tr>
        <w:trPr>
          <w:cantSplit/>
        </w:trPr>
        <w:tc>
          <w:tcPr>
            <w:tcW w:w="3270" w:type="dxa"/>
          </w:tcPr>
          <w:p>
            <w:pPr>
              <w:pStyle w:val="TableText"/>
            </w:pPr>
            <w:r>
              <w:t xml:space="preserve">Service receipts / warranties</w:t>
            </w:r>
          </w:p>
        </w:tc>
        <w:tc>
          <w:tcPr>
            <w:tcW w:w="6090" w:type="dxa"/>
          </w:tcPr>
          <w:p>
            <w:pPr>
              <w:pStyle w:val="TableText"/>
            </w:pPr>
            <w:r>
              <w:t xml:space="preserve">[Storage location/reference; availability state]</w:t>
            </w:r>
          </w:p>
        </w:tc>
      </w:tr>
      <w:tr>
        <w:trPr>
          <w:cantSplit/>
        </w:trPr>
        <w:tc>
          <w:tcPr>
            <w:tcW w:w="3270" w:type="dxa"/>
          </w:tcPr>
          <w:p>
            <w:pPr>
              <w:pStyle w:val="TableText"/>
            </w:pPr>
            <w:r>
              <w:t xml:space="preserve">Permits / contractor documentation</w:t>
            </w:r>
          </w:p>
        </w:tc>
        <w:tc>
          <w:tcPr>
            <w:tcW w:w="6090" w:type="dxa"/>
          </w:tcPr>
          <w:p>
            <w:pPr>
              <w:pStyle w:val="TableText"/>
            </w:pPr>
            <w:r>
              <w:t xml:space="preserve">[Storage location/reference; availability state]</w:t>
            </w:r>
          </w:p>
        </w:tc>
      </w:tr>
      <w:tr>
        <w:trPr>
          <w:cantSplit/>
        </w:trPr>
        <w:tc>
          <w:tcPr>
            <w:tcW w:w="3270" w:type="dxa"/>
          </w:tcPr>
          <w:p>
            <w:pPr>
              <w:pStyle w:val="TableText"/>
            </w:pPr>
            <w:r>
              <w:t xml:space="preserve">Association documents, if relevant</w:t>
            </w:r>
          </w:p>
        </w:tc>
        <w:tc>
          <w:tcPr>
            <w:tcW w:w="6090" w:type="dxa"/>
          </w:tcPr>
          <w:p>
            <w:pPr>
              <w:pStyle w:val="TableText"/>
            </w:pPr>
            <w:r>
              <w:t xml:space="preserve">[Storage location/reference; availability state]</w:t>
            </w:r>
          </w:p>
        </w:tc>
      </w:tr>
    </w:tbl>
    <w:p>
      <w:pPr/>
      <w:r>
        <w:t xml:space="preserve"/>
      </w:r>
    </w:p>
    <w:p>
      <w:pPr>
        <w:pStyle w:val="Heading1"/>
        <w:pageBreakBefore/>
      </w:pPr>
      <w:r>
        <w:t xml:space="preserve">8. Questions after you move in</w:t>
      </w:r>
    </w:p>
    <w:p>
      <w:pPr/>
      <w:r>
        <w:t xml:space="preserve">Your eligible full buyer inspection includes this home-specific guide and one short scheduled remote explanation session on request after taking possession. Contact Rivermark through your existing client channel, or use the contact details below, to coordinate the session directly. Let us know which report or guide sections you would like to discuss.</w:t>
      </w:r>
    </w:p>
    <w:p>
      <w:pPr/>
      <w:r>
        <w:t xml:space="preserve">The session helps explain the documented systems, maintenance context and questions in your report and guide. It does not create another site inspection or a diagnosis of newly developed conditions. A qualified professional or site evaluation may be needed when a question cannot reasonably be resolved remotely.</w:t>
      </w:r>
    </w:p>
    <w:p>
      <w:pPr/>
      <w:r>
        <w:t xml:space="preserve">Approximately 30 calendar days of reasonable report-related email support for the original client remains a separate benefit. Later possession does not by itself forfeit the packet or requested session. The session does not extend report-related support indefinitely.</w:t>
      </w:r>
    </w:p>
    <w:tbl>
      <w:tblPr>
        <w:tblW w:w="9360" w:type="dxa"/>
        <w:tblLayout w:type="fixed"/>
        <w:tblBorders>
          <w:top w:val="single" w:sz="4" w:color="D7D4CB"/>
          <w:left w:val="single" w:sz="4" w:color="D7D4CB"/>
          <w:bottom w:val="single" w:sz="4" w:color="D7D4CB"/>
          <w:right w:val="single" w:sz="4" w:color="D7D4CB"/>
          <w:insideH w:val="single" w:sz="4" w:color="D7D4CB"/>
          <w:insideV w:val="single" w:sz="4" w:color="D7D4CB"/>
        </w:tblBorders>
        <w:tblCellMar>
          <w:top w:w="85" w:type="dxa"/>
          <w:left w:w="110" w:type="dxa"/>
          <w:bottom w:w="85" w:type="dxa"/>
          <w:right w:w="110" w:type="dxa"/>
        </w:tblCellMar>
      </w:tblPr>
      <w:tblGrid>
        <w:gridCol w:w="4300"/>
        <w:gridCol w:w="5060"/>
      </w:tblGrid>
      <w:tr>
        <w:trPr>
          <w:cantSplit/>
          <w:tblHeader/>
        </w:trPr>
        <w:tc>
          <w:tcPr>
            <w:tcW w:w="4300" w:type="dxa"/>
            <w:shd w:fill="EAE7DF"/>
          </w:tcPr>
          <w:p>
            <w:pPr>
              <w:pStyle w:val="TableHeader"/>
            </w:pPr>
            <w:r>
              <w:t xml:space="preserve">Questions for Rivermark</w:t>
            </w:r>
          </w:p>
        </w:tc>
        <w:tc>
          <w:tcPr>
            <w:tcW w:w="5060" w:type="dxa"/>
            <w:shd w:fill="EAE7DF"/>
          </w:tcPr>
          <w:p>
            <w:pPr>
              <w:pStyle w:val="TableHeader"/>
            </w:pPr>
            <w:r>
              <w:t xml:space="preserve">Notes / report reference</w:t>
            </w:r>
          </w:p>
        </w:tc>
      </w:tr>
      <w:tr>
        <w:trPr>
          <w:cantSplit/>
        </w:trPr>
        <w:tc>
          <w:tcPr>
            <w:tcW w:w="4300" w:type="dxa"/>
          </w:tcPr>
          <w:p>
            <w:pPr>
              <w:pStyle w:val="TableText"/>
            </w:pPr>
            <w:r>
              <w:t xml:space="preserve">[Question about the documented report/guide]</w:t>
            </w:r>
          </w:p>
        </w:tc>
        <w:tc>
          <w:tcPr>
            <w:tcW w:w="5060" w:type="dxa"/>
          </w:tcPr>
          <w:p>
            <w:pPr>
              <w:pStyle w:val="TableText"/>
            </w:pPr>
            <w:r>
              <w:t xml:space="preserve">[Relevant report item/page; questions, not new findings]</w:t>
            </w:r>
          </w:p>
        </w:tc>
      </w:tr>
    </w:tbl>
    <w:p>
      <w:pPr/>
      <w:r>
        <w:t xml:space="preserve"/>
      </w:r>
    </w:p>
    <w:p>
      <w:pPr>
        <w:pStyle w:val="Heading1"/>
      </w:pPr>
      <w:r>
        <w:t xml:space="preserve">9. Important limitations</w:t>
      </w:r>
    </w:p>
    <w:p>
      <w:pPr/>
      <w:r>
        <w:t xml:space="preserve">This guide is an educational companion. The inspection report remains the controlling inspection record, including its findings, classifications and limitations. The guide is not a warranty or assurance that conditions have remained unchanged since inspection.</w:t>
      </w:r>
    </w:p>
    <w:p>
      <w:pPr/>
      <w:r>
        <w:t xml:space="preserve">It does not replace qualified service providers or the correct manufacturer instructions. Do not operate unsafe or unfamiliar equipment solely because it is listed here. Unconfirmed information remains unconfirmed until an appropriate source establishes it.</w:t>
      </w:r>
    </w:p>
    <w:p>
      <w:pPr>
        <w:pStyle w:val="Small"/>
      </w:pPr>
      <w:r>
        <w:t xml:space="preserve">Prepared by: [Rivermark preparer / review date]</w:t>
      </w:r>
    </w:p>
    <w:sectPr>
      <w:footerReference w:type="default" r:id="rId2"/>
      <w:pgSz w:w="12240" w:h="15840"/>
      <w:pgMar w:top="850" w:right="1440" w:bottom="1200" w:left="1440" w:header="420" w:footer="430"/>
    </w:sectPr>
  </w:body>
</w:document>
</file>

<file path=word/footer1.xml><?xml version="1.0" encoding="utf-8"?>
<w:ftr xmlns:w="http://schemas.openxmlformats.org/wordprocessingml/2006/main">
  <w:p>
    <w:pPr>
      <w:pStyle w:val="Footer"/>
    </w:pPr>
    <w:r>
      <w:t xml:space="preserve">Rivermark Home Inspections</w:t>
    </w:r>
  </w:p>
  <w:p>
    <w:pPr>
      <w:pStyle w:val="Footer"/>
    </w:pPr>
    <w:r>
      <w:t xml:space="preserve">616-308-5359 • brandon@rivermarkinspections.com • rivermarkinspections.com</w:t>
    </w:r>
  </w:p>
  <w:p>
    <w:pPr>
      <w:pStyle w:val="Footer"/>
    </w:pPr>
    <w:r>
      <w:t xml:space="preserve">Page </w:t>
    </w:r>
    <w:fldSimple w:instr="PAGE"/>
  </w:p>
</w:ftr>
</file>

<file path=word/styles.xml><?xml version="1.0" encoding="utf-8"?>
<w:styles xmlns:w="http://schemas.openxmlformats.org/wordprocessingml/2006/main">
  <w:docDefaults>
    <w:rPrDefault>
      <w:rPr>
        <w:rFonts w:ascii="Liberation Sans" w:hAnsi="Liberation Sans"/>
        <w:sz w:val="22"/>
        <w:color w:val="202421"/>
      </w:rPr>
    </w:rPrDefault>
    <w:pPrDefault>
      <w:pPr>
        <w:spacing w:after="100" w:line="258" w:lineRule="auto"/>
        <w:widowControl/>
      </w:pPr>
    </w:pPrDefault>
  </w:docDefaults>
  <w:style w:type="paragraph" w:default="1" w:styleId="Normal">
    <w:name w:val="Normal"/>
  </w:style>
  <w:style w:type="paragraph" w:styleId="Title">
    <w:name w:val="Title"/>
    <w:pPr>
      <w:spacing w:before="80" w:after="180"/>
      <w:keepNext/>
    </w:pPr>
    <w:rPr>
      <w:b/>
      <w:sz w:val="40"/>
    </w:rPr>
  </w:style>
  <w:style w:type="paragraph" w:styleId="Heading1">
    <w:name w:val="Heading 1"/>
    <w:pPr>
      <w:spacing w:before="190" w:after="110"/>
      <w:keepNext/>
      <w:outlineLvl w:val="0"/>
    </w:pPr>
    <w:rPr>
      <w:b/>
      <w:sz w:val="28"/>
    </w:rPr>
  </w:style>
  <w:style w:type="paragraph" w:styleId="Heading2">
    <w:name w:val="Heading 2"/>
    <w:pPr>
      <w:spacing w:before="150" w:after="85"/>
      <w:keepNext/>
      <w:outlineLvl w:val="1"/>
    </w:pPr>
    <w:rPr>
      <w:b/>
      <w:sz w:val="23"/>
    </w:rPr>
  </w:style>
  <w:style w:type="paragraph" w:styleId="Small">
    <w:name w:val="Small"/>
    <w:pPr>
      <w:spacing w:after="85"/>
    </w:pPr>
    <w:rPr>
      <w:sz w:val="19"/>
      <w:color w:val="5F625D"/>
    </w:rPr>
  </w:style>
  <w:style w:type="paragraph" w:styleId="TableText">
    <w:name w:val="Table Text"/>
    <w:pPr>
      <w:spacing w:after="55" w:line="230" w:lineRule="auto"/>
    </w:pPr>
    <w:rPr>
      <w:sz w:val="20"/>
    </w:rPr>
  </w:style>
  <w:style w:type="paragraph" w:styleId="TableHeader">
    <w:name w:val="Table Header"/>
    <w:pPr>
      <w:spacing w:after="35"/>
    </w:pPr>
    <w:rPr>
      <w:b/>
      <w:sz w:val="20"/>
    </w:rPr>
  </w:style>
  <w:style w:type="paragraph" w:styleId="Footer">
    <w:name w:val="Footer"/>
    <w:pPr>
      <w:spacing w:after="25" w:line="210" w:lineRule="auto"/>
    </w:pPr>
    <w:rPr>
      <w:sz w:val="17"/>
      <w:color w:val="5F625D"/>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Your Home Systems &amp; Maintenance Guide — Editable Master</dc:title>
  <dc:creator>Rivermark Home Inspections</dc:creator>
  <dc:description>A123 reusable local operational asset; no client data.</dc:description>
  <dcterms:created xsi:type="dcterms:W3CDTF">2026-10-03T17:32:29Z</dcterms:created>
</cp:coreProperties>
</file>