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Amzallag et al. (</w:t>
      </w:r>
      <w:hyperlink w:anchor="ref-amzallag2019monetary">
        <w:r>
          <w:rPr>
            <w:rStyle w:val="Hyperlink"/>
          </w:rPr>
          <w:t xml:space="preserve">2019</w:t>
        </w:r>
      </w:hyperlink>
      <w:r>
        <w:t xml:space="preserve">)</w:t>
      </w:r>
    </w:p>
    <w:p>
      <w:pPr>
        <w:pStyle w:val="BodyText"/>
      </w:pPr>
      <w:r>
        <w:t xml:space="preserve">OECD. (</w:t>
      </w:r>
      <w:hyperlink w:anchor="ref-oecd2021brick">
        <w:r>
          <w:rPr>
            <w:rStyle w:val="Hyperlink"/>
          </w:rPr>
          <w:t xml:space="preserve">2021</w:t>
        </w:r>
      </w:hyperlink>
      <w:r>
        <w:t xml:space="preserve">)</w:t>
      </w:r>
    </w:p>
    <w:bookmarkEnd w:id="20"/>
    <w:bookmarkStart w:id="21" w:name="experiences-from-other-countries"/>
    <w:p>
      <w:pPr>
        <w:pStyle w:val="Heading1"/>
      </w:pPr>
      <w:r>
        <w:t xml:space="preserve">Experiences from other countries</w:t>
      </w:r>
    </w:p>
    <w:bookmarkEnd w:id="21"/>
    <w:bookmarkStart w:id="22" w:name="south-african-experience"/>
    <w:p>
      <w:pPr>
        <w:pStyle w:val="Heading1"/>
      </w:pPr>
      <w:r>
        <w:t xml:space="preserve">South African experience</w:t>
      </w:r>
    </w:p>
    <w:bookmarkEnd w:id="22"/>
    <w:bookmarkStart w:id="23" w:name="conclusion"/>
    <w:p>
      <w:pPr>
        <w:pStyle w:val="Heading1"/>
      </w:pPr>
      <w:r>
        <w:t xml:space="preserve">Conclusion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4" w:name="ref-amzallag2019monetary"/>
    <w:p>
      <w:pPr>
        <w:pStyle w:val="Bibliography"/>
      </w:pPr>
      <w:r>
        <w:t xml:space="preserve">Amzallag, Adrien, Alessandro Calza, Dimitris Georgarakos, and João Sousa. 2019.</w:t>
      </w:r>
      <w:r>
        <w:t xml:space="preserve"> </w:t>
      </w:r>
      <w:r>
        <w:t xml:space="preserve">“Monetary Policy Transmission to Mortgages in a Negative Interest Rate Environment.”</w:t>
      </w:r>
    </w:p>
    <w:bookmarkEnd w:id="24"/>
    <w:bookmarkStart w:id="25" w:name="ref-oecd2021brick"/>
    <w:p>
      <w:pPr>
        <w:pStyle w:val="Bibliography"/>
      </w:pPr>
      <w:r>
        <w:t xml:space="preserve">OECD. 2021.</w:t>
      </w:r>
      <w:r>
        <w:t xml:space="preserve"> </w:t>
      </w:r>
      <w:r>
        <w:rPr>
          <w:iCs/>
          <w:i/>
        </w:rPr>
        <w:t xml:space="preserve">BRICK BY BRICK BUILDING BETTER HOUSING POLICIES</w:t>
      </w:r>
      <w:r>
        <w:t xml:space="preserve">. OECD.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2024-04-15T06:55:36Z</dcterms:created>
  <dcterms:modified xsi:type="dcterms:W3CDTF">2024-04-15T06:55:36Z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references.bib</vt:lpwstr>
  </property>
  <property fmtid="{D5CDD505-2E9C-101B-9397-08002B2CF9AE}" pid="5" name="citecolor">
    <vt:lpwstr>blue!000!black</vt:lpwstr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dent">
    <vt:lpwstr>True</vt:lpwstr>
  </property>
  <property fmtid="{D5CDD505-2E9C-101B-9397-08002B2CF9AE}" pid="12" name="labels">
    <vt:lpwstr/>
  </property>
  <property fmtid="{D5CDD505-2E9C-101B-9397-08002B2CF9AE}" pid="13" name="linestretch">
    <vt:lpwstr>1.5</vt:lpwstr>
  </property>
  <property fmtid="{D5CDD505-2E9C-101B-9397-08002B2CF9AE}" pid="14" name="link-citations">
    <vt:lpwstr>True</vt:lpwstr>
  </property>
  <property fmtid="{D5CDD505-2E9C-101B-9397-08002B2CF9AE}" pid="15" name="linkcolor">
    <vt:lpwstr>blue!000!black</vt:lpwstr>
  </property>
  <property fmtid="{D5CDD505-2E9C-101B-9397-08002B2CF9AE}" pid="16" name="mainfont">
    <vt:lpwstr>Times New Roman</vt:lpwstr>
  </property>
  <property fmtid="{D5CDD505-2E9C-101B-9397-08002B2CF9AE}" pid="17" name="monofont">
    <vt:lpwstr>DejaVu Sans Mono</vt:lpwstr>
  </property>
  <property fmtid="{D5CDD505-2E9C-101B-9397-08002B2CF9AE}" pid="18" name="natbiboptions">
    <vt:lpwstr>round</vt:lpwstr>
  </property>
  <property fmtid="{D5CDD505-2E9C-101B-9397-08002B2CF9AE}" pid="19" name="toc-title">
    <vt:lpwstr>Table of contents</vt:lpwstr>
  </property>
  <property fmtid="{D5CDD505-2E9C-101B-9397-08002B2CF9AE}" pid="20" name="urlcolor">
    <vt:lpwstr>blue!000!black</vt:lpwstr>
  </property>
</Properties>
</file>