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2A51D6" w14:textId="6514F862" w:rsidR="00AE16F3" w:rsidRPr="009A2828" w:rsidRDefault="00AE16F3" w:rsidP="00986CF0">
      <w:pPr>
        <w:pStyle w:val="Heading1"/>
        <w:jc w:val="both"/>
        <w:rPr>
          <w:rFonts w:ascii="Arial" w:hAnsi="Arial" w:cs="Arial"/>
          <w:b/>
          <w:color w:val="auto"/>
          <w:lang w:eastAsia="en-GB"/>
        </w:rPr>
      </w:pPr>
      <w:r w:rsidRPr="009A2828">
        <w:rPr>
          <w:rFonts w:ascii="Arial" w:hAnsi="Arial" w:cs="Arial"/>
          <w:b/>
          <w:color w:val="auto"/>
          <w:lang w:eastAsia="en-GB"/>
        </w:rPr>
        <w:t>Response to the comments on: Regulation and bank lending in South Africa: A narrative index approach</w:t>
      </w:r>
    </w:p>
    <w:p w14:paraId="68E2886B" w14:textId="77777777" w:rsidR="00AE16F3" w:rsidRPr="009A2828" w:rsidRDefault="00AE16F3" w:rsidP="00986CF0">
      <w:pPr>
        <w:jc w:val="both"/>
        <w:rPr>
          <w:rFonts w:ascii="Arial" w:hAnsi="Arial" w:cs="Arial"/>
          <w:color w:val="212121"/>
          <w:sz w:val="22"/>
          <w:szCs w:val="22"/>
          <w:lang w:eastAsia="en-GB"/>
        </w:rPr>
      </w:pPr>
    </w:p>
    <w:p w14:paraId="2571A5D6" w14:textId="77E397FC" w:rsidR="009A2828" w:rsidRPr="009A2828" w:rsidRDefault="009A2828" w:rsidP="00986CF0">
      <w:pPr>
        <w:jc w:val="both"/>
        <w:rPr>
          <w:rFonts w:ascii="Arial" w:eastAsia="Times New Roman" w:hAnsi="Arial" w:cs="Arial"/>
          <w:color w:val="0070C0"/>
          <w:sz w:val="22"/>
          <w:szCs w:val="22"/>
          <w:lang w:eastAsia="en-GB"/>
        </w:rPr>
      </w:pPr>
      <w:r w:rsidRPr="009A2828">
        <w:rPr>
          <w:rFonts w:ascii="Arial" w:eastAsia="Times New Roman" w:hAnsi="Arial" w:cs="Arial"/>
          <w:color w:val="0070C0"/>
          <w:sz w:val="22"/>
          <w:szCs w:val="22"/>
          <w:lang w:eastAsia="en-GB"/>
        </w:rPr>
        <w:t>Below we provide our response to the valuable comments received during the review process. Specifically, we provide a response to the comments provided, as well as highl</w:t>
      </w:r>
      <w:r>
        <w:rPr>
          <w:rFonts w:ascii="Arial" w:eastAsia="Times New Roman" w:hAnsi="Arial" w:cs="Arial"/>
          <w:color w:val="0070C0"/>
          <w:sz w:val="22"/>
          <w:szCs w:val="22"/>
          <w:lang w:eastAsia="en-GB"/>
        </w:rPr>
        <w:t>ight how the comments were incorporated into our paper.</w:t>
      </w:r>
    </w:p>
    <w:p w14:paraId="5D532F75" w14:textId="747AC8AE" w:rsidR="009A2828" w:rsidRDefault="00645CF1" w:rsidP="00986CF0">
      <w:pPr>
        <w:jc w:val="both"/>
        <w:rPr>
          <w:rFonts w:ascii="Arial" w:hAnsi="Arial" w:cs="Arial"/>
          <w:color w:val="212121"/>
          <w:sz w:val="22"/>
          <w:szCs w:val="22"/>
          <w:lang w:eastAsia="en-GB"/>
        </w:rPr>
      </w:pPr>
      <w:r w:rsidRPr="009A2828">
        <w:rPr>
          <w:rFonts w:ascii="Arial" w:hAnsi="Arial" w:cs="Arial"/>
          <w:color w:val="212121"/>
          <w:sz w:val="22"/>
          <w:szCs w:val="22"/>
          <w:lang w:eastAsia="en-GB"/>
        </w:rPr>
        <w:t> </w:t>
      </w:r>
    </w:p>
    <w:p w14:paraId="430D7191" w14:textId="3F2DDBB9" w:rsidR="00645CF1" w:rsidRPr="009A2828" w:rsidRDefault="009A2828" w:rsidP="00986CF0">
      <w:pPr>
        <w:jc w:val="both"/>
        <w:rPr>
          <w:rFonts w:ascii="Arial" w:hAnsi="Arial" w:cs="Arial"/>
          <w:b/>
          <w:sz w:val="20"/>
          <w:szCs w:val="20"/>
          <w:lang w:eastAsia="en-GB"/>
        </w:rPr>
      </w:pPr>
      <w:r w:rsidRPr="009A2828">
        <w:rPr>
          <w:rFonts w:ascii="Arial" w:hAnsi="Arial" w:cs="Arial"/>
          <w:b/>
          <w:lang w:eastAsia="en-GB"/>
        </w:rPr>
        <w:t>I</w:t>
      </w:r>
      <w:r w:rsidR="00645CF1" w:rsidRPr="009A2828">
        <w:rPr>
          <w:rFonts w:ascii="Arial" w:hAnsi="Arial" w:cs="Arial"/>
          <w:b/>
          <w:lang w:eastAsia="en-GB"/>
        </w:rPr>
        <w:t>ntroduction</w:t>
      </w:r>
      <w:r w:rsidRPr="009A2828">
        <w:rPr>
          <w:rFonts w:ascii="Arial" w:hAnsi="Arial" w:cs="Arial"/>
          <w:b/>
          <w:lang w:eastAsia="en-GB"/>
        </w:rPr>
        <w:t xml:space="preserve"> and literature review sections</w:t>
      </w:r>
    </w:p>
    <w:p w14:paraId="0DDBF4EC" w14:textId="77777777" w:rsidR="009A2828" w:rsidRPr="009A2828" w:rsidRDefault="009A2828" w:rsidP="00986CF0">
      <w:pPr>
        <w:ind w:left="720"/>
        <w:jc w:val="both"/>
        <w:rPr>
          <w:rFonts w:ascii="Arial" w:eastAsia="Times New Roman" w:hAnsi="Arial" w:cs="Arial"/>
          <w:color w:val="212121"/>
          <w:sz w:val="20"/>
          <w:szCs w:val="20"/>
          <w:lang w:eastAsia="en-GB"/>
        </w:rPr>
      </w:pPr>
    </w:p>
    <w:p w14:paraId="75CAAF39" w14:textId="5ED2036D" w:rsidR="00645CF1" w:rsidRPr="009A2828" w:rsidRDefault="00AB0ED9" w:rsidP="00986CF0">
      <w:pPr>
        <w:ind w:left="720" w:right="940"/>
        <w:jc w:val="both"/>
        <w:rPr>
          <w:rFonts w:ascii="Arial" w:eastAsia="Times New Roman" w:hAnsi="Arial" w:cs="Arial"/>
          <w:color w:val="212121"/>
          <w:sz w:val="20"/>
          <w:szCs w:val="20"/>
          <w:lang w:eastAsia="en-GB"/>
        </w:rPr>
      </w:pPr>
      <w:r>
        <w:rPr>
          <w:rFonts w:ascii="Arial" w:eastAsia="Times New Roman" w:hAnsi="Arial" w:cs="Arial"/>
          <w:i/>
          <w:color w:val="212121"/>
          <w:sz w:val="22"/>
          <w:szCs w:val="22"/>
          <w:lang w:eastAsia="en-GB"/>
        </w:rPr>
        <w:t>“</w:t>
      </w:r>
      <w:r w:rsidR="00645CF1" w:rsidRPr="009A2828">
        <w:rPr>
          <w:rFonts w:ascii="Arial" w:eastAsia="Times New Roman" w:hAnsi="Arial" w:cs="Arial"/>
          <w:i/>
          <w:color w:val="212121"/>
          <w:sz w:val="22"/>
          <w:szCs w:val="22"/>
          <w:lang w:eastAsia="en-GB"/>
        </w:rPr>
        <w:t>the authors posit that stricter capital requirements are associated to decreases in bank lending. This is not necessarily true (ie, a healthier banking system can sustain higher lending capacity or regulatory pressure can prompt more risk taking). We have presented various arguments from the literature on banking in Merrino, Lesame, Chondrogiannis (2024).</w:t>
      </w:r>
      <w:r w:rsidR="009A2828" w:rsidRPr="009A2828">
        <w:rPr>
          <w:rFonts w:ascii="Arial" w:eastAsia="Times New Roman" w:hAnsi="Arial" w:cs="Arial"/>
          <w:color w:val="212121"/>
          <w:sz w:val="22"/>
          <w:szCs w:val="22"/>
          <w:lang w:eastAsia="en-GB"/>
        </w:rPr>
        <w:t>”</w:t>
      </w:r>
    </w:p>
    <w:p w14:paraId="54633360" w14:textId="77777777" w:rsidR="00AE16F3" w:rsidRPr="009A2828" w:rsidRDefault="00AE16F3" w:rsidP="00986CF0">
      <w:pPr>
        <w:ind w:left="720"/>
        <w:jc w:val="both"/>
        <w:rPr>
          <w:rFonts w:ascii="Arial" w:eastAsia="Times New Roman" w:hAnsi="Arial" w:cs="Arial"/>
          <w:color w:val="212121"/>
          <w:sz w:val="20"/>
          <w:szCs w:val="20"/>
          <w:lang w:eastAsia="en-GB"/>
        </w:rPr>
      </w:pPr>
    </w:p>
    <w:p w14:paraId="59F60CBF" w14:textId="6F3CDF43" w:rsidR="00AE16F3" w:rsidRPr="009A2828" w:rsidRDefault="009A2828" w:rsidP="00986CF0">
      <w:pPr>
        <w:jc w:val="both"/>
        <w:rPr>
          <w:rFonts w:ascii="Arial" w:eastAsia="Times New Roman" w:hAnsi="Arial" w:cs="Arial"/>
          <w:color w:val="0070C0"/>
          <w:sz w:val="22"/>
          <w:szCs w:val="22"/>
          <w:lang w:eastAsia="en-GB"/>
        </w:rPr>
      </w:pPr>
      <w:r w:rsidRPr="009A2828">
        <w:rPr>
          <w:rFonts w:ascii="Arial" w:eastAsia="Times New Roman" w:hAnsi="Arial" w:cs="Arial"/>
          <w:color w:val="0070C0"/>
          <w:sz w:val="22"/>
          <w:szCs w:val="22"/>
          <w:lang w:eastAsia="en-GB"/>
        </w:rPr>
        <w:t>Thank you for the reference</w:t>
      </w:r>
      <w:r w:rsidR="00AE16F3" w:rsidRPr="009A2828">
        <w:rPr>
          <w:rFonts w:ascii="Arial" w:eastAsia="Times New Roman" w:hAnsi="Arial" w:cs="Arial"/>
          <w:color w:val="0070C0"/>
          <w:sz w:val="22"/>
          <w:szCs w:val="22"/>
          <w:lang w:eastAsia="en-GB"/>
        </w:rPr>
        <w:t xml:space="preserve">. We </w:t>
      </w:r>
      <w:r w:rsidRPr="009A2828">
        <w:rPr>
          <w:rFonts w:ascii="Arial" w:eastAsia="Times New Roman" w:hAnsi="Arial" w:cs="Arial"/>
          <w:color w:val="0070C0"/>
          <w:sz w:val="22"/>
          <w:szCs w:val="22"/>
          <w:lang w:eastAsia="en-GB"/>
        </w:rPr>
        <w:t xml:space="preserve">have included it in the paper to </w:t>
      </w:r>
      <w:r w:rsidR="00AE16F3" w:rsidRPr="009A2828">
        <w:rPr>
          <w:rFonts w:ascii="Arial" w:eastAsia="Times New Roman" w:hAnsi="Arial" w:cs="Arial"/>
          <w:color w:val="0070C0"/>
          <w:sz w:val="22"/>
          <w:szCs w:val="22"/>
          <w:lang w:eastAsia="en-GB"/>
        </w:rPr>
        <w:t xml:space="preserve">highlight the complexities related to the impact of stricter capital requirements. Please see the </w:t>
      </w:r>
      <w:r w:rsidRPr="009A2828">
        <w:rPr>
          <w:rFonts w:ascii="Arial" w:eastAsia="Times New Roman" w:hAnsi="Arial" w:cs="Arial"/>
          <w:color w:val="0070C0"/>
          <w:sz w:val="22"/>
          <w:szCs w:val="22"/>
          <w:lang w:eastAsia="en-GB"/>
        </w:rPr>
        <w:t xml:space="preserve">updated </w:t>
      </w:r>
      <w:r w:rsidR="00AE16F3" w:rsidRPr="009A2828">
        <w:rPr>
          <w:rFonts w:ascii="Arial" w:eastAsia="Times New Roman" w:hAnsi="Arial" w:cs="Arial"/>
          <w:color w:val="0070C0"/>
          <w:sz w:val="22"/>
          <w:szCs w:val="22"/>
          <w:lang w:eastAsia="en-GB"/>
        </w:rPr>
        <w:t>introduction.</w:t>
      </w:r>
    </w:p>
    <w:p w14:paraId="78E1A0AA" w14:textId="77777777" w:rsidR="00AE16F3" w:rsidRPr="009A2828" w:rsidRDefault="00AE16F3" w:rsidP="00986CF0">
      <w:pPr>
        <w:jc w:val="both"/>
        <w:rPr>
          <w:rFonts w:ascii="Arial" w:eastAsia="Times New Roman" w:hAnsi="Arial" w:cs="Arial"/>
          <w:color w:val="212121"/>
          <w:sz w:val="20"/>
          <w:szCs w:val="20"/>
          <w:lang w:eastAsia="en-GB"/>
        </w:rPr>
      </w:pPr>
    </w:p>
    <w:p w14:paraId="7BB11EF4" w14:textId="30843EB2" w:rsidR="00645CF1" w:rsidRPr="009A2828" w:rsidRDefault="009A2828" w:rsidP="00986CF0">
      <w:pPr>
        <w:ind w:left="720" w:right="940"/>
        <w:jc w:val="both"/>
        <w:rPr>
          <w:rFonts w:ascii="Arial" w:eastAsia="Times New Roman" w:hAnsi="Arial" w:cs="Arial"/>
          <w:color w:val="212121"/>
          <w:sz w:val="20"/>
          <w:szCs w:val="20"/>
          <w:lang w:eastAsia="en-GB"/>
        </w:rPr>
      </w:pPr>
      <w:r w:rsidRPr="009A2828">
        <w:rPr>
          <w:rFonts w:ascii="Arial" w:eastAsia="Times New Roman" w:hAnsi="Arial" w:cs="Arial"/>
          <w:i/>
          <w:color w:val="212121"/>
          <w:sz w:val="22"/>
          <w:szCs w:val="22"/>
          <w:lang w:eastAsia="en-GB"/>
        </w:rPr>
        <w:t>“</w:t>
      </w:r>
      <w:r w:rsidR="00645CF1" w:rsidRPr="009A2828">
        <w:rPr>
          <w:rFonts w:ascii="Arial" w:eastAsia="Times New Roman" w:hAnsi="Arial" w:cs="Arial"/>
          <w:i/>
          <w:color w:val="212121"/>
          <w:sz w:val="22"/>
          <w:szCs w:val="22"/>
          <w:lang w:eastAsia="en-GB"/>
        </w:rPr>
        <w:t>I find there is some confusion between macro and microprudential regulation: Basel 2 and 2.5 and part of Basel 3 are micropru. So, more clarity is needed when distinguishing instruments in the empirical analysis and the lit review. The authors might consider broadening their analysis to bank regulation - rather than macropru - if they intend to include minimum CARs. It would be useful to specify in Section 3.1 which instruments are included in the narrative identification (the criteria at p. 11 are broad)</w:t>
      </w:r>
      <w:r w:rsidR="00645CF1" w:rsidRPr="009A2828">
        <w:rPr>
          <w:rFonts w:ascii="Arial" w:eastAsia="Times New Roman" w:hAnsi="Arial" w:cs="Arial"/>
          <w:color w:val="212121"/>
          <w:sz w:val="22"/>
          <w:szCs w:val="22"/>
          <w:lang w:eastAsia="en-GB"/>
        </w:rPr>
        <w:t>.</w:t>
      </w:r>
      <w:r w:rsidRPr="009A2828">
        <w:rPr>
          <w:rFonts w:ascii="Arial" w:eastAsia="Times New Roman" w:hAnsi="Arial" w:cs="Arial"/>
          <w:i/>
          <w:color w:val="212121"/>
          <w:sz w:val="22"/>
          <w:szCs w:val="22"/>
          <w:lang w:eastAsia="en-GB"/>
        </w:rPr>
        <w:t>”</w:t>
      </w:r>
    </w:p>
    <w:p w14:paraId="55117C10" w14:textId="77777777" w:rsidR="00954E21" w:rsidRPr="009A2828" w:rsidRDefault="00954E21" w:rsidP="00986CF0">
      <w:pPr>
        <w:jc w:val="both"/>
        <w:rPr>
          <w:rFonts w:ascii="Arial" w:eastAsia="Times New Roman" w:hAnsi="Arial" w:cs="Arial"/>
          <w:color w:val="212121"/>
          <w:sz w:val="22"/>
          <w:szCs w:val="22"/>
          <w:lang w:eastAsia="en-GB"/>
        </w:rPr>
      </w:pPr>
    </w:p>
    <w:p w14:paraId="69678FCF" w14:textId="676C5378" w:rsidR="00614620" w:rsidRPr="009A2828" w:rsidRDefault="00954E21" w:rsidP="00986CF0">
      <w:pPr>
        <w:jc w:val="both"/>
        <w:rPr>
          <w:rFonts w:ascii="Arial" w:eastAsia="Times New Roman" w:hAnsi="Arial" w:cs="Arial"/>
          <w:color w:val="0070C0"/>
          <w:sz w:val="22"/>
          <w:szCs w:val="22"/>
          <w:lang w:eastAsia="en-GB"/>
        </w:rPr>
      </w:pPr>
      <w:r w:rsidRPr="009A2828">
        <w:rPr>
          <w:rFonts w:ascii="Arial" w:eastAsia="Times New Roman" w:hAnsi="Arial" w:cs="Arial"/>
          <w:color w:val="0070C0"/>
          <w:sz w:val="22"/>
          <w:szCs w:val="22"/>
          <w:lang w:eastAsia="en-GB"/>
        </w:rPr>
        <w:t xml:space="preserve">It is true that some regulatory measures introduced are microprudential measures. However, the intuition behind </w:t>
      </w:r>
      <w:r w:rsidR="007C3686" w:rsidRPr="009A2828">
        <w:rPr>
          <w:rFonts w:ascii="Arial" w:eastAsia="Times New Roman" w:hAnsi="Arial" w:cs="Arial"/>
          <w:color w:val="0070C0"/>
          <w:sz w:val="22"/>
          <w:szCs w:val="22"/>
          <w:lang w:eastAsia="en-GB"/>
        </w:rPr>
        <w:t>the categorisation of the measures as macroprudential, is that although some measures are micro, the regulation</w:t>
      </w:r>
      <w:r w:rsidR="00614620" w:rsidRPr="009A2828">
        <w:rPr>
          <w:rFonts w:ascii="Arial" w:eastAsia="Times New Roman" w:hAnsi="Arial" w:cs="Arial"/>
          <w:color w:val="0070C0"/>
          <w:sz w:val="22"/>
          <w:szCs w:val="22"/>
          <w:lang w:eastAsia="en-GB"/>
        </w:rPr>
        <w:t xml:space="preserve"> (macro and micro)</w:t>
      </w:r>
      <w:r w:rsidR="007C3686" w:rsidRPr="009A2828">
        <w:rPr>
          <w:rFonts w:ascii="Arial" w:eastAsia="Times New Roman" w:hAnsi="Arial" w:cs="Arial"/>
          <w:color w:val="0070C0"/>
          <w:sz w:val="22"/>
          <w:szCs w:val="22"/>
          <w:lang w:eastAsia="en-GB"/>
        </w:rPr>
        <w:t>, is aimed at addressing the systemic risks of the entire banking system</w:t>
      </w:r>
      <w:r w:rsidR="00E96DC8" w:rsidRPr="009A2828">
        <w:rPr>
          <w:rStyle w:val="FootnoteReference"/>
          <w:rFonts w:ascii="Arial" w:eastAsia="Times New Roman" w:hAnsi="Arial" w:cs="Arial"/>
          <w:color w:val="0070C0"/>
          <w:sz w:val="22"/>
          <w:szCs w:val="22"/>
          <w:lang w:eastAsia="en-GB"/>
        </w:rPr>
        <w:footnoteReference w:id="1"/>
      </w:r>
      <w:r w:rsidR="00986CF0">
        <w:rPr>
          <w:rFonts w:ascii="Arial" w:eastAsia="Times New Roman" w:hAnsi="Arial" w:cs="Arial"/>
          <w:color w:val="0070C0"/>
          <w:sz w:val="22"/>
          <w:szCs w:val="22"/>
          <w:lang w:eastAsia="en-GB"/>
        </w:rPr>
        <w:t>.</w:t>
      </w:r>
      <w:r w:rsidR="007C3686" w:rsidRPr="009A2828">
        <w:rPr>
          <w:rFonts w:ascii="Arial" w:eastAsia="Times New Roman" w:hAnsi="Arial" w:cs="Arial"/>
          <w:color w:val="0070C0"/>
          <w:sz w:val="22"/>
          <w:szCs w:val="22"/>
          <w:lang w:eastAsia="en-GB"/>
        </w:rPr>
        <w:t xml:space="preserve"> In addition, </w:t>
      </w:r>
      <w:r w:rsidRPr="009A2828">
        <w:rPr>
          <w:rFonts w:ascii="Arial" w:eastAsia="Times New Roman" w:hAnsi="Arial" w:cs="Arial"/>
          <w:color w:val="0070C0"/>
          <w:sz w:val="22"/>
          <w:szCs w:val="22"/>
          <w:lang w:eastAsia="en-GB"/>
        </w:rPr>
        <w:t>most of the regulation introduced after the Global Financial Crisis (GFC) are aimed at reducing the systematic risk in individual banks (capital requirement, liquidity requirement etc), and in turn, risk in the banking system</w:t>
      </w:r>
      <w:r w:rsidR="00AB0ED9">
        <w:rPr>
          <w:rFonts w:ascii="Arial" w:eastAsia="Times New Roman" w:hAnsi="Arial" w:cs="Arial"/>
          <w:color w:val="0070C0"/>
          <w:sz w:val="22"/>
          <w:szCs w:val="22"/>
          <w:lang w:eastAsia="en-GB"/>
        </w:rPr>
        <w:t>.</w:t>
      </w:r>
      <w:r w:rsidR="00313507" w:rsidRPr="009A2828">
        <w:rPr>
          <w:rStyle w:val="FootnoteReference"/>
          <w:rFonts w:ascii="Arial" w:eastAsia="Times New Roman" w:hAnsi="Arial" w:cs="Arial"/>
          <w:color w:val="0070C0"/>
          <w:sz w:val="22"/>
          <w:szCs w:val="22"/>
          <w:lang w:eastAsia="en-GB"/>
        </w:rPr>
        <w:footnoteReference w:id="2"/>
      </w:r>
      <w:r w:rsidRPr="009A2828">
        <w:rPr>
          <w:rFonts w:ascii="Arial" w:eastAsia="Times New Roman" w:hAnsi="Arial" w:cs="Arial"/>
          <w:color w:val="0070C0"/>
          <w:sz w:val="22"/>
          <w:szCs w:val="22"/>
          <w:lang w:eastAsia="en-GB"/>
        </w:rPr>
        <w:t xml:space="preserve"> </w:t>
      </w:r>
    </w:p>
    <w:p w14:paraId="68C06FD9" w14:textId="77777777" w:rsidR="00614620" w:rsidRPr="009A2828" w:rsidRDefault="00614620" w:rsidP="00986CF0">
      <w:pPr>
        <w:jc w:val="both"/>
        <w:rPr>
          <w:rFonts w:ascii="Arial" w:eastAsia="Times New Roman" w:hAnsi="Arial" w:cs="Arial"/>
          <w:color w:val="0070C0"/>
          <w:sz w:val="22"/>
          <w:szCs w:val="22"/>
          <w:lang w:eastAsia="en-GB"/>
        </w:rPr>
      </w:pPr>
    </w:p>
    <w:p w14:paraId="4BEBEBB7" w14:textId="2AC123D8" w:rsidR="007C3686" w:rsidRPr="009A2828" w:rsidRDefault="00614620" w:rsidP="00986CF0">
      <w:pPr>
        <w:jc w:val="both"/>
        <w:rPr>
          <w:rFonts w:ascii="Arial" w:eastAsia="Times New Roman" w:hAnsi="Arial" w:cs="Arial"/>
          <w:color w:val="0070C0"/>
          <w:sz w:val="22"/>
          <w:szCs w:val="22"/>
          <w:lang w:val="en-ZA" w:eastAsia="en-GB"/>
        </w:rPr>
      </w:pPr>
      <w:r w:rsidRPr="009A2828">
        <w:rPr>
          <w:rFonts w:ascii="Arial" w:eastAsia="Times New Roman" w:hAnsi="Arial" w:cs="Arial"/>
          <w:color w:val="0070C0"/>
          <w:sz w:val="22"/>
          <w:szCs w:val="22"/>
          <w:lang w:eastAsia="en-GB"/>
        </w:rPr>
        <w:t>Furthermore, t</w:t>
      </w:r>
      <w:r w:rsidR="007C3686" w:rsidRPr="009A2828">
        <w:rPr>
          <w:rFonts w:ascii="Arial" w:eastAsia="Times New Roman" w:hAnsi="Arial" w:cs="Arial"/>
          <w:color w:val="0070C0"/>
          <w:sz w:val="22"/>
          <w:szCs w:val="22"/>
          <w:lang w:eastAsia="en-GB"/>
        </w:rPr>
        <w:t xml:space="preserve">he sample of banks used in the paper includes the big four banks, who face similar minimum prudential requirements such as capital requirements relating to Domestic Systemically Important banks (D-SIBs). A comprehensive list of measures capturing the macroprudential regulations are listed in Appendix A.6.1, page 45. </w:t>
      </w:r>
      <w:r w:rsidR="009E7454" w:rsidRPr="009A2828">
        <w:rPr>
          <w:rFonts w:ascii="Arial" w:eastAsia="Times New Roman" w:hAnsi="Arial" w:cs="Arial"/>
          <w:color w:val="0070C0"/>
          <w:sz w:val="22"/>
          <w:szCs w:val="22"/>
          <w:lang w:eastAsia="en-GB"/>
        </w:rPr>
        <w:t xml:space="preserve"> </w:t>
      </w:r>
      <w:r w:rsidRPr="009A2828">
        <w:rPr>
          <w:rFonts w:ascii="Arial" w:eastAsia="Times New Roman" w:hAnsi="Arial" w:cs="Arial"/>
          <w:color w:val="0070C0"/>
          <w:sz w:val="22"/>
          <w:szCs w:val="22"/>
          <w:lang w:eastAsia="en-GB"/>
        </w:rPr>
        <w:t xml:space="preserve">In relation to existing work, </w:t>
      </w:r>
      <w:r w:rsidR="009E7454" w:rsidRPr="009A2828">
        <w:rPr>
          <w:rFonts w:ascii="Arial" w:eastAsia="Times New Roman" w:hAnsi="Arial" w:cs="Arial"/>
          <w:color w:val="0070C0"/>
          <w:sz w:val="22"/>
          <w:szCs w:val="22"/>
          <w:lang w:val="en-ZA" w:eastAsia="en-GB"/>
        </w:rPr>
        <w:t>Fernandez-Gallardo (2023)</w:t>
      </w:r>
      <w:r w:rsidR="009E7454" w:rsidRPr="009A2828">
        <w:rPr>
          <w:rStyle w:val="FootnoteReference"/>
          <w:rFonts w:ascii="Arial" w:eastAsia="Times New Roman" w:hAnsi="Arial" w:cs="Arial"/>
          <w:color w:val="0070C0"/>
          <w:sz w:val="22"/>
          <w:szCs w:val="22"/>
          <w:lang w:val="en-ZA" w:eastAsia="en-GB"/>
        </w:rPr>
        <w:footnoteReference w:id="3"/>
      </w:r>
      <w:r w:rsidR="009E7454" w:rsidRPr="009A2828">
        <w:rPr>
          <w:rFonts w:ascii="Arial" w:eastAsia="Times New Roman" w:hAnsi="Arial" w:cs="Arial"/>
          <w:color w:val="0070C0"/>
          <w:sz w:val="22"/>
          <w:szCs w:val="22"/>
          <w:lang w:val="en-ZA" w:eastAsia="en-GB"/>
        </w:rPr>
        <w:t xml:space="preserve"> also use information on policy actions related to a set of macroprudential policy tools</w:t>
      </w:r>
      <w:r w:rsidR="009E7454" w:rsidRPr="009A2828">
        <w:rPr>
          <w:rStyle w:val="FootnoteReference"/>
          <w:rFonts w:ascii="Arial" w:eastAsia="Times New Roman" w:hAnsi="Arial" w:cs="Arial"/>
          <w:color w:val="0070C0"/>
          <w:sz w:val="22"/>
          <w:szCs w:val="22"/>
          <w:lang w:val="en-ZA" w:eastAsia="en-GB"/>
        </w:rPr>
        <w:footnoteReference w:id="4"/>
      </w:r>
      <w:r w:rsidR="009E7454" w:rsidRPr="009A2828">
        <w:rPr>
          <w:rFonts w:ascii="Arial" w:eastAsia="Times New Roman" w:hAnsi="Arial" w:cs="Arial"/>
          <w:color w:val="0070C0"/>
          <w:sz w:val="22"/>
          <w:szCs w:val="22"/>
          <w:lang w:val="en-ZA" w:eastAsia="en-GB"/>
        </w:rPr>
        <w:t xml:space="preserve">, to study the relationship between macroprudential policy and the likelihood and severity of financial crises. </w:t>
      </w:r>
    </w:p>
    <w:p w14:paraId="3BE82B57" w14:textId="77777777" w:rsidR="007C3686" w:rsidRPr="009A2828" w:rsidRDefault="007C3686" w:rsidP="00986CF0">
      <w:pPr>
        <w:jc w:val="both"/>
        <w:rPr>
          <w:rFonts w:ascii="Arial" w:eastAsia="Times New Roman" w:hAnsi="Arial" w:cs="Arial"/>
          <w:color w:val="0070C0"/>
          <w:sz w:val="22"/>
          <w:szCs w:val="22"/>
          <w:lang w:eastAsia="en-GB"/>
        </w:rPr>
      </w:pPr>
    </w:p>
    <w:p w14:paraId="52347618" w14:textId="4E88D35C" w:rsidR="007C3686" w:rsidRDefault="007C3686" w:rsidP="00986CF0">
      <w:pPr>
        <w:jc w:val="both"/>
        <w:rPr>
          <w:rFonts w:ascii="Arial" w:eastAsia="Times New Roman" w:hAnsi="Arial" w:cs="Arial"/>
          <w:color w:val="0070C0"/>
          <w:sz w:val="22"/>
          <w:szCs w:val="22"/>
          <w:lang w:eastAsia="en-GB"/>
        </w:rPr>
      </w:pPr>
      <w:r w:rsidRPr="009A2828">
        <w:rPr>
          <w:rFonts w:ascii="Arial" w:eastAsia="Times New Roman" w:hAnsi="Arial" w:cs="Arial"/>
          <w:color w:val="0070C0"/>
          <w:sz w:val="22"/>
          <w:szCs w:val="22"/>
          <w:lang w:eastAsia="en-GB"/>
        </w:rPr>
        <w:t>The list of measures used as instruments</w:t>
      </w:r>
      <w:r w:rsidR="009E7454" w:rsidRPr="009A2828">
        <w:rPr>
          <w:rFonts w:ascii="Arial" w:eastAsia="Times New Roman" w:hAnsi="Arial" w:cs="Arial"/>
          <w:color w:val="0070C0"/>
          <w:sz w:val="22"/>
          <w:szCs w:val="22"/>
          <w:lang w:eastAsia="en-GB"/>
        </w:rPr>
        <w:t xml:space="preserve"> in our paper,</w:t>
      </w:r>
      <w:r w:rsidRPr="009A2828">
        <w:rPr>
          <w:rFonts w:ascii="Arial" w:eastAsia="Times New Roman" w:hAnsi="Arial" w:cs="Arial"/>
          <w:color w:val="0070C0"/>
          <w:sz w:val="22"/>
          <w:szCs w:val="22"/>
          <w:lang w:eastAsia="en-GB"/>
        </w:rPr>
        <w:t xml:space="preserve"> are categorised as “Draft”</w:t>
      </w:r>
      <w:r w:rsidR="00614620" w:rsidRPr="009A2828">
        <w:rPr>
          <w:rFonts w:ascii="Arial" w:eastAsia="Times New Roman" w:hAnsi="Arial" w:cs="Arial"/>
          <w:color w:val="0070C0"/>
          <w:sz w:val="22"/>
          <w:szCs w:val="22"/>
          <w:lang w:eastAsia="en-GB"/>
        </w:rPr>
        <w:t xml:space="preserve"> and “Implementation”. </w:t>
      </w:r>
      <w:r w:rsidR="00614620" w:rsidRPr="00C530E0">
        <w:rPr>
          <w:rFonts w:ascii="Arial" w:eastAsia="Times New Roman" w:hAnsi="Arial" w:cs="Arial"/>
          <w:color w:val="0070C0"/>
          <w:sz w:val="22"/>
          <w:szCs w:val="22"/>
          <w:lang w:eastAsia="en-GB"/>
        </w:rPr>
        <w:t xml:space="preserve">The </w:t>
      </w:r>
      <w:r w:rsidR="00614620" w:rsidRPr="009A2828">
        <w:rPr>
          <w:rFonts w:ascii="Arial" w:eastAsia="Times New Roman" w:hAnsi="Arial" w:cs="Arial"/>
          <w:color w:val="0070C0"/>
          <w:sz w:val="22"/>
          <w:szCs w:val="22"/>
          <w:lang w:eastAsia="en-GB"/>
        </w:rPr>
        <w:t>“Draft” instrument captures</w:t>
      </w:r>
      <w:r w:rsidRPr="009A2828">
        <w:rPr>
          <w:rFonts w:ascii="Arial" w:eastAsia="Times New Roman" w:hAnsi="Arial" w:cs="Arial"/>
          <w:color w:val="0070C0"/>
          <w:sz w:val="22"/>
          <w:szCs w:val="22"/>
          <w:lang w:eastAsia="en-GB"/>
        </w:rPr>
        <w:t xml:space="preserve"> the announcement </w:t>
      </w:r>
      <w:r w:rsidR="0087650B" w:rsidRPr="009A2828">
        <w:rPr>
          <w:rFonts w:ascii="Arial" w:eastAsia="Times New Roman" w:hAnsi="Arial" w:cs="Arial"/>
          <w:color w:val="0070C0"/>
          <w:sz w:val="22"/>
          <w:szCs w:val="22"/>
          <w:lang w:eastAsia="en-GB"/>
        </w:rPr>
        <w:t xml:space="preserve">and drafting </w:t>
      </w:r>
      <w:r w:rsidR="006D06E2" w:rsidRPr="009A2828">
        <w:rPr>
          <w:rFonts w:ascii="Arial" w:eastAsia="Times New Roman" w:hAnsi="Arial" w:cs="Arial"/>
          <w:color w:val="0070C0"/>
          <w:sz w:val="22"/>
          <w:szCs w:val="22"/>
          <w:lang w:eastAsia="en-GB"/>
        </w:rPr>
        <w:t>dates of</w:t>
      </w:r>
      <w:r w:rsidRPr="009A2828">
        <w:rPr>
          <w:rFonts w:ascii="Arial" w:eastAsia="Times New Roman" w:hAnsi="Arial" w:cs="Arial"/>
          <w:color w:val="0070C0"/>
          <w:sz w:val="22"/>
          <w:szCs w:val="22"/>
          <w:lang w:eastAsia="en-GB"/>
        </w:rPr>
        <w:t xml:space="preserve"> regulation</w:t>
      </w:r>
      <w:r w:rsidR="0087650B" w:rsidRPr="009A2828">
        <w:rPr>
          <w:rFonts w:ascii="Arial" w:eastAsia="Times New Roman" w:hAnsi="Arial" w:cs="Arial"/>
          <w:color w:val="0070C0"/>
          <w:sz w:val="22"/>
          <w:szCs w:val="22"/>
          <w:lang w:eastAsia="en-GB"/>
        </w:rPr>
        <w:t>,</w:t>
      </w:r>
      <w:r w:rsidR="00614620" w:rsidRPr="009A2828">
        <w:rPr>
          <w:rFonts w:ascii="Arial" w:eastAsia="Times New Roman" w:hAnsi="Arial" w:cs="Arial"/>
          <w:color w:val="0070C0"/>
          <w:sz w:val="22"/>
          <w:szCs w:val="22"/>
          <w:lang w:eastAsia="en-GB"/>
        </w:rPr>
        <w:t xml:space="preserve"> while “Implementation” </w:t>
      </w:r>
      <w:r w:rsidR="0087650B" w:rsidRPr="009A2828">
        <w:rPr>
          <w:rFonts w:ascii="Arial" w:eastAsia="Times New Roman" w:hAnsi="Arial" w:cs="Arial"/>
          <w:color w:val="0070C0"/>
          <w:sz w:val="22"/>
          <w:szCs w:val="22"/>
          <w:lang w:eastAsia="en-GB"/>
        </w:rPr>
        <w:t>captures the implementation of</w:t>
      </w:r>
      <w:r w:rsidR="00614620" w:rsidRPr="009A2828">
        <w:rPr>
          <w:rFonts w:ascii="Arial" w:eastAsia="Times New Roman" w:hAnsi="Arial" w:cs="Arial"/>
          <w:color w:val="0070C0"/>
          <w:sz w:val="22"/>
          <w:szCs w:val="22"/>
          <w:lang w:eastAsia="en-GB"/>
        </w:rPr>
        <w:t xml:space="preserve"> the</w:t>
      </w:r>
      <w:r w:rsidR="0087650B" w:rsidRPr="009A2828">
        <w:rPr>
          <w:rFonts w:ascii="Arial" w:eastAsia="Times New Roman" w:hAnsi="Arial" w:cs="Arial"/>
          <w:color w:val="0070C0"/>
          <w:sz w:val="22"/>
          <w:szCs w:val="22"/>
          <w:lang w:eastAsia="en-GB"/>
        </w:rPr>
        <w:t xml:space="preserve"> regulation. </w:t>
      </w:r>
      <w:r w:rsidR="007C0AF8" w:rsidRPr="009A2828">
        <w:rPr>
          <w:rFonts w:ascii="Arial" w:eastAsia="Times New Roman" w:hAnsi="Arial" w:cs="Arial"/>
          <w:color w:val="0070C0"/>
          <w:sz w:val="22"/>
          <w:szCs w:val="22"/>
          <w:lang w:eastAsia="en-GB"/>
        </w:rPr>
        <w:t xml:space="preserve">For future </w:t>
      </w:r>
      <w:r w:rsidR="007C0AF8" w:rsidRPr="009A2828">
        <w:rPr>
          <w:rFonts w:ascii="Arial" w:eastAsia="Times New Roman" w:hAnsi="Arial" w:cs="Arial"/>
          <w:color w:val="0070C0"/>
          <w:sz w:val="22"/>
          <w:szCs w:val="22"/>
          <w:lang w:eastAsia="en-GB"/>
        </w:rPr>
        <w:lastRenderedPageBreak/>
        <w:t xml:space="preserve">work, we intend on </w:t>
      </w:r>
      <w:r w:rsidR="00313507" w:rsidRPr="009A2828">
        <w:rPr>
          <w:rFonts w:ascii="Arial" w:eastAsia="Times New Roman" w:hAnsi="Arial" w:cs="Arial"/>
          <w:color w:val="0070C0"/>
          <w:sz w:val="22"/>
          <w:szCs w:val="22"/>
          <w:lang w:eastAsia="en-GB"/>
        </w:rPr>
        <w:t>constructing a</w:t>
      </w:r>
      <w:r w:rsidR="007C0AF8" w:rsidRPr="009A2828">
        <w:rPr>
          <w:rFonts w:ascii="Arial" w:eastAsia="Times New Roman" w:hAnsi="Arial" w:cs="Arial"/>
          <w:color w:val="0070C0"/>
          <w:sz w:val="22"/>
          <w:szCs w:val="22"/>
          <w:lang w:eastAsia="en-GB"/>
        </w:rPr>
        <w:t xml:space="preserve"> narrative series </w:t>
      </w:r>
      <w:r w:rsidR="00614620" w:rsidRPr="009A2828">
        <w:rPr>
          <w:rFonts w:ascii="Arial" w:eastAsia="Times New Roman" w:hAnsi="Arial" w:cs="Arial"/>
          <w:color w:val="0070C0"/>
          <w:sz w:val="22"/>
          <w:szCs w:val="22"/>
          <w:lang w:eastAsia="en-GB"/>
        </w:rPr>
        <w:t xml:space="preserve">of regulation </w:t>
      </w:r>
      <w:r w:rsidR="007C0AF8" w:rsidRPr="009A2828">
        <w:rPr>
          <w:rFonts w:ascii="Arial" w:eastAsia="Times New Roman" w:hAnsi="Arial" w:cs="Arial"/>
          <w:color w:val="0070C0"/>
          <w:sz w:val="22"/>
          <w:szCs w:val="22"/>
          <w:lang w:eastAsia="en-GB"/>
        </w:rPr>
        <w:t xml:space="preserve">that </w:t>
      </w:r>
      <w:r w:rsidR="00C26F76" w:rsidRPr="009A2828">
        <w:rPr>
          <w:rFonts w:ascii="Arial" w:eastAsia="Times New Roman" w:hAnsi="Arial" w:cs="Arial"/>
          <w:color w:val="0070C0"/>
          <w:sz w:val="22"/>
          <w:szCs w:val="22"/>
          <w:lang w:eastAsia="en-GB"/>
        </w:rPr>
        <w:t>focuses on</w:t>
      </w:r>
      <w:r w:rsidR="007C0AF8" w:rsidRPr="009A2828">
        <w:rPr>
          <w:rFonts w:ascii="Arial" w:eastAsia="Times New Roman" w:hAnsi="Arial" w:cs="Arial"/>
          <w:color w:val="0070C0"/>
          <w:sz w:val="22"/>
          <w:szCs w:val="22"/>
          <w:lang w:eastAsia="en-GB"/>
        </w:rPr>
        <w:t xml:space="preserve"> a single policy instrument, such as capital </w:t>
      </w:r>
      <w:r w:rsidR="00614620" w:rsidRPr="009A2828">
        <w:rPr>
          <w:rFonts w:ascii="Arial" w:eastAsia="Times New Roman" w:hAnsi="Arial" w:cs="Arial"/>
          <w:color w:val="0070C0"/>
          <w:sz w:val="22"/>
          <w:szCs w:val="22"/>
          <w:lang w:eastAsia="en-GB"/>
        </w:rPr>
        <w:t>requirements, and</w:t>
      </w:r>
      <w:r w:rsidR="007C0AF8" w:rsidRPr="009A2828">
        <w:rPr>
          <w:rFonts w:ascii="Arial" w:eastAsia="Times New Roman" w:hAnsi="Arial" w:cs="Arial"/>
          <w:color w:val="0070C0"/>
          <w:sz w:val="22"/>
          <w:szCs w:val="22"/>
          <w:lang w:eastAsia="en-GB"/>
        </w:rPr>
        <w:t xml:space="preserve"> study their effects thereof. </w:t>
      </w:r>
    </w:p>
    <w:p w14:paraId="72214B9B" w14:textId="025E7BB0" w:rsidR="00986CF0" w:rsidRDefault="00986CF0" w:rsidP="00986CF0">
      <w:pPr>
        <w:jc w:val="both"/>
        <w:rPr>
          <w:rFonts w:ascii="Arial" w:eastAsia="Times New Roman" w:hAnsi="Arial" w:cs="Arial"/>
          <w:color w:val="0070C0"/>
          <w:sz w:val="22"/>
          <w:szCs w:val="22"/>
          <w:lang w:eastAsia="en-GB"/>
        </w:rPr>
      </w:pPr>
    </w:p>
    <w:p w14:paraId="7DBBC482" w14:textId="640BAD81" w:rsidR="00986CF0" w:rsidRPr="009A2828" w:rsidRDefault="001124D1" w:rsidP="00986CF0">
      <w:pPr>
        <w:jc w:val="both"/>
        <w:rPr>
          <w:rFonts w:ascii="Arial" w:eastAsia="Times New Roman" w:hAnsi="Arial" w:cs="Arial"/>
          <w:color w:val="0070C0"/>
          <w:sz w:val="22"/>
          <w:szCs w:val="22"/>
          <w:lang w:eastAsia="en-GB"/>
        </w:rPr>
      </w:pPr>
      <w:r>
        <w:rPr>
          <w:rFonts w:ascii="Arial" w:eastAsia="Times New Roman" w:hAnsi="Arial" w:cs="Arial"/>
          <w:color w:val="0070C0"/>
          <w:sz w:val="22"/>
          <w:szCs w:val="22"/>
          <w:lang w:eastAsia="en-GB"/>
        </w:rPr>
        <w:t>The above notwithstanding, we have included an explanatory footnote</w:t>
      </w:r>
      <w:r w:rsidR="00F319D8">
        <w:rPr>
          <w:rFonts w:ascii="Arial" w:eastAsia="Times New Roman" w:hAnsi="Arial" w:cs="Arial"/>
          <w:color w:val="0070C0"/>
          <w:sz w:val="22"/>
          <w:szCs w:val="22"/>
          <w:lang w:eastAsia="en-GB"/>
        </w:rPr>
        <w:t xml:space="preserve"> (</w:t>
      </w:r>
      <w:bookmarkStart w:id="0" w:name="_GoBack"/>
      <w:bookmarkEnd w:id="0"/>
      <w:r>
        <w:rPr>
          <w:rFonts w:ascii="Arial" w:eastAsia="Times New Roman" w:hAnsi="Arial" w:cs="Arial"/>
          <w:color w:val="0070C0"/>
          <w:sz w:val="22"/>
          <w:szCs w:val="22"/>
          <w:lang w:eastAsia="en-GB"/>
        </w:rPr>
        <w:t>on page 2) that highlights that our references to “</w:t>
      </w:r>
      <w:r w:rsidR="00986CF0">
        <w:rPr>
          <w:rFonts w:ascii="Arial" w:eastAsia="Times New Roman" w:hAnsi="Arial" w:cs="Arial"/>
          <w:color w:val="0070C0"/>
          <w:sz w:val="22"/>
          <w:szCs w:val="22"/>
          <w:lang w:eastAsia="en-GB"/>
        </w:rPr>
        <w:t>macroprudential</w:t>
      </w:r>
      <w:r>
        <w:rPr>
          <w:rFonts w:ascii="Arial" w:eastAsia="Times New Roman" w:hAnsi="Arial" w:cs="Arial"/>
          <w:color w:val="0070C0"/>
          <w:sz w:val="22"/>
          <w:szCs w:val="22"/>
          <w:lang w:eastAsia="en-GB"/>
        </w:rPr>
        <w:t>”</w:t>
      </w:r>
      <w:r w:rsidR="00986CF0">
        <w:rPr>
          <w:rFonts w:ascii="Arial" w:eastAsia="Times New Roman" w:hAnsi="Arial" w:cs="Arial"/>
          <w:color w:val="0070C0"/>
          <w:sz w:val="22"/>
          <w:szCs w:val="22"/>
          <w:lang w:eastAsia="en-GB"/>
        </w:rPr>
        <w:t xml:space="preserve"> </w:t>
      </w:r>
      <w:r>
        <w:rPr>
          <w:rFonts w:ascii="Arial" w:eastAsia="Times New Roman" w:hAnsi="Arial" w:cs="Arial"/>
          <w:color w:val="0070C0"/>
          <w:sz w:val="22"/>
          <w:szCs w:val="22"/>
          <w:lang w:eastAsia="en-GB"/>
        </w:rPr>
        <w:t>and “financial inclusion” regulation is useful for analytical purposes but that our work is primarily about bank regulation.</w:t>
      </w:r>
    </w:p>
    <w:p w14:paraId="54FD8394" w14:textId="77777777" w:rsidR="00645CF1" w:rsidRPr="009A2828" w:rsidRDefault="00645CF1" w:rsidP="00986CF0">
      <w:pPr>
        <w:ind w:left="720"/>
        <w:jc w:val="both"/>
        <w:rPr>
          <w:rFonts w:ascii="Arial" w:hAnsi="Arial" w:cs="Arial"/>
          <w:color w:val="212121"/>
          <w:sz w:val="20"/>
          <w:szCs w:val="20"/>
          <w:lang w:eastAsia="en-GB"/>
        </w:rPr>
      </w:pPr>
      <w:r w:rsidRPr="009A2828">
        <w:rPr>
          <w:rFonts w:ascii="Arial" w:hAnsi="Arial" w:cs="Arial"/>
          <w:color w:val="212121"/>
          <w:sz w:val="22"/>
          <w:szCs w:val="22"/>
          <w:lang w:eastAsia="en-GB"/>
        </w:rPr>
        <w:t> </w:t>
      </w:r>
    </w:p>
    <w:p w14:paraId="1CADB83C" w14:textId="6384DAB9" w:rsidR="00645CF1" w:rsidRPr="00F65465" w:rsidRDefault="00645CF1" w:rsidP="00986CF0">
      <w:pPr>
        <w:jc w:val="both"/>
        <w:rPr>
          <w:rFonts w:ascii="Arial" w:hAnsi="Arial" w:cs="Arial"/>
          <w:b/>
          <w:lang w:eastAsia="en-GB"/>
        </w:rPr>
      </w:pPr>
      <w:r w:rsidRPr="00F65465">
        <w:rPr>
          <w:rFonts w:ascii="Arial" w:hAnsi="Arial" w:cs="Arial"/>
          <w:b/>
          <w:lang w:eastAsia="en-GB"/>
        </w:rPr>
        <w:t>In the methodology section, the authors should specify:</w:t>
      </w:r>
    </w:p>
    <w:p w14:paraId="7AC7CEC9" w14:textId="77777777" w:rsidR="00F65465" w:rsidRPr="009A2828" w:rsidRDefault="00F65465" w:rsidP="00986CF0">
      <w:pPr>
        <w:jc w:val="both"/>
        <w:rPr>
          <w:rFonts w:ascii="Arial" w:hAnsi="Arial" w:cs="Arial"/>
          <w:color w:val="212121"/>
          <w:sz w:val="20"/>
          <w:szCs w:val="20"/>
          <w:lang w:eastAsia="en-GB"/>
        </w:rPr>
      </w:pPr>
    </w:p>
    <w:p w14:paraId="4F8185C0" w14:textId="633A1686" w:rsidR="00645CF1" w:rsidRPr="00F65465" w:rsidRDefault="00F65465" w:rsidP="00986CF0">
      <w:pPr>
        <w:ind w:left="720" w:right="940"/>
        <w:jc w:val="both"/>
        <w:rPr>
          <w:rFonts w:ascii="Arial" w:eastAsia="Times New Roman" w:hAnsi="Arial" w:cs="Arial"/>
          <w:i/>
          <w:color w:val="212121"/>
          <w:sz w:val="22"/>
          <w:szCs w:val="22"/>
          <w:lang w:eastAsia="en-GB"/>
        </w:rPr>
      </w:pPr>
      <w:r w:rsidRPr="00F65465">
        <w:rPr>
          <w:rFonts w:ascii="Arial" w:eastAsia="Times New Roman" w:hAnsi="Arial" w:cs="Arial"/>
          <w:i/>
          <w:color w:val="212121"/>
          <w:sz w:val="22"/>
          <w:szCs w:val="22"/>
          <w:lang w:eastAsia="en-GB"/>
        </w:rPr>
        <w:t>“</w:t>
      </w:r>
      <w:r w:rsidR="00645CF1" w:rsidRPr="00F65465">
        <w:rPr>
          <w:rFonts w:ascii="Arial" w:eastAsia="Times New Roman" w:hAnsi="Arial" w:cs="Arial"/>
          <w:i/>
          <w:color w:val="212121"/>
          <w:sz w:val="22"/>
          <w:szCs w:val="22"/>
          <w:lang w:eastAsia="en-GB"/>
        </w:rPr>
        <w:t>the time period and frequency of the sample. It is said they include a covid dummy but somewhere else they say data stops at 2019. In addition, it is unclear why regulatory data stops in 2019.</w:t>
      </w:r>
      <w:r w:rsidRPr="00F65465">
        <w:rPr>
          <w:rFonts w:ascii="Arial" w:eastAsia="Times New Roman" w:hAnsi="Arial" w:cs="Arial"/>
          <w:i/>
          <w:color w:val="212121"/>
          <w:sz w:val="22"/>
          <w:szCs w:val="22"/>
          <w:lang w:eastAsia="en-GB"/>
        </w:rPr>
        <w:t>”</w:t>
      </w:r>
    </w:p>
    <w:p w14:paraId="208DFD8D" w14:textId="77777777" w:rsidR="00056CB1" w:rsidRDefault="00056CB1" w:rsidP="00986CF0">
      <w:pPr>
        <w:jc w:val="both"/>
        <w:rPr>
          <w:rFonts w:ascii="Arial" w:eastAsia="Times New Roman" w:hAnsi="Arial" w:cs="Arial"/>
          <w:color w:val="212121"/>
          <w:sz w:val="20"/>
          <w:szCs w:val="20"/>
          <w:lang w:eastAsia="en-GB"/>
        </w:rPr>
      </w:pPr>
    </w:p>
    <w:p w14:paraId="467EFDE7" w14:textId="772AE540" w:rsidR="00F65465" w:rsidRPr="00056CB1" w:rsidRDefault="00056CB1" w:rsidP="00986CF0">
      <w:pPr>
        <w:jc w:val="both"/>
        <w:rPr>
          <w:rFonts w:ascii="Arial" w:eastAsia="Times New Roman" w:hAnsi="Arial" w:cs="Arial"/>
          <w:color w:val="0070C0"/>
          <w:sz w:val="22"/>
          <w:szCs w:val="22"/>
          <w:lang w:eastAsia="en-GB"/>
        </w:rPr>
      </w:pPr>
      <w:r w:rsidRPr="00056CB1">
        <w:rPr>
          <w:rFonts w:ascii="Arial" w:eastAsia="Times New Roman" w:hAnsi="Arial" w:cs="Arial"/>
          <w:color w:val="0070C0"/>
          <w:sz w:val="22"/>
          <w:szCs w:val="22"/>
          <w:lang w:eastAsia="en-GB"/>
        </w:rPr>
        <w:t>Thank you for spotting this. References to Covid and 2019 reflect drafting around earlier analyses. We have</w:t>
      </w:r>
      <w:r>
        <w:rPr>
          <w:rFonts w:ascii="Arial" w:eastAsia="Times New Roman" w:hAnsi="Arial" w:cs="Arial"/>
          <w:color w:val="0070C0"/>
          <w:sz w:val="22"/>
          <w:szCs w:val="22"/>
          <w:lang w:eastAsia="en-GB"/>
        </w:rPr>
        <w:t xml:space="preserve"> removed those references and</w:t>
      </w:r>
      <w:r w:rsidRPr="00056CB1">
        <w:rPr>
          <w:rFonts w:ascii="Arial" w:eastAsia="Times New Roman" w:hAnsi="Arial" w:cs="Arial"/>
          <w:color w:val="0070C0"/>
          <w:sz w:val="22"/>
          <w:szCs w:val="22"/>
          <w:lang w:eastAsia="en-GB"/>
        </w:rPr>
        <w:t xml:space="preserve"> clarified that our analysis </w:t>
      </w:r>
      <w:r>
        <w:rPr>
          <w:rFonts w:ascii="Arial" w:eastAsia="Times New Roman" w:hAnsi="Arial" w:cs="Arial"/>
          <w:color w:val="0070C0"/>
          <w:sz w:val="22"/>
          <w:szCs w:val="22"/>
          <w:lang w:eastAsia="en-GB"/>
        </w:rPr>
        <w:t>spans</w:t>
      </w:r>
      <w:r w:rsidRPr="00056CB1">
        <w:rPr>
          <w:rFonts w:ascii="Arial" w:eastAsia="Times New Roman" w:hAnsi="Arial" w:cs="Arial"/>
          <w:color w:val="0070C0"/>
          <w:sz w:val="22"/>
          <w:szCs w:val="22"/>
          <w:lang w:eastAsia="en-GB"/>
        </w:rPr>
        <w:t xml:space="preserve"> January 2009 to February 2020.</w:t>
      </w:r>
      <w:r>
        <w:rPr>
          <w:rFonts w:ascii="Arial" w:eastAsia="Times New Roman" w:hAnsi="Arial" w:cs="Arial"/>
          <w:color w:val="0070C0"/>
          <w:sz w:val="22"/>
          <w:szCs w:val="22"/>
          <w:lang w:eastAsia="en-GB"/>
        </w:rPr>
        <w:t xml:space="preserve"> Please refer to Sections 4.3.</w:t>
      </w:r>
    </w:p>
    <w:p w14:paraId="62E15F9D" w14:textId="0BCDBFE7" w:rsidR="00F65465" w:rsidRPr="009A2828" w:rsidRDefault="00F65465" w:rsidP="00986CF0">
      <w:pPr>
        <w:jc w:val="both"/>
        <w:rPr>
          <w:rFonts w:ascii="Arial" w:eastAsia="Times New Roman" w:hAnsi="Arial" w:cs="Arial"/>
          <w:color w:val="212121"/>
          <w:sz w:val="20"/>
          <w:szCs w:val="20"/>
          <w:lang w:eastAsia="en-GB"/>
        </w:rPr>
      </w:pPr>
    </w:p>
    <w:p w14:paraId="36F4FA2E" w14:textId="44DDDD09" w:rsidR="00645CF1" w:rsidRPr="00F65465" w:rsidRDefault="00F65465" w:rsidP="00986CF0">
      <w:pPr>
        <w:ind w:left="720" w:right="940"/>
        <w:jc w:val="both"/>
        <w:rPr>
          <w:rFonts w:ascii="Arial" w:eastAsia="Times New Roman" w:hAnsi="Arial" w:cs="Arial"/>
          <w:i/>
          <w:color w:val="212121"/>
          <w:sz w:val="22"/>
          <w:szCs w:val="22"/>
          <w:lang w:eastAsia="en-GB"/>
        </w:rPr>
      </w:pPr>
      <w:r w:rsidRPr="00F65465">
        <w:rPr>
          <w:rFonts w:ascii="Arial" w:eastAsia="Times New Roman" w:hAnsi="Arial" w:cs="Arial"/>
          <w:i/>
          <w:color w:val="212121"/>
          <w:sz w:val="22"/>
          <w:szCs w:val="22"/>
          <w:lang w:eastAsia="en-GB"/>
        </w:rPr>
        <w:t>“</w:t>
      </w:r>
      <w:r w:rsidR="00645CF1" w:rsidRPr="00F65465">
        <w:rPr>
          <w:rFonts w:ascii="Arial" w:eastAsia="Times New Roman" w:hAnsi="Arial" w:cs="Arial"/>
          <w:i/>
          <w:color w:val="212121"/>
          <w:sz w:val="22"/>
          <w:szCs w:val="22"/>
          <w:lang w:eastAsia="en-GB"/>
        </w:rPr>
        <w:t>Which control variables they have included and if they have accounted for unit roots as T is large while N=4.</w:t>
      </w:r>
      <w:r w:rsidRPr="00F65465">
        <w:rPr>
          <w:rFonts w:ascii="Arial" w:eastAsia="Times New Roman" w:hAnsi="Arial" w:cs="Arial"/>
          <w:i/>
          <w:color w:val="212121"/>
          <w:sz w:val="22"/>
          <w:szCs w:val="22"/>
          <w:lang w:eastAsia="en-GB"/>
        </w:rPr>
        <w:t>”</w:t>
      </w:r>
    </w:p>
    <w:p w14:paraId="164B5512" w14:textId="453A26BA" w:rsidR="00F65465" w:rsidRDefault="00F65465" w:rsidP="00986CF0">
      <w:pPr>
        <w:jc w:val="both"/>
        <w:rPr>
          <w:rFonts w:ascii="Arial" w:eastAsia="Times New Roman" w:hAnsi="Arial" w:cs="Arial"/>
          <w:color w:val="212121"/>
          <w:sz w:val="20"/>
          <w:szCs w:val="20"/>
          <w:lang w:eastAsia="en-GB"/>
        </w:rPr>
      </w:pPr>
    </w:p>
    <w:p w14:paraId="62EC7F8A" w14:textId="3FBC1457" w:rsidR="0026596A" w:rsidRPr="002A7EC0" w:rsidRDefault="002A7EC0" w:rsidP="002A7EC0">
      <w:pPr>
        <w:jc w:val="both"/>
        <w:rPr>
          <w:rFonts w:ascii="Arial" w:eastAsia="Times New Roman" w:hAnsi="Arial" w:cs="Arial"/>
          <w:color w:val="0070C0"/>
          <w:sz w:val="22"/>
          <w:szCs w:val="22"/>
          <w:lang w:eastAsia="en-GB"/>
        </w:rPr>
      </w:pPr>
      <w:r>
        <w:rPr>
          <w:rFonts w:ascii="Arial" w:eastAsia="Times New Roman" w:hAnsi="Arial" w:cs="Arial"/>
          <w:color w:val="0070C0"/>
          <w:sz w:val="22"/>
          <w:szCs w:val="22"/>
          <w:lang w:eastAsia="en-GB"/>
        </w:rPr>
        <w:t xml:space="preserve">This was not articulated effectively in our previous draft version. </w:t>
      </w:r>
      <w:r w:rsidR="0026596A" w:rsidRPr="002A7EC0">
        <w:rPr>
          <w:rFonts w:ascii="Arial" w:eastAsia="Times New Roman" w:hAnsi="Arial" w:cs="Arial"/>
          <w:color w:val="0070C0"/>
          <w:sz w:val="22"/>
          <w:szCs w:val="22"/>
          <w:lang w:eastAsia="en-GB"/>
        </w:rPr>
        <w:t xml:space="preserve">We have included a </w:t>
      </w:r>
      <w:r w:rsidRPr="002A7EC0">
        <w:rPr>
          <w:rFonts w:ascii="Arial" w:eastAsia="Times New Roman" w:hAnsi="Arial" w:cs="Arial"/>
          <w:color w:val="0070C0"/>
          <w:sz w:val="22"/>
          <w:szCs w:val="22"/>
          <w:lang w:eastAsia="en-GB"/>
        </w:rPr>
        <w:t>description</w:t>
      </w:r>
      <w:r w:rsidR="0026596A" w:rsidRPr="002A7EC0">
        <w:rPr>
          <w:rFonts w:ascii="Arial" w:eastAsia="Times New Roman" w:hAnsi="Arial" w:cs="Arial"/>
          <w:color w:val="0070C0"/>
          <w:sz w:val="22"/>
          <w:szCs w:val="22"/>
          <w:lang w:eastAsia="en-GB"/>
        </w:rPr>
        <w:t xml:space="preserve"> of the control variables in </w:t>
      </w:r>
      <w:r w:rsidRPr="002A7EC0">
        <w:rPr>
          <w:rFonts w:ascii="Arial" w:eastAsia="Times New Roman" w:hAnsi="Arial" w:cs="Arial"/>
          <w:color w:val="0070C0"/>
          <w:sz w:val="22"/>
          <w:szCs w:val="22"/>
          <w:lang w:eastAsia="en-GB"/>
        </w:rPr>
        <w:t xml:space="preserve">Section </w:t>
      </w:r>
      <w:r w:rsidR="0026596A" w:rsidRPr="002A7EC0">
        <w:rPr>
          <w:rFonts w:ascii="Arial" w:eastAsia="Times New Roman" w:hAnsi="Arial" w:cs="Arial"/>
          <w:color w:val="0070C0"/>
          <w:sz w:val="22"/>
          <w:szCs w:val="22"/>
          <w:lang w:eastAsia="en-GB"/>
        </w:rPr>
        <w:t xml:space="preserve">4.3. Regarding testing for stationarity, we have included a description </w:t>
      </w:r>
      <w:r w:rsidRPr="002A7EC0">
        <w:rPr>
          <w:rFonts w:ascii="Arial" w:eastAsia="Times New Roman" w:hAnsi="Arial" w:cs="Arial"/>
          <w:color w:val="0070C0"/>
          <w:sz w:val="22"/>
          <w:szCs w:val="22"/>
          <w:lang w:eastAsia="en-GB"/>
        </w:rPr>
        <w:t>of our estimation approach, also in Section 4.3. Specifically we refer to the estimation of robust standard errors, clustered at bank level, which addresses potential heteroskedasticity</w:t>
      </w:r>
      <w:r w:rsidRPr="002A7EC0">
        <w:rPr>
          <w:rFonts w:ascii="Arial" w:eastAsia="Times New Roman" w:hAnsi="Arial" w:cs="Arial"/>
          <w:color w:val="0070C0"/>
          <w:sz w:val="22"/>
          <w:szCs w:val="22"/>
          <w:lang w:eastAsia="en-GB"/>
        </w:rPr>
        <w:t xml:space="preserve"> and serial</w:t>
      </w:r>
      <w:r w:rsidRPr="002A7EC0">
        <w:rPr>
          <w:rFonts w:ascii="Arial" w:eastAsia="Times New Roman" w:hAnsi="Arial" w:cs="Arial"/>
          <w:color w:val="0070C0"/>
          <w:sz w:val="22"/>
          <w:szCs w:val="22"/>
          <w:lang w:eastAsia="en-GB"/>
        </w:rPr>
        <w:t xml:space="preserve"> </w:t>
      </w:r>
      <w:r w:rsidRPr="002A7EC0">
        <w:rPr>
          <w:rFonts w:ascii="Arial" w:eastAsia="Times New Roman" w:hAnsi="Arial" w:cs="Arial"/>
          <w:color w:val="0070C0"/>
          <w:sz w:val="22"/>
          <w:szCs w:val="22"/>
          <w:lang w:eastAsia="en-GB"/>
        </w:rPr>
        <w:t>correlation</w:t>
      </w:r>
      <w:r w:rsidRPr="002A7EC0">
        <w:rPr>
          <w:rFonts w:ascii="Arial" w:eastAsia="Times New Roman" w:hAnsi="Arial" w:cs="Arial"/>
          <w:color w:val="0070C0"/>
          <w:sz w:val="22"/>
          <w:szCs w:val="22"/>
          <w:lang w:eastAsia="en-GB"/>
        </w:rPr>
        <w:t xml:space="preserve"> that may arise from potential non-stationariness.</w:t>
      </w:r>
    </w:p>
    <w:p w14:paraId="2905E8C9" w14:textId="77777777" w:rsidR="00F65465" w:rsidRPr="009A2828" w:rsidRDefault="00F65465" w:rsidP="00986CF0">
      <w:pPr>
        <w:jc w:val="both"/>
        <w:rPr>
          <w:rFonts w:ascii="Arial" w:eastAsia="Times New Roman" w:hAnsi="Arial" w:cs="Arial"/>
          <w:color w:val="212121"/>
          <w:sz w:val="20"/>
          <w:szCs w:val="20"/>
          <w:lang w:eastAsia="en-GB"/>
        </w:rPr>
      </w:pPr>
    </w:p>
    <w:p w14:paraId="6F2E91F9" w14:textId="6F47BA9C" w:rsidR="00645CF1" w:rsidRDefault="00F65465" w:rsidP="00986CF0">
      <w:pPr>
        <w:ind w:left="720" w:right="940"/>
        <w:jc w:val="both"/>
        <w:rPr>
          <w:rFonts w:ascii="Arial" w:eastAsia="Times New Roman" w:hAnsi="Arial" w:cs="Arial"/>
          <w:i/>
          <w:color w:val="212121"/>
          <w:sz w:val="22"/>
          <w:szCs w:val="22"/>
          <w:lang w:eastAsia="en-GB"/>
        </w:rPr>
      </w:pPr>
      <w:r w:rsidRPr="00F65465">
        <w:rPr>
          <w:rFonts w:ascii="Arial" w:eastAsia="Times New Roman" w:hAnsi="Arial" w:cs="Arial"/>
          <w:i/>
          <w:color w:val="212121"/>
          <w:sz w:val="22"/>
          <w:szCs w:val="22"/>
          <w:lang w:eastAsia="en-GB"/>
        </w:rPr>
        <w:t>“</w:t>
      </w:r>
      <w:r w:rsidR="00645CF1" w:rsidRPr="00F65465">
        <w:rPr>
          <w:rFonts w:ascii="Arial" w:eastAsia="Times New Roman" w:hAnsi="Arial" w:cs="Arial"/>
          <w:i/>
          <w:color w:val="212121"/>
          <w:sz w:val="22"/>
          <w:szCs w:val="22"/>
          <w:lang w:eastAsia="en-GB"/>
        </w:rPr>
        <w:t xml:space="preserve">There are no considerations on the exogeneity of the independent variable (ie dummy indicators). Also, </w:t>
      </w:r>
      <w:bookmarkStart w:id="1" w:name="_Hlk170304035"/>
      <w:r w:rsidR="00645CF1" w:rsidRPr="00F65465">
        <w:rPr>
          <w:rFonts w:ascii="Arial" w:eastAsia="Times New Roman" w:hAnsi="Arial" w:cs="Arial"/>
          <w:i/>
          <w:color w:val="212121"/>
          <w:sz w:val="22"/>
          <w:szCs w:val="22"/>
          <w:lang w:eastAsia="en-GB"/>
        </w:rPr>
        <w:t xml:space="preserve">a time-series plot of the dummies </w:t>
      </w:r>
      <w:bookmarkEnd w:id="1"/>
      <w:r w:rsidR="00645CF1" w:rsidRPr="00F65465">
        <w:rPr>
          <w:rFonts w:ascii="Arial" w:eastAsia="Times New Roman" w:hAnsi="Arial" w:cs="Arial"/>
          <w:i/>
          <w:color w:val="212121"/>
          <w:sz w:val="22"/>
          <w:szCs w:val="22"/>
          <w:lang w:eastAsia="en-GB"/>
        </w:rPr>
        <w:t>would be useful to observe the evolution of regulatory stringency.</w:t>
      </w:r>
      <w:r w:rsidRPr="00F65465">
        <w:rPr>
          <w:rFonts w:ascii="Arial" w:eastAsia="Times New Roman" w:hAnsi="Arial" w:cs="Arial"/>
          <w:i/>
          <w:color w:val="212121"/>
          <w:sz w:val="22"/>
          <w:szCs w:val="22"/>
          <w:lang w:eastAsia="en-GB"/>
        </w:rPr>
        <w:t>”</w:t>
      </w:r>
    </w:p>
    <w:p w14:paraId="04828A47" w14:textId="77777777" w:rsidR="00F65465" w:rsidRPr="00F65465" w:rsidRDefault="00F65465" w:rsidP="00986CF0">
      <w:pPr>
        <w:jc w:val="both"/>
        <w:rPr>
          <w:rFonts w:ascii="Arial" w:eastAsia="Times New Roman" w:hAnsi="Arial" w:cs="Arial"/>
          <w:color w:val="212121"/>
          <w:sz w:val="20"/>
          <w:szCs w:val="20"/>
          <w:lang w:eastAsia="en-GB"/>
        </w:rPr>
      </w:pPr>
    </w:p>
    <w:p w14:paraId="6A092E53" w14:textId="1954385E" w:rsidR="00E628C8" w:rsidRPr="009A2828" w:rsidRDefault="00E628C8" w:rsidP="00986CF0">
      <w:pPr>
        <w:jc w:val="both"/>
        <w:rPr>
          <w:rFonts w:ascii="Arial" w:eastAsia="Times New Roman" w:hAnsi="Arial" w:cs="Arial"/>
          <w:color w:val="0070C0"/>
          <w:sz w:val="22"/>
          <w:szCs w:val="22"/>
          <w:lang w:eastAsia="en-GB"/>
        </w:rPr>
      </w:pPr>
      <w:r w:rsidRPr="009A2828">
        <w:rPr>
          <w:rFonts w:ascii="Arial" w:eastAsia="Times New Roman" w:hAnsi="Arial" w:cs="Arial"/>
          <w:color w:val="0070C0"/>
          <w:sz w:val="22"/>
          <w:szCs w:val="22"/>
          <w:lang w:eastAsia="en-GB"/>
        </w:rPr>
        <w:t xml:space="preserve">The exogeneity of </w:t>
      </w:r>
      <w:r w:rsidR="00986CF0">
        <w:rPr>
          <w:rFonts w:ascii="Arial" w:eastAsia="Times New Roman" w:hAnsi="Arial" w:cs="Arial"/>
          <w:color w:val="0070C0"/>
          <w:sz w:val="22"/>
          <w:szCs w:val="22"/>
          <w:lang w:eastAsia="en-GB"/>
        </w:rPr>
        <w:t xml:space="preserve">the </w:t>
      </w:r>
      <w:r w:rsidRPr="009A2828">
        <w:rPr>
          <w:rFonts w:ascii="Arial" w:eastAsia="Times New Roman" w:hAnsi="Arial" w:cs="Arial"/>
          <w:color w:val="0070C0"/>
          <w:sz w:val="22"/>
          <w:szCs w:val="22"/>
          <w:lang w:eastAsia="en-GB"/>
        </w:rPr>
        <w:t>narrative indicators is</w:t>
      </w:r>
      <w:r w:rsidR="00C2442B" w:rsidRPr="009A2828">
        <w:rPr>
          <w:rFonts w:ascii="Arial" w:eastAsia="Times New Roman" w:hAnsi="Arial" w:cs="Arial"/>
          <w:color w:val="0070C0"/>
          <w:sz w:val="22"/>
          <w:szCs w:val="22"/>
          <w:lang w:eastAsia="en-GB"/>
        </w:rPr>
        <w:t xml:space="preserve"> </w:t>
      </w:r>
      <w:r w:rsidR="002A7EC0">
        <w:rPr>
          <w:rFonts w:ascii="Arial" w:eastAsia="Times New Roman" w:hAnsi="Arial" w:cs="Arial"/>
          <w:color w:val="0070C0"/>
          <w:sz w:val="22"/>
          <w:szCs w:val="22"/>
          <w:lang w:eastAsia="en-GB"/>
        </w:rPr>
        <w:t>crucial</w:t>
      </w:r>
      <w:r w:rsidRPr="009A2828">
        <w:rPr>
          <w:rFonts w:ascii="Arial" w:eastAsia="Times New Roman" w:hAnsi="Arial" w:cs="Arial"/>
          <w:color w:val="0070C0"/>
          <w:sz w:val="22"/>
          <w:szCs w:val="22"/>
          <w:lang w:eastAsia="en-GB"/>
        </w:rPr>
        <w:t xml:space="preserve">. On page 26, we </w:t>
      </w:r>
      <w:r w:rsidR="004153B5" w:rsidRPr="009A2828">
        <w:rPr>
          <w:rFonts w:ascii="Arial" w:eastAsia="Times New Roman" w:hAnsi="Arial" w:cs="Arial"/>
          <w:color w:val="0070C0"/>
          <w:sz w:val="22"/>
          <w:szCs w:val="22"/>
          <w:lang w:eastAsia="en-GB"/>
        </w:rPr>
        <w:t>highlight</w:t>
      </w:r>
      <w:r w:rsidRPr="009A2828">
        <w:rPr>
          <w:rFonts w:ascii="Arial" w:eastAsia="Times New Roman" w:hAnsi="Arial" w:cs="Arial"/>
          <w:color w:val="0070C0"/>
          <w:sz w:val="22"/>
          <w:szCs w:val="22"/>
          <w:lang w:eastAsia="en-GB"/>
        </w:rPr>
        <w:t xml:space="preserve"> the limits </w:t>
      </w:r>
      <w:r w:rsidR="00C2442B" w:rsidRPr="009A2828">
        <w:rPr>
          <w:rFonts w:ascii="Arial" w:eastAsia="Times New Roman" w:hAnsi="Arial" w:cs="Arial"/>
          <w:color w:val="0070C0"/>
          <w:sz w:val="22"/>
          <w:szCs w:val="22"/>
          <w:lang w:eastAsia="en-GB"/>
        </w:rPr>
        <w:t>and challenging</w:t>
      </w:r>
      <w:r w:rsidRPr="009A2828">
        <w:rPr>
          <w:rFonts w:ascii="Arial" w:eastAsia="Times New Roman" w:hAnsi="Arial" w:cs="Arial"/>
          <w:color w:val="0070C0"/>
          <w:sz w:val="22"/>
          <w:szCs w:val="22"/>
          <w:lang w:eastAsia="en-GB"/>
        </w:rPr>
        <w:t xml:space="preserve"> aspects related to the exogeneity of the indicators. The “Implementation” </w:t>
      </w:r>
      <w:r w:rsidR="00324DDB" w:rsidRPr="009A2828">
        <w:rPr>
          <w:rFonts w:ascii="Arial" w:eastAsia="Times New Roman" w:hAnsi="Arial" w:cs="Arial"/>
          <w:color w:val="0070C0"/>
          <w:sz w:val="22"/>
          <w:szCs w:val="22"/>
          <w:lang w:eastAsia="en-GB"/>
        </w:rPr>
        <w:t>instrument in</w:t>
      </w:r>
      <w:r w:rsidR="00380178" w:rsidRPr="009A2828">
        <w:rPr>
          <w:rFonts w:ascii="Arial" w:eastAsia="Times New Roman" w:hAnsi="Arial" w:cs="Arial"/>
          <w:color w:val="0070C0"/>
          <w:sz w:val="22"/>
          <w:szCs w:val="22"/>
          <w:lang w:eastAsia="en-GB"/>
        </w:rPr>
        <w:t xml:space="preserve"> particular, might</w:t>
      </w:r>
      <w:r w:rsidRPr="009A2828">
        <w:rPr>
          <w:rFonts w:ascii="Arial" w:eastAsia="Times New Roman" w:hAnsi="Arial" w:cs="Arial"/>
          <w:color w:val="0070C0"/>
          <w:sz w:val="22"/>
          <w:szCs w:val="22"/>
          <w:lang w:eastAsia="en-GB"/>
        </w:rPr>
        <w:t xml:space="preserve"> not be entirely exogenous as </w:t>
      </w:r>
      <w:r w:rsidR="00324DDB" w:rsidRPr="009A2828">
        <w:rPr>
          <w:rFonts w:ascii="Arial" w:eastAsia="Times New Roman" w:hAnsi="Arial" w:cs="Arial"/>
          <w:color w:val="0070C0"/>
          <w:sz w:val="22"/>
          <w:szCs w:val="22"/>
          <w:lang w:eastAsia="en-GB"/>
        </w:rPr>
        <w:t>the implementation of regulation is</w:t>
      </w:r>
      <w:r w:rsidRPr="009A2828">
        <w:rPr>
          <w:rFonts w:ascii="Arial" w:eastAsia="Times New Roman" w:hAnsi="Arial" w:cs="Arial"/>
          <w:color w:val="0070C0"/>
          <w:sz w:val="22"/>
          <w:szCs w:val="22"/>
          <w:lang w:eastAsia="en-GB"/>
        </w:rPr>
        <w:t xml:space="preserve"> anticipated. Therefore</w:t>
      </w:r>
      <w:r w:rsidR="00380178" w:rsidRPr="009A2828">
        <w:rPr>
          <w:rFonts w:ascii="Arial" w:eastAsia="Times New Roman" w:hAnsi="Arial" w:cs="Arial"/>
          <w:color w:val="0070C0"/>
          <w:sz w:val="22"/>
          <w:szCs w:val="22"/>
          <w:lang w:eastAsia="en-GB"/>
        </w:rPr>
        <w:t xml:space="preserve">, we plan to address the issue </w:t>
      </w:r>
      <w:r w:rsidR="00C2442B" w:rsidRPr="009A2828">
        <w:rPr>
          <w:rFonts w:ascii="Arial" w:eastAsia="Times New Roman" w:hAnsi="Arial" w:cs="Arial"/>
          <w:color w:val="0070C0"/>
          <w:sz w:val="22"/>
          <w:szCs w:val="22"/>
          <w:lang w:eastAsia="en-GB"/>
        </w:rPr>
        <w:t>in future</w:t>
      </w:r>
      <w:r w:rsidR="00380178" w:rsidRPr="009A2828">
        <w:rPr>
          <w:rFonts w:ascii="Arial" w:eastAsia="Times New Roman" w:hAnsi="Arial" w:cs="Arial"/>
          <w:color w:val="0070C0"/>
          <w:sz w:val="22"/>
          <w:szCs w:val="22"/>
          <w:lang w:eastAsia="en-GB"/>
        </w:rPr>
        <w:t xml:space="preserve"> work</w:t>
      </w:r>
      <w:r w:rsidR="00324DDB" w:rsidRPr="009A2828">
        <w:rPr>
          <w:rFonts w:ascii="Arial" w:eastAsia="Times New Roman" w:hAnsi="Arial" w:cs="Arial"/>
          <w:color w:val="0070C0"/>
          <w:sz w:val="22"/>
          <w:szCs w:val="22"/>
          <w:lang w:eastAsia="en-GB"/>
        </w:rPr>
        <w:t xml:space="preserve"> (including this paper)</w:t>
      </w:r>
      <w:r w:rsidR="00380178" w:rsidRPr="009A2828">
        <w:rPr>
          <w:rFonts w:ascii="Arial" w:eastAsia="Times New Roman" w:hAnsi="Arial" w:cs="Arial"/>
          <w:color w:val="0070C0"/>
          <w:sz w:val="22"/>
          <w:szCs w:val="22"/>
          <w:lang w:eastAsia="en-GB"/>
        </w:rPr>
        <w:t xml:space="preserve">, by disentangling and distinguishing polices with and without implementation lags. Following the </w:t>
      </w:r>
      <w:r w:rsidR="00885947" w:rsidRPr="009A2828">
        <w:rPr>
          <w:rFonts w:ascii="Arial" w:eastAsia="Times New Roman" w:hAnsi="Arial" w:cs="Arial"/>
          <w:color w:val="0070C0"/>
          <w:sz w:val="22"/>
          <w:szCs w:val="22"/>
          <w:lang w:eastAsia="en-GB"/>
        </w:rPr>
        <w:t>work of</w:t>
      </w:r>
      <w:r w:rsidR="00380178" w:rsidRPr="009A2828">
        <w:rPr>
          <w:rFonts w:ascii="Arial" w:eastAsia="Times New Roman" w:hAnsi="Arial" w:cs="Arial"/>
          <w:color w:val="0070C0"/>
          <w:sz w:val="22"/>
          <w:szCs w:val="22"/>
          <w:lang w:eastAsia="en-GB"/>
        </w:rPr>
        <w:t xml:space="preserve"> Mertens &amp; Ravn (2012</w:t>
      </w:r>
      <w:r w:rsidR="00C2442B" w:rsidRPr="009A2828">
        <w:rPr>
          <w:rFonts w:ascii="Arial" w:eastAsia="Times New Roman" w:hAnsi="Arial" w:cs="Arial"/>
          <w:color w:val="0070C0"/>
          <w:sz w:val="22"/>
          <w:szCs w:val="22"/>
          <w:lang w:eastAsia="en-GB"/>
        </w:rPr>
        <w:t>)</w:t>
      </w:r>
      <w:r w:rsidR="00C2442B" w:rsidRPr="00986CF0">
        <w:rPr>
          <w:rFonts w:ascii="Arial" w:eastAsia="Times New Roman" w:hAnsi="Arial" w:cs="Arial"/>
          <w:color w:val="0070C0"/>
          <w:sz w:val="22"/>
          <w:szCs w:val="22"/>
          <w:vertAlign w:val="superscript"/>
          <w:lang w:eastAsia="en-GB"/>
        </w:rPr>
        <w:footnoteReference w:id="5"/>
      </w:r>
      <w:r w:rsidR="00C2442B" w:rsidRPr="009A2828">
        <w:rPr>
          <w:rFonts w:ascii="Arial" w:eastAsia="Times New Roman" w:hAnsi="Arial" w:cs="Arial"/>
          <w:color w:val="0070C0"/>
          <w:sz w:val="22"/>
          <w:szCs w:val="22"/>
          <w:lang w:eastAsia="en-GB"/>
        </w:rPr>
        <w:t>,  Fang</w:t>
      </w:r>
      <w:r w:rsidR="00380178" w:rsidRPr="009A2828">
        <w:rPr>
          <w:rFonts w:ascii="Arial" w:eastAsia="Times New Roman" w:hAnsi="Arial" w:cs="Arial"/>
          <w:color w:val="0070C0"/>
          <w:sz w:val="22"/>
          <w:szCs w:val="22"/>
          <w:lang w:eastAsia="en-GB"/>
        </w:rPr>
        <w:t xml:space="preserve"> et al. (2022)</w:t>
      </w:r>
      <w:r w:rsidR="00C2442B" w:rsidRPr="00986CF0">
        <w:rPr>
          <w:rFonts w:ascii="Arial" w:eastAsia="Times New Roman" w:hAnsi="Arial" w:cs="Arial"/>
          <w:color w:val="0070C0"/>
          <w:sz w:val="22"/>
          <w:szCs w:val="22"/>
          <w:vertAlign w:val="superscript"/>
          <w:lang w:eastAsia="en-GB"/>
        </w:rPr>
        <w:footnoteReference w:id="6"/>
      </w:r>
      <w:r w:rsidR="00380178" w:rsidRPr="009A2828">
        <w:rPr>
          <w:rFonts w:ascii="Arial" w:eastAsia="Times New Roman" w:hAnsi="Arial" w:cs="Arial"/>
          <w:color w:val="0070C0"/>
          <w:sz w:val="22"/>
          <w:szCs w:val="22"/>
          <w:lang w:eastAsia="en-GB"/>
        </w:rPr>
        <w:t xml:space="preserve">, </w:t>
      </w:r>
      <w:bookmarkStart w:id="2" w:name="_Hlk170303894"/>
      <w:r w:rsidR="00380178" w:rsidRPr="009A2828">
        <w:rPr>
          <w:rFonts w:ascii="Arial" w:eastAsia="Times New Roman" w:hAnsi="Arial" w:cs="Arial"/>
          <w:color w:val="0070C0"/>
          <w:sz w:val="22"/>
          <w:szCs w:val="22"/>
          <w:lang w:eastAsia="en-GB"/>
        </w:rPr>
        <w:t>Mokas and Giuliodori (2023)</w:t>
      </w:r>
      <w:r w:rsidR="009711D9" w:rsidRPr="00986CF0">
        <w:rPr>
          <w:rFonts w:ascii="Arial" w:eastAsia="Times New Roman" w:hAnsi="Arial" w:cs="Arial"/>
          <w:color w:val="0070C0"/>
          <w:sz w:val="22"/>
          <w:szCs w:val="22"/>
          <w:vertAlign w:val="superscript"/>
          <w:lang w:eastAsia="en-GB"/>
        </w:rPr>
        <w:footnoteReference w:id="7"/>
      </w:r>
      <w:r w:rsidR="00380178" w:rsidRPr="009A2828">
        <w:rPr>
          <w:rFonts w:ascii="Arial" w:eastAsia="Times New Roman" w:hAnsi="Arial" w:cs="Arial"/>
          <w:color w:val="0070C0"/>
          <w:sz w:val="22"/>
          <w:szCs w:val="22"/>
          <w:lang w:eastAsia="en-GB"/>
        </w:rPr>
        <w:t xml:space="preserve"> and Fernández-Gallardo Romero and Lloyd (2023)</w:t>
      </w:r>
      <w:bookmarkEnd w:id="2"/>
      <w:r w:rsidR="009711D9" w:rsidRPr="00986CF0">
        <w:rPr>
          <w:rFonts w:ascii="Arial" w:eastAsia="Times New Roman" w:hAnsi="Arial" w:cs="Arial"/>
          <w:color w:val="0070C0"/>
          <w:sz w:val="22"/>
          <w:szCs w:val="22"/>
          <w:vertAlign w:val="superscript"/>
          <w:lang w:eastAsia="en-GB"/>
        </w:rPr>
        <w:footnoteReference w:id="8"/>
      </w:r>
      <w:r w:rsidR="00380178" w:rsidRPr="009A2828">
        <w:rPr>
          <w:rFonts w:ascii="Arial" w:eastAsia="Times New Roman" w:hAnsi="Arial" w:cs="Arial"/>
          <w:color w:val="0070C0"/>
          <w:sz w:val="22"/>
          <w:szCs w:val="22"/>
          <w:lang w:eastAsia="en-GB"/>
        </w:rPr>
        <w:t xml:space="preserve">, policies without implementation lags are exogenous and captured by the announcement of regulation. Policies with implementation lags are </w:t>
      </w:r>
      <w:r w:rsidR="00C2442B" w:rsidRPr="009A2828">
        <w:rPr>
          <w:rFonts w:ascii="Arial" w:eastAsia="Times New Roman" w:hAnsi="Arial" w:cs="Arial"/>
          <w:color w:val="0070C0"/>
          <w:sz w:val="22"/>
          <w:szCs w:val="22"/>
          <w:lang w:eastAsia="en-GB"/>
        </w:rPr>
        <w:t>those with</w:t>
      </w:r>
      <w:r w:rsidR="00380178" w:rsidRPr="009A2828">
        <w:rPr>
          <w:rFonts w:ascii="Arial" w:eastAsia="Times New Roman" w:hAnsi="Arial" w:cs="Arial"/>
          <w:color w:val="0070C0"/>
          <w:sz w:val="22"/>
          <w:szCs w:val="22"/>
          <w:lang w:eastAsia="en-GB"/>
        </w:rPr>
        <w:t xml:space="preserve"> significant delay between the announcement and enforcement or implementation date (Mertens &amp; Ravn, 2012).</w:t>
      </w:r>
    </w:p>
    <w:p w14:paraId="17CE9D39" w14:textId="77777777" w:rsidR="00380178" w:rsidRPr="009A2828" w:rsidRDefault="00E628C8" w:rsidP="00986CF0">
      <w:pPr>
        <w:jc w:val="both"/>
        <w:rPr>
          <w:rFonts w:ascii="Arial" w:eastAsia="Times New Roman" w:hAnsi="Arial" w:cs="Arial"/>
          <w:color w:val="0070C0"/>
          <w:sz w:val="22"/>
          <w:szCs w:val="22"/>
          <w:lang w:eastAsia="en-GB"/>
        </w:rPr>
      </w:pPr>
      <w:r w:rsidRPr="009A2828">
        <w:rPr>
          <w:rFonts w:ascii="Arial" w:eastAsia="Times New Roman" w:hAnsi="Arial" w:cs="Arial"/>
          <w:color w:val="0070C0"/>
          <w:sz w:val="22"/>
          <w:szCs w:val="22"/>
          <w:lang w:eastAsia="en-GB"/>
        </w:rPr>
        <w:t xml:space="preserve"> </w:t>
      </w:r>
    </w:p>
    <w:p w14:paraId="331C61AC" w14:textId="78343780" w:rsidR="00E628C8" w:rsidRPr="009A2828" w:rsidRDefault="009C182A" w:rsidP="00986CF0">
      <w:pPr>
        <w:jc w:val="both"/>
        <w:rPr>
          <w:rFonts w:ascii="Arial" w:eastAsia="Times New Roman" w:hAnsi="Arial" w:cs="Arial"/>
          <w:color w:val="0070C0"/>
          <w:sz w:val="22"/>
          <w:szCs w:val="22"/>
          <w:lang w:eastAsia="en-GB"/>
        </w:rPr>
      </w:pPr>
      <w:r w:rsidRPr="009A2828">
        <w:rPr>
          <w:rFonts w:ascii="Arial" w:eastAsia="Times New Roman" w:hAnsi="Arial" w:cs="Arial"/>
          <w:color w:val="0070C0"/>
          <w:sz w:val="22"/>
          <w:szCs w:val="22"/>
          <w:lang w:eastAsia="en-GB"/>
        </w:rPr>
        <w:t>Regarding</w:t>
      </w:r>
      <w:r w:rsidR="00E628C8" w:rsidRPr="009A2828">
        <w:rPr>
          <w:rFonts w:ascii="Arial" w:eastAsia="Times New Roman" w:hAnsi="Arial" w:cs="Arial"/>
          <w:color w:val="0070C0"/>
          <w:sz w:val="22"/>
          <w:szCs w:val="22"/>
          <w:lang w:eastAsia="en-GB"/>
        </w:rPr>
        <w:t xml:space="preserve"> the “Draft” in</w:t>
      </w:r>
      <w:r w:rsidR="00324DDB" w:rsidRPr="009A2828">
        <w:rPr>
          <w:rFonts w:ascii="Arial" w:eastAsia="Times New Roman" w:hAnsi="Arial" w:cs="Arial"/>
          <w:color w:val="0070C0"/>
          <w:sz w:val="22"/>
          <w:szCs w:val="22"/>
          <w:lang w:eastAsia="en-GB"/>
        </w:rPr>
        <w:t>strument</w:t>
      </w:r>
      <w:r w:rsidR="00E628C8" w:rsidRPr="009A2828">
        <w:rPr>
          <w:rFonts w:ascii="Arial" w:eastAsia="Times New Roman" w:hAnsi="Arial" w:cs="Arial"/>
          <w:color w:val="0070C0"/>
          <w:sz w:val="22"/>
          <w:szCs w:val="22"/>
          <w:lang w:eastAsia="en-GB"/>
        </w:rPr>
        <w:t xml:space="preserve">, we have confidence in their </w:t>
      </w:r>
      <w:r w:rsidR="00380178" w:rsidRPr="009A2828">
        <w:rPr>
          <w:rFonts w:ascii="Arial" w:eastAsia="Times New Roman" w:hAnsi="Arial" w:cs="Arial"/>
          <w:color w:val="0070C0"/>
          <w:sz w:val="22"/>
          <w:szCs w:val="22"/>
          <w:lang w:eastAsia="en-GB"/>
        </w:rPr>
        <w:t xml:space="preserve">exogeneity as </w:t>
      </w:r>
      <w:r w:rsidRPr="009A2828">
        <w:rPr>
          <w:rFonts w:ascii="Arial" w:eastAsia="Times New Roman" w:hAnsi="Arial" w:cs="Arial"/>
          <w:color w:val="0070C0"/>
          <w:sz w:val="22"/>
          <w:szCs w:val="22"/>
          <w:lang w:eastAsia="en-GB"/>
        </w:rPr>
        <w:t xml:space="preserve">Mokas and Giuliodori (2023) and Fernández-Gallardo Romero and Lloyd (2023), use announcement dates of the respective macroprudential regulations to identify policy shocks.  </w:t>
      </w:r>
    </w:p>
    <w:p w14:paraId="0642243D" w14:textId="3274D9A7" w:rsidR="009A2828" w:rsidRPr="009A2828" w:rsidRDefault="009A2828" w:rsidP="00986CF0">
      <w:pPr>
        <w:jc w:val="both"/>
        <w:rPr>
          <w:rFonts w:ascii="Arial" w:eastAsia="Times New Roman" w:hAnsi="Arial" w:cs="Arial"/>
          <w:color w:val="0070C0"/>
          <w:sz w:val="22"/>
          <w:szCs w:val="22"/>
          <w:lang w:eastAsia="en-GB"/>
        </w:rPr>
      </w:pPr>
    </w:p>
    <w:p w14:paraId="47CEBCED" w14:textId="5F17E1F1" w:rsidR="009A2828" w:rsidRPr="009A2828" w:rsidRDefault="00C530E0" w:rsidP="00986CF0">
      <w:pPr>
        <w:jc w:val="both"/>
        <w:rPr>
          <w:rFonts w:ascii="Arial" w:eastAsia="Times New Roman" w:hAnsi="Arial" w:cs="Arial"/>
          <w:color w:val="0070C0"/>
          <w:sz w:val="22"/>
          <w:szCs w:val="22"/>
          <w:lang w:eastAsia="en-GB"/>
        </w:rPr>
      </w:pPr>
      <w:r w:rsidRPr="009A2828">
        <w:rPr>
          <w:rFonts w:ascii="Arial" w:eastAsia="Times New Roman" w:hAnsi="Arial" w:cs="Arial"/>
          <w:color w:val="0070C0"/>
          <w:sz w:val="22"/>
          <w:szCs w:val="22"/>
          <w:lang w:eastAsia="en-GB"/>
        </w:rPr>
        <w:lastRenderedPageBreak/>
        <w:t>Government resolutions and processes historically drive the inclusion regulations</w:t>
      </w:r>
      <w:r w:rsidR="002473D0">
        <w:rPr>
          <w:rFonts w:ascii="Arial" w:eastAsia="Times New Roman" w:hAnsi="Arial" w:cs="Arial"/>
          <w:color w:val="0070C0"/>
          <w:sz w:val="22"/>
          <w:szCs w:val="22"/>
          <w:lang w:eastAsia="en-GB"/>
        </w:rPr>
        <w:t>. Moreover, the timing of these regulatory developments occur at irregular frequencies. We believe that the nature of such regulatory processes are likely exogenous of other factors that may affect bank lending at any given point in time.</w:t>
      </w:r>
    </w:p>
    <w:p w14:paraId="0E17E7AB" w14:textId="77777777" w:rsidR="000D0A0E" w:rsidRPr="009A2828" w:rsidRDefault="000D0A0E" w:rsidP="00986CF0">
      <w:pPr>
        <w:jc w:val="both"/>
        <w:rPr>
          <w:rFonts w:ascii="Arial" w:eastAsia="Times New Roman" w:hAnsi="Arial" w:cs="Arial"/>
          <w:color w:val="0070C0"/>
          <w:sz w:val="22"/>
          <w:szCs w:val="22"/>
          <w:lang w:eastAsia="en-GB"/>
        </w:rPr>
      </w:pPr>
    </w:p>
    <w:p w14:paraId="3F081C82" w14:textId="5D33B203" w:rsidR="00E628C8" w:rsidRPr="00F65465" w:rsidRDefault="000D0A0E" w:rsidP="00986CF0">
      <w:pPr>
        <w:jc w:val="both"/>
        <w:rPr>
          <w:rFonts w:ascii="Arial" w:eastAsia="Times New Roman" w:hAnsi="Arial" w:cs="Arial"/>
          <w:color w:val="0070C0"/>
          <w:sz w:val="22"/>
          <w:szCs w:val="22"/>
          <w:lang w:eastAsia="en-GB"/>
        </w:rPr>
      </w:pPr>
      <w:r w:rsidRPr="009A2828">
        <w:rPr>
          <w:rFonts w:ascii="Arial" w:eastAsia="Times New Roman" w:hAnsi="Arial" w:cs="Arial"/>
          <w:color w:val="0070C0"/>
          <w:sz w:val="22"/>
          <w:szCs w:val="22"/>
          <w:lang w:eastAsia="en-GB"/>
        </w:rPr>
        <w:t>We</w:t>
      </w:r>
      <w:r w:rsidR="00324DDB" w:rsidRPr="009A2828">
        <w:rPr>
          <w:rFonts w:ascii="Arial" w:eastAsia="Times New Roman" w:hAnsi="Arial" w:cs="Arial"/>
          <w:color w:val="0070C0"/>
          <w:sz w:val="22"/>
          <w:szCs w:val="22"/>
          <w:lang w:eastAsia="en-GB"/>
        </w:rPr>
        <w:t xml:space="preserve"> include</w:t>
      </w:r>
      <w:r w:rsidRPr="009A2828">
        <w:rPr>
          <w:rFonts w:ascii="Arial" w:eastAsia="Times New Roman" w:hAnsi="Arial" w:cs="Arial"/>
          <w:color w:val="0070C0"/>
          <w:sz w:val="22"/>
          <w:szCs w:val="22"/>
          <w:lang w:eastAsia="en-GB"/>
        </w:rPr>
        <w:t xml:space="preserve"> time-series plots of the dummies, along with lending growth plots in Appendix A.7 and A.8, Figures A3 to A6. </w:t>
      </w:r>
    </w:p>
    <w:p w14:paraId="68A2E06F" w14:textId="5B6F0306" w:rsidR="00645CF1" w:rsidRPr="009A2828" w:rsidRDefault="00645CF1" w:rsidP="002473D0">
      <w:pPr>
        <w:jc w:val="both"/>
        <w:rPr>
          <w:rFonts w:ascii="Arial" w:hAnsi="Arial" w:cs="Arial"/>
          <w:color w:val="212121"/>
          <w:sz w:val="20"/>
          <w:szCs w:val="20"/>
          <w:lang w:eastAsia="en-GB"/>
        </w:rPr>
      </w:pPr>
    </w:p>
    <w:p w14:paraId="4B890094" w14:textId="4F2C3081" w:rsidR="00645CF1" w:rsidRPr="00F65465" w:rsidRDefault="00645CF1" w:rsidP="00986CF0">
      <w:pPr>
        <w:jc w:val="both"/>
        <w:rPr>
          <w:rFonts w:ascii="Arial" w:hAnsi="Arial" w:cs="Arial"/>
          <w:b/>
          <w:lang w:eastAsia="en-GB"/>
        </w:rPr>
      </w:pPr>
      <w:r w:rsidRPr="00F65465">
        <w:rPr>
          <w:rFonts w:ascii="Arial" w:hAnsi="Arial" w:cs="Arial"/>
          <w:b/>
          <w:lang w:eastAsia="en-GB"/>
        </w:rPr>
        <w:t>In the results/discussion section, </w:t>
      </w:r>
    </w:p>
    <w:p w14:paraId="6D4D9B1A" w14:textId="77777777" w:rsidR="00F65465" w:rsidRPr="009A2828" w:rsidRDefault="00F65465" w:rsidP="00986CF0">
      <w:pPr>
        <w:jc w:val="both"/>
        <w:rPr>
          <w:rFonts w:ascii="Arial" w:hAnsi="Arial" w:cs="Arial"/>
          <w:color w:val="212121"/>
          <w:sz w:val="20"/>
          <w:szCs w:val="20"/>
          <w:lang w:eastAsia="en-GB"/>
        </w:rPr>
      </w:pPr>
    </w:p>
    <w:p w14:paraId="61E80A13" w14:textId="4CD3E5C7" w:rsidR="00645CF1" w:rsidRDefault="00F65465" w:rsidP="00986CF0">
      <w:pPr>
        <w:ind w:left="720" w:right="940"/>
        <w:jc w:val="both"/>
        <w:rPr>
          <w:rFonts w:ascii="Arial" w:eastAsia="Times New Roman" w:hAnsi="Arial" w:cs="Arial"/>
          <w:i/>
          <w:color w:val="212121"/>
          <w:sz w:val="22"/>
          <w:szCs w:val="22"/>
          <w:lang w:eastAsia="en-GB"/>
        </w:rPr>
      </w:pPr>
      <w:r>
        <w:rPr>
          <w:rFonts w:ascii="Arial" w:eastAsia="Times New Roman" w:hAnsi="Arial" w:cs="Arial"/>
          <w:i/>
          <w:color w:val="212121"/>
          <w:sz w:val="22"/>
          <w:szCs w:val="22"/>
          <w:lang w:eastAsia="en-GB"/>
        </w:rPr>
        <w:t>“</w:t>
      </w:r>
      <w:r w:rsidR="00645CF1" w:rsidRPr="009A2828">
        <w:rPr>
          <w:rFonts w:ascii="Arial" w:eastAsia="Times New Roman" w:hAnsi="Arial" w:cs="Arial"/>
          <w:i/>
          <w:color w:val="212121"/>
          <w:sz w:val="22"/>
          <w:szCs w:val="22"/>
          <w:lang w:eastAsia="en-GB"/>
        </w:rPr>
        <w:t>I am unsure about the interpretation of coefficients: given the dep var is expressed in log difference (growth rate), then a coeff = 0.51 indicates that the dep variable is on average 51% higher when regulation is stricter.</w:t>
      </w:r>
      <w:r>
        <w:rPr>
          <w:rFonts w:ascii="Arial" w:eastAsia="Times New Roman" w:hAnsi="Arial" w:cs="Arial"/>
          <w:i/>
          <w:color w:val="212121"/>
          <w:sz w:val="22"/>
          <w:szCs w:val="22"/>
          <w:lang w:eastAsia="en-GB"/>
        </w:rPr>
        <w:t>”</w:t>
      </w:r>
    </w:p>
    <w:p w14:paraId="251F7B3B" w14:textId="77777777" w:rsidR="00CA36D2" w:rsidRDefault="00CA36D2" w:rsidP="00986CF0">
      <w:pPr>
        <w:jc w:val="both"/>
        <w:rPr>
          <w:rFonts w:ascii="Arial" w:eastAsia="Times New Roman" w:hAnsi="Arial" w:cs="Arial"/>
          <w:color w:val="212121"/>
          <w:sz w:val="22"/>
          <w:szCs w:val="22"/>
          <w:lang w:eastAsia="en-GB"/>
        </w:rPr>
      </w:pPr>
    </w:p>
    <w:p w14:paraId="0E531B20" w14:textId="2ECDEE9D" w:rsidR="009A2828" w:rsidRPr="00CA36D2" w:rsidRDefault="002473D0" w:rsidP="00986CF0">
      <w:pPr>
        <w:jc w:val="both"/>
        <w:rPr>
          <w:rFonts w:ascii="Arial" w:eastAsia="Times New Roman" w:hAnsi="Arial" w:cs="Arial"/>
          <w:color w:val="0070C0"/>
          <w:sz w:val="22"/>
          <w:szCs w:val="22"/>
          <w:lang w:eastAsia="en-GB"/>
        </w:rPr>
      </w:pPr>
      <w:r w:rsidRPr="00CA36D2">
        <w:rPr>
          <w:rFonts w:ascii="Arial" w:eastAsia="Times New Roman" w:hAnsi="Arial" w:cs="Arial"/>
          <w:color w:val="0070C0"/>
          <w:sz w:val="22"/>
          <w:szCs w:val="22"/>
          <w:lang w:eastAsia="en-GB"/>
        </w:rPr>
        <w:t xml:space="preserve">We </w:t>
      </w:r>
      <w:r w:rsidR="00CA36D2">
        <w:rPr>
          <w:rFonts w:ascii="Arial" w:eastAsia="Times New Roman" w:hAnsi="Arial" w:cs="Arial"/>
          <w:color w:val="0070C0"/>
          <w:sz w:val="22"/>
          <w:szCs w:val="22"/>
          <w:lang w:eastAsia="en-GB"/>
        </w:rPr>
        <w:t>erred in not noting that the log differences were multiplied by 100, resulting in a value of 0.51 referring to 0.51%. We have clarified this in Section 4.3.</w:t>
      </w:r>
    </w:p>
    <w:p w14:paraId="4AF05089" w14:textId="77777777" w:rsidR="009A2828" w:rsidRPr="009A2828" w:rsidRDefault="009A2828" w:rsidP="00986CF0">
      <w:pPr>
        <w:jc w:val="both"/>
        <w:rPr>
          <w:rFonts w:ascii="Arial" w:eastAsia="Times New Roman" w:hAnsi="Arial" w:cs="Arial"/>
          <w:color w:val="212121"/>
          <w:sz w:val="20"/>
          <w:szCs w:val="20"/>
          <w:lang w:eastAsia="en-GB"/>
        </w:rPr>
      </w:pPr>
    </w:p>
    <w:p w14:paraId="6D589AF6" w14:textId="28980915" w:rsidR="00645CF1" w:rsidRPr="002473D0" w:rsidRDefault="00F65465" w:rsidP="002473D0">
      <w:pPr>
        <w:ind w:left="720" w:right="940"/>
        <w:jc w:val="both"/>
        <w:rPr>
          <w:rFonts w:ascii="Arial" w:eastAsia="Times New Roman" w:hAnsi="Arial" w:cs="Arial"/>
          <w:color w:val="212121"/>
          <w:sz w:val="20"/>
          <w:szCs w:val="20"/>
          <w:lang w:eastAsia="en-GB"/>
        </w:rPr>
      </w:pPr>
      <w:r>
        <w:rPr>
          <w:rFonts w:ascii="Arial" w:eastAsia="Times New Roman" w:hAnsi="Arial" w:cs="Arial"/>
          <w:color w:val="212121"/>
          <w:sz w:val="22"/>
          <w:szCs w:val="22"/>
          <w:lang w:eastAsia="en-GB"/>
        </w:rPr>
        <w:t>“</w:t>
      </w:r>
      <w:r w:rsidR="00645CF1" w:rsidRPr="00F65465">
        <w:rPr>
          <w:rFonts w:ascii="Arial" w:eastAsia="Times New Roman" w:hAnsi="Arial" w:cs="Arial"/>
          <w:i/>
          <w:color w:val="212121"/>
          <w:sz w:val="22"/>
          <w:szCs w:val="22"/>
          <w:lang w:eastAsia="en-GB"/>
        </w:rPr>
        <w:t>I would suggest acknowledging the data limitations. (i) Results are limited on bank lending, not total lending. Therefore, the finding that inclusion-related reforms are instead exclusionary only refers to bank lending (NBFIs have been growing in SA but they are not captured by the model). (ii) Data is limited to some type of loans and borrowers, but financial inclusion also refers to marginal borrowers, which are not captured here</w:t>
      </w:r>
      <w:r w:rsidR="00645CF1" w:rsidRPr="009A2828">
        <w:rPr>
          <w:rFonts w:ascii="Arial" w:eastAsia="Times New Roman" w:hAnsi="Arial" w:cs="Arial"/>
          <w:color w:val="212121"/>
          <w:sz w:val="22"/>
          <w:szCs w:val="22"/>
          <w:lang w:eastAsia="en-GB"/>
        </w:rPr>
        <w:t>.</w:t>
      </w:r>
      <w:r>
        <w:rPr>
          <w:rFonts w:ascii="Arial" w:eastAsia="Times New Roman" w:hAnsi="Arial" w:cs="Arial"/>
          <w:color w:val="212121"/>
          <w:sz w:val="22"/>
          <w:szCs w:val="22"/>
          <w:lang w:eastAsia="en-GB"/>
        </w:rPr>
        <w:t>”</w:t>
      </w:r>
    </w:p>
    <w:p w14:paraId="412A3C26" w14:textId="77777777" w:rsidR="002473D0" w:rsidRDefault="002473D0" w:rsidP="00986CF0">
      <w:pPr>
        <w:jc w:val="both"/>
        <w:rPr>
          <w:rFonts w:ascii="Arial" w:hAnsi="Arial" w:cs="Arial"/>
        </w:rPr>
      </w:pPr>
    </w:p>
    <w:p w14:paraId="7B3DD051" w14:textId="3243B211" w:rsidR="00B52B16" w:rsidRPr="00CA36D2" w:rsidRDefault="007B603D" w:rsidP="00986CF0">
      <w:pPr>
        <w:jc w:val="both"/>
        <w:rPr>
          <w:rFonts w:ascii="Arial" w:eastAsia="Times New Roman" w:hAnsi="Arial" w:cs="Arial"/>
          <w:color w:val="0070C0"/>
          <w:sz w:val="22"/>
          <w:szCs w:val="22"/>
          <w:lang w:eastAsia="en-GB"/>
        </w:rPr>
      </w:pPr>
      <w:r w:rsidRPr="00CA36D2">
        <w:rPr>
          <w:rFonts w:ascii="Arial" w:eastAsia="Times New Roman" w:hAnsi="Arial" w:cs="Arial"/>
          <w:color w:val="0070C0"/>
          <w:sz w:val="22"/>
          <w:szCs w:val="22"/>
          <w:lang w:eastAsia="en-GB"/>
        </w:rPr>
        <w:t>Agreed</w:t>
      </w:r>
      <w:r w:rsidR="002473D0" w:rsidRPr="00CA36D2">
        <w:rPr>
          <w:rFonts w:ascii="Arial" w:eastAsia="Times New Roman" w:hAnsi="Arial" w:cs="Arial"/>
          <w:color w:val="0070C0"/>
          <w:sz w:val="22"/>
          <w:szCs w:val="22"/>
          <w:lang w:eastAsia="en-GB"/>
        </w:rPr>
        <w:t xml:space="preserve">. </w:t>
      </w:r>
      <w:r w:rsidR="00CA36D2" w:rsidRPr="00CA36D2">
        <w:rPr>
          <w:rFonts w:ascii="Arial" w:eastAsia="Times New Roman" w:hAnsi="Arial" w:cs="Arial"/>
          <w:color w:val="0070C0"/>
          <w:sz w:val="22"/>
          <w:szCs w:val="22"/>
          <w:lang w:eastAsia="en-GB"/>
        </w:rPr>
        <w:t xml:space="preserve">It would certainly be ideal to be able to </w:t>
      </w:r>
      <w:r w:rsidRPr="00CA36D2">
        <w:rPr>
          <w:rFonts w:ascii="Arial" w:eastAsia="Times New Roman" w:hAnsi="Arial" w:cs="Arial"/>
          <w:color w:val="0070C0"/>
          <w:sz w:val="22"/>
          <w:szCs w:val="22"/>
          <w:lang w:eastAsia="en-GB"/>
        </w:rPr>
        <w:t xml:space="preserve">isolate marginal </w:t>
      </w:r>
      <w:r w:rsidR="00CA36D2" w:rsidRPr="00CA36D2">
        <w:rPr>
          <w:rFonts w:ascii="Arial" w:eastAsia="Times New Roman" w:hAnsi="Arial" w:cs="Arial"/>
          <w:color w:val="0070C0"/>
          <w:sz w:val="22"/>
          <w:szCs w:val="22"/>
          <w:lang w:eastAsia="en-GB"/>
        </w:rPr>
        <w:t>borrowers;</w:t>
      </w:r>
      <w:r w:rsidRPr="00CA36D2">
        <w:rPr>
          <w:rFonts w:ascii="Arial" w:eastAsia="Times New Roman" w:hAnsi="Arial" w:cs="Arial"/>
          <w:color w:val="0070C0"/>
          <w:sz w:val="22"/>
          <w:szCs w:val="22"/>
          <w:lang w:eastAsia="en-GB"/>
        </w:rPr>
        <w:t xml:space="preserve"> </w:t>
      </w:r>
      <w:r w:rsidR="00CA36D2" w:rsidRPr="00CA36D2">
        <w:rPr>
          <w:rFonts w:ascii="Arial" w:eastAsia="Times New Roman" w:hAnsi="Arial" w:cs="Arial"/>
          <w:color w:val="0070C0"/>
          <w:sz w:val="22"/>
          <w:szCs w:val="22"/>
          <w:lang w:eastAsia="en-GB"/>
        </w:rPr>
        <w:t xml:space="preserve">however, </w:t>
      </w:r>
      <w:r w:rsidRPr="00CA36D2">
        <w:rPr>
          <w:rFonts w:ascii="Arial" w:eastAsia="Times New Roman" w:hAnsi="Arial" w:cs="Arial"/>
          <w:color w:val="0070C0"/>
          <w:sz w:val="22"/>
          <w:szCs w:val="22"/>
          <w:lang w:eastAsia="en-GB"/>
        </w:rPr>
        <w:t>it is likely that these borrowers are captured in the dataset</w:t>
      </w:r>
      <w:r w:rsidR="00CA36D2" w:rsidRPr="00CA36D2">
        <w:rPr>
          <w:rFonts w:ascii="Arial" w:eastAsia="Times New Roman" w:hAnsi="Arial" w:cs="Arial"/>
          <w:color w:val="0070C0"/>
          <w:sz w:val="22"/>
          <w:szCs w:val="22"/>
          <w:lang w:eastAsia="en-GB"/>
        </w:rPr>
        <w:t xml:space="preserve"> albeit as part of a larger pool of borrowers. We have up</w:t>
      </w:r>
      <w:r w:rsidR="00CA36D2">
        <w:rPr>
          <w:rFonts w:ascii="Arial" w:eastAsia="Times New Roman" w:hAnsi="Arial" w:cs="Arial"/>
          <w:color w:val="0070C0"/>
          <w:sz w:val="22"/>
          <w:szCs w:val="22"/>
          <w:lang w:eastAsia="en-GB"/>
        </w:rPr>
        <w:t>dated the draft to reflect the</w:t>
      </w:r>
      <w:r w:rsidR="00C530E0">
        <w:rPr>
          <w:rFonts w:ascii="Arial" w:eastAsia="Times New Roman" w:hAnsi="Arial" w:cs="Arial"/>
          <w:color w:val="0070C0"/>
          <w:sz w:val="22"/>
          <w:szCs w:val="22"/>
          <w:lang w:eastAsia="en-GB"/>
        </w:rPr>
        <w:t xml:space="preserve"> salient points</w:t>
      </w:r>
      <w:r w:rsidR="00CA36D2" w:rsidRPr="00CA36D2">
        <w:rPr>
          <w:rFonts w:ascii="Arial" w:eastAsia="Times New Roman" w:hAnsi="Arial" w:cs="Arial"/>
          <w:color w:val="0070C0"/>
          <w:sz w:val="22"/>
          <w:szCs w:val="22"/>
          <w:lang w:eastAsia="en-GB"/>
        </w:rPr>
        <w:t xml:space="preserve"> relating to the limitations of our interpretation.</w:t>
      </w:r>
      <w:r w:rsidR="00CA36D2">
        <w:rPr>
          <w:rFonts w:ascii="Arial" w:eastAsia="Times New Roman" w:hAnsi="Arial" w:cs="Arial"/>
          <w:color w:val="0070C0"/>
          <w:sz w:val="22"/>
          <w:szCs w:val="22"/>
          <w:lang w:eastAsia="en-GB"/>
        </w:rPr>
        <w:t xml:space="preserve"> Please refer to </w:t>
      </w:r>
      <w:r w:rsidR="00C530E0">
        <w:rPr>
          <w:rFonts w:ascii="Arial" w:eastAsia="Times New Roman" w:hAnsi="Arial" w:cs="Arial"/>
          <w:color w:val="0070C0"/>
          <w:sz w:val="22"/>
          <w:szCs w:val="22"/>
          <w:lang w:eastAsia="en-GB"/>
        </w:rPr>
        <w:t>a footnote in the introduction.</w:t>
      </w:r>
    </w:p>
    <w:sectPr w:rsidR="00B52B16" w:rsidRPr="00CA36D2" w:rsidSect="006D7A3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F6C14" w14:textId="77777777" w:rsidR="00607959" w:rsidRDefault="00607959" w:rsidP="00C2442B">
      <w:r>
        <w:separator/>
      </w:r>
    </w:p>
  </w:endnote>
  <w:endnote w:type="continuationSeparator" w:id="0">
    <w:p w14:paraId="71786165" w14:textId="77777777" w:rsidR="00607959" w:rsidRDefault="00607959" w:rsidP="00C24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44397" w14:textId="77777777" w:rsidR="00607959" w:rsidRDefault="00607959" w:rsidP="00C2442B">
      <w:r>
        <w:separator/>
      </w:r>
    </w:p>
  </w:footnote>
  <w:footnote w:type="continuationSeparator" w:id="0">
    <w:p w14:paraId="13C6E377" w14:textId="77777777" w:rsidR="00607959" w:rsidRDefault="00607959" w:rsidP="00C2442B">
      <w:r>
        <w:continuationSeparator/>
      </w:r>
    </w:p>
  </w:footnote>
  <w:footnote w:id="1">
    <w:p w14:paraId="53033E54" w14:textId="5ADF89A8" w:rsidR="00E96DC8" w:rsidRPr="00C530E0" w:rsidRDefault="00E96DC8">
      <w:pPr>
        <w:pStyle w:val="FootnoteText"/>
        <w:rPr>
          <w:rFonts w:ascii="Arial" w:hAnsi="Arial" w:cs="Arial"/>
          <w:color w:val="0070C0"/>
          <w:lang w:val="en-ZA"/>
        </w:rPr>
      </w:pPr>
      <w:r w:rsidRPr="00C530E0">
        <w:rPr>
          <w:rStyle w:val="FootnoteReference"/>
          <w:rFonts w:ascii="Arial" w:hAnsi="Arial" w:cs="Arial"/>
          <w:color w:val="0070C0"/>
        </w:rPr>
        <w:footnoteRef/>
      </w:r>
      <w:r w:rsidRPr="00C530E0">
        <w:rPr>
          <w:rFonts w:ascii="Arial" w:hAnsi="Arial" w:cs="Arial"/>
          <w:color w:val="0070C0"/>
        </w:rPr>
        <w:t xml:space="preserve"> </w:t>
      </w:r>
      <w:r w:rsidRPr="00C530E0">
        <w:rPr>
          <w:rFonts w:ascii="Arial" w:hAnsi="Arial" w:cs="Arial"/>
          <w:color w:val="0070C0"/>
          <w:lang w:val="en-ZA"/>
        </w:rPr>
        <w:t xml:space="preserve">See also </w:t>
      </w:r>
      <w:r w:rsidR="009E7454" w:rsidRPr="00C530E0">
        <w:rPr>
          <w:rFonts w:ascii="Arial" w:hAnsi="Arial" w:cs="Arial"/>
          <w:color w:val="0070C0"/>
        </w:rPr>
        <w:t>Coman, A. and Lloyd, S.P., 2022. In the face of spillovers: Prudential policies in emerging economies. </w:t>
      </w:r>
      <w:r w:rsidR="009E7454" w:rsidRPr="00C530E0">
        <w:rPr>
          <w:rFonts w:ascii="Arial" w:hAnsi="Arial" w:cs="Arial"/>
          <w:i/>
          <w:iCs/>
          <w:color w:val="0070C0"/>
        </w:rPr>
        <w:t>Journal of International Money and Finance</w:t>
      </w:r>
      <w:r w:rsidR="009E7454" w:rsidRPr="00C530E0">
        <w:rPr>
          <w:rFonts w:ascii="Arial" w:hAnsi="Arial" w:cs="Arial"/>
          <w:color w:val="0070C0"/>
        </w:rPr>
        <w:t>, </w:t>
      </w:r>
      <w:r w:rsidR="009E7454" w:rsidRPr="00C530E0">
        <w:rPr>
          <w:rFonts w:ascii="Arial" w:hAnsi="Arial" w:cs="Arial"/>
          <w:i/>
          <w:iCs/>
          <w:color w:val="0070C0"/>
        </w:rPr>
        <w:t>122</w:t>
      </w:r>
      <w:r w:rsidR="009E7454" w:rsidRPr="00C530E0">
        <w:rPr>
          <w:rFonts w:ascii="Arial" w:hAnsi="Arial" w:cs="Arial"/>
          <w:color w:val="0070C0"/>
        </w:rPr>
        <w:t>, p.102554.</w:t>
      </w:r>
    </w:p>
  </w:footnote>
  <w:footnote w:id="2">
    <w:p w14:paraId="486AE9A7" w14:textId="539FF9C0" w:rsidR="00313507" w:rsidRPr="00C530E0" w:rsidRDefault="00313507">
      <w:pPr>
        <w:pStyle w:val="FootnoteText"/>
        <w:rPr>
          <w:rFonts w:ascii="Arial" w:hAnsi="Arial" w:cs="Arial"/>
          <w:color w:val="0070C0"/>
          <w:lang w:val="en-ZA"/>
        </w:rPr>
      </w:pPr>
      <w:r w:rsidRPr="00C530E0">
        <w:rPr>
          <w:rStyle w:val="FootnoteReference"/>
          <w:rFonts w:ascii="Arial" w:hAnsi="Arial" w:cs="Arial"/>
          <w:color w:val="0070C0"/>
        </w:rPr>
        <w:footnoteRef/>
      </w:r>
      <w:r w:rsidRPr="00C530E0">
        <w:rPr>
          <w:rFonts w:ascii="Arial" w:hAnsi="Arial" w:cs="Arial"/>
          <w:color w:val="0070C0"/>
        </w:rPr>
        <w:t xml:space="preserve"> </w:t>
      </w:r>
      <w:r w:rsidRPr="00C530E0">
        <w:rPr>
          <w:rFonts w:ascii="Arial" w:hAnsi="Arial" w:cs="Arial"/>
          <w:color w:val="0070C0"/>
          <w:lang w:val="en-ZA"/>
        </w:rPr>
        <w:t>See Mirzaei, A. and Samet, A., 2022. Effectiveness of macroprudential policies: Do stringent bank regulation and supervision matter?. International Review of Economics &amp; Finance, 80, pp.342-360.</w:t>
      </w:r>
    </w:p>
  </w:footnote>
  <w:footnote w:id="3">
    <w:p w14:paraId="0976CFD4" w14:textId="0B690CCD" w:rsidR="009E7454" w:rsidRPr="00C530E0" w:rsidRDefault="009E7454">
      <w:pPr>
        <w:pStyle w:val="FootnoteText"/>
        <w:rPr>
          <w:rFonts w:ascii="Arial" w:hAnsi="Arial" w:cs="Arial"/>
          <w:color w:val="0070C0"/>
          <w:lang w:val="en-ZA"/>
        </w:rPr>
      </w:pPr>
      <w:r w:rsidRPr="00C530E0">
        <w:rPr>
          <w:rStyle w:val="FootnoteReference"/>
          <w:rFonts w:ascii="Arial" w:hAnsi="Arial" w:cs="Arial"/>
          <w:color w:val="0070C0"/>
        </w:rPr>
        <w:footnoteRef/>
      </w:r>
      <w:r w:rsidRPr="00C530E0">
        <w:rPr>
          <w:rFonts w:ascii="Arial" w:hAnsi="Arial" w:cs="Arial"/>
          <w:color w:val="0070C0"/>
        </w:rPr>
        <w:t xml:space="preserve"> Fernandez-Gallardo, A., 2023. Preventing financial disasters: Macroprudential policy and financial crises. </w:t>
      </w:r>
      <w:r w:rsidRPr="00C530E0">
        <w:rPr>
          <w:rFonts w:ascii="Arial" w:hAnsi="Arial" w:cs="Arial"/>
          <w:i/>
          <w:iCs/>
          <w:color w:val="0070C0"/>
        </w:rPr>
        <w:t>European Economic Review</w:t>
      </w:r>
      <w:r w:rsidRPr="00C530E0">
        <w:rPr>
          <w:rFonts w:ascii="Arial" w:hAnsi="Arial" w:cs="Arial"/>
          <w:color w:val="0070C0"/>
        </w:rPr>
        <w:t>, </w:t>
      </w:r>
      <w:r w:rsidRPr="00C530E0">
        <w:rPr>
          <w:rFonts w:ascii="Arial" w:hAnsi="Arial" w:cs="Arial"/>
          <w:i/>
          <w:iCs/>
          <w:color w:val="0070C0"/>
        </w:rPr>
        <w:t>151</w:t>
      </w:r>
      <w:r w:rsidRPr="00C530E0">
        <w:rPr>
          <w:rFonts w:ascii="Arial" w:hAnsi="Arial" w:cs="Arial"/>
          <w:color w:val="0070C0"/>
        </w:rPr>
        <w:t>, p.104350.</w:t>
      </w:r>
    </w:p>
  </w:footnote>
  <w:footnote w:id="4">
    <w:p w14:paraId="5874F920" w14:textId="27F8BA9B" w:rsidR="009E7454" w:rsidRPr="00C530E0" w:rsidRDefault="009E7454" w:rsidP="009E7454">
      <w:pPr>
        <w:pStyle w:val="FootnoteText"/>
        <w:rPr>
          <w:rFonts w:ascii="Arial" w:hAnsi="Arial" w:cs="Arial"/>
          <w:color w:val="0070C0"/>
          <w:lang w:val="en-ZA"/>
        </w:rPr>
      </w:pPr>
      <w:r w:rsidRPr="00C530E0">
        <w:rPr>
          <w:rStyle w:val="FootnoteReference"/>
          <w:rFonts w:ascii="Arial" w:hAnsi="Arial" w:cs="Arial"/>
          <w:color w:val="0070C0"/>
        </w:rPr>
        <w:footnoteRef/>
      </w:r>
      <w:r w:rsidRPr="00C530E0">
        <w:rPr>
          <w:rFonts w:ascii="Arial" w:hAnsi="Arial" w:cs="Arial"/>
          <w:color w:val="0070C0"/>
        </w:rPr>
        <w:t xml:space="preserve"> </w:t>
      </w:r>
      <w:r w:rsidRPr="00C530E0">
        <w:rPr>
          <w:rFonts w:ascii="Arial" w:hAnsi="Arial" w:cs="Arial"/>
          <w:color w:val="0070C0"/>
          <w:lang w:val="en-ZA"/>
        </w:rPr>
        <w:t>The set macroprudential policy tools or instruments include capital buffers, lending standards</w:t>
      </w:r>
      <w:r w:rsidR="00614620" w:rsidRPr="00C530E0">
        <w:rPr>
          <w:rFonts w:ascii="Arial" w:hAnsi="Arial" w:cs="Arial"/>
          <w:color w:val="0070C0"/>
          <w:lang w:val="en-ZA"/>
        </w:rPr>
        <w:t>,</w:t>
      </w:r>
      <w:r w:rsidRPr="00C530E0">
        <w:rPr>
          <w:rFonts w:ascii="Arial" w:hAnsi="Arial" w:cs="Arial"/>
          <w:color w:val="0070C0"/>
          <w:lang w:val="en-ZA"/>
        </w:rPr>
        <w:t xml:space="preserve"> limits on credit growth, exposure limits, liquidity rules, loan loss provisions, minimum capital requirements,</w:t>
      </w:r>
    </w:p>
    <w:p w14:paraId="51650613" w14:textId="0919E9BA" w:rsidR="009E7454" w:rsidRPr="009E7454" w:rsidRDefault="009E7454" w:rsidP="009E7454">
      <w:pPr>
        <w:pStyle w:val="FootnoteText"/>
        <w:rPr>
          <w:lang w:val="en-ZA"/>
        </w:rPr>
      </w:pPr>
      <w:r w:rsidRPr="00C530E0">
        <w:rPr>
          <w:rFonts w:ascii="Arial" w:hAnsi="Arial" w:cs="Arial"/>
          <w:color w:val="0070C0"/>
          <w:lang w:val="en-ZA"/>
        </w:rPr>
        <w:t>risk weights and leverage ratio, among others.</w:t>
      </w:r>
    </w:p>
  </w:footnote>
  <w:footnote w:id="5">
    <w:p w14:paraId="68734271" w14:textId="526FEFA0" w:rsidR="00C2442B" w:rsidRPr="00C530E0" w:rsidRDefault="00C2442B">
      <w:pPr>
        <w:pStyle w:val="FootnoteText"/>
        <w:rPr>
          <w:rFonts w:ascii="Arial" w:hAnsi="Arial" w:cs="Arial"/>
          <w:color w:val="0070C0"/>
          <w:lang w:val="en-ZA"/>
        </w:rPr>
      </w:pPr>
      <w:r w:rsidRPr="00C530E0">
        <w:rPr>
          <w:rStyle w:val="FootnoteReference"/>
          <w:rFonts w:ascii="Arial" w:hAnsi="Arial" w:cs="Arial"/>
          <w:color w:val="0070C0"/>
        </w:rPr>
        <w:footnoteRef/>
      </w:r>
      <w:r w:rsidRPr="00C530E0">
        <w:rPr>
          <w:rFonts w:ascii="Arial" w:hAnsi="Arial" w:cs="Arial"/>
          <w:color w:val="0070C0"/>
        </w:rPr>
        <w:t xml:space="preserve"> Mertens, K. and Ravn, M.O., 2012. Empirical evidence on the aggregate effects of anticipated and unanticipated US tax policy shocks. </w:t>
      </w:r>
      <w:r w:rsidRPr="00C530E0">
        <w:rPr>
          <w:rFonts w:ascii="Arial" w:hAnsi="Arial" w:cs="Arial"/>
          <w:i/>
          <w:iCs/>
          <w:color w:val="0070C0"/>
        </w:rPr>
        <w:t>American Economic Journal: Economic Policy</w:t>
      </w:r>
      <w:r w:rsidRPr="00C530E0">
        <w:rPr>
          <w:rFonts w:ascii="Arial" w:hAnsi="Arial" w:cs="Arial"/>
          <w:color w:val="0070C0"/>
        </w:rPr>
        <w:t>, </w:t>
      </w:r>
      <w:r w:rsidRPr="00C530E0">
        <w:rPr>
          <w:rFonts w:ascii="Arial" w:hAnsi="Arial" w:cs="Arial"/>
          <w:i/>
          <w:iCs/>
          <w:color w:val="0070C0"/>
        </w:rPr>
        <w:t>4</w:t>
      </w:r>
      <w:r w:rsidRPr="00C530E0">
        <w:rPr>
          <w:rFonts w:ascii="Arial" w:hAnsi="Arial" w:cs="Arial"/>
          <w:color w:val="0070C0"/>
        </w:rPr>
        <w:t>(2), pp.145-181.</w:t>
      </w:r>
    </w:p>
  </w:footnote>
  <w:footnote w:id="6">
    <w:p w14:paraId="0040303F" w14:textId="4A53F9CA" w:rsidR="00C2442B" w:rsidRPr="00C530E0" w:rsidRDefault="00C2442B">
      <w:pPr>
        <w:pStyle w:val="FootnoteText"/>
        <w:rPr>
          <w:rFonts w:ascii="Arial" w:hAnsi="Arial" w:cs="Arial"/>
          <w:color w:val="0070C0"/>
          <w:lang w:val="en-ZA"/>
        </w:rPr>
      </w:pPr>
      <w:r w:rsidRPr="00C530E0">
        <w:rPr>
          <w:rStyle w:val="FootnoteReference"/>
          <w:rFonts w:ascii="Arial" w:hAnsi="Arial" w:cs="Arial"/>
          <w:color w:val="0070C0"/>
        </w:rPr>
        <w:footnoteRef/>
      </w:r>
      <w:r w:rsidRPr="00C530E0">
        <w:rPr>
          <w:rFonts w:ascii="Arial" w:hAnsi="Arial" w:cs="Arial"/>
          <w:color w:val="0070C0"/>
        </w:rPr>
        <w:t xml:space="preserve"> Fang, X., Jutrsa, D., Peria, S.M., Presbitero, A.F. and Ratnovski, L., 2022. Bank capital requirements and lending in emerging markets: The role of bank characteristics and economic conditions. </w:t>
      </w:r>
      <w:r w:rsidRPr="00C530E0">
        <w:rPr>
          <w:rFonts w:ascii="Arial" w:hAnsi="Arial" w:cs="Arial"/>
          <w:i/>
          <w:iCs/>
          <w:color w:val="0070C0"/>
        </w:rPr>
        <w:t>Journal of Banking &amp; Finance</w:t>
      </w:r>
      <w:r w:rsidRPr="00C530E0">
        <w:rPr>
          <w:rFonts w:ascii="Arial" w:hAnsi="Arial" w:cs="Arial"/>
          <w:color w:val="0070C0"/>
        </w:rPr>
        <w:t>, </w:t>
      </w:r>
      <w:r w:rsidRPr="00C530E0">
        <w:rPr>
          <w:rFonts w:ascii="Arial" w:hAnsi="Arial" w:cs="Arial"/>
          <w:i/>
          <w:iCs/>
          <w:color w:val="0070C0"/>
        </w:rPr>
        <w:t>135</w:t>
      </w:r>
      <w:r w:rsidRPr="00C530E0">
        <w:rPr>
          <w:rFonts w:ascii="Arial" w:hAnsi="Arial" w:cs="Arial"/>
          <w:color w:val="0070C0"/>
        </w:rPr>
        <w:t>, p.105806.</w:t>
      </w:r>
    </w:p>
  </w:footnote>
  <w:footnote w:id="7">
    <w:p w14:paraId="1E94814E" w14:textId="2BA49135" w:rsidR="009711D9" w:rsidRPr="00C530E0" w:rsidRDefault="009711D9">
      <w:pPr>
        <w:pStyle w:val="FootnoteText"/>
        <w:rPr>
          <w:rFonts w:ascii="Arial" w:hAnsi="Arial" w:cs="Arial"/>
          <w:color w:val="0070C0"/>
          <w:lang w:val="en-ZA"/>
        </w:rPr>
      </w:pPr>
      <w:r w:rsidRPr="00C530E0">
        <w:rPr>
          <w:rStyle w:val="FootnoteReference"/>
          <w:rFonts w:ascii="Arial" w:hAnsi="Arial" w:cs="Arial"/>
          <w:color w:val="0070C0"/>
        </w:rPr>
        <w:footnoteRef/>
      </w:r>
      <w:r w:rsidRPr="00C530E0">
        <w:rPr>
          <w:rFonts w:ascii="Arial" w:hAnsi="Arial" w:cs="Arial"/>
          <w:color w:val="0070C0"/>
        </w:rPr>
        <w:t xml:space="preserve"> Mokas, D. and Giuliodori, M., 2023. Effects of LTV announcements in EU economies. </w:t>
      </w:r>
      <w:r w:rsidRPr="00C530E0">
        <w:rPr>
          <w:rFonts w:ascii="Arial" w:hAnsi="Arial" w:cs="Arial"/>
          <w:i/>
          <w:iCs/>
          <w:color w:val="0070C0"/>
        </w:rPr>
        <w:t>Journal of International Money and Finance</w:t>
      </w:r>
      <w:r w:rsidRPr="00C530E0">
        <w:rPr>
          <w:rFonts w:ascii="Arial" w:hAnsi="Arial" w:cs="Arial"/>
          <w:color w:val="0070C0"/>
        </w:rPr>
        <w:t>, </w:t>
      </w:r>
      <w:r w:rsidRPr="00C530E0">
        <w:rPr>
          <w:rFonts w:ascii="Arial" w:hAnsi="Arial" w:cs="Arial"/>
          <w:i/>
          <w:iCs/>
          <w:color w:val="0070C0"/>
        </w:rPr>
        <w:t>133</w:t>
      </w:r>
      <w:r w:rsidRPr="00C530E0">
        <w:rPr>
          <w:rFonts w:ascii="Arial" w:hAnsi="Arial" w:cs="Arial"/>
          <w:color w:val="0070C0"/>
        </w:rPr>
        <w:t>, p.102838.</w:t>
      </w:r>
    </w:p>
  </w:footnote>
  <w:footnote w:id="8">
    <w:p w14:paraId="40BDB4E4" w14:textId="54588818" w:rsidR="009711D9" w:rsidRPr="009711D9" w:rsidRDefault="009711D9">
      <w:pPr>
        <w:pStyle w:val="FootnoteText"/>
        <w:rPr>
          <w:lang w:val="en-ZA"/>
        </w:rPr>
      </w:pPr>
      <w:r w:rsidRPr="00C530E0">
        <w:rPr>
          <w:rStyle w:val="FootnoteReference"/>
          <w:rFonts w:ascii="Arial" w:hAnsi="Arial" w:cs="Arial"/>
          <w:color w:val="0070C0"/>
        </w:rPr>
        <w:footnoteRef/>
      </w:r>
      <w:r w:rsidRPr="00C530E0">
        <w:rPr>
          <w:rFonts w:ascii="Arial" w:hAnsi="Arial" w:cs="Arial"/>
          <w:color w:val="0070C0"/>
        </w:rPr>
        <w:t xml:space="preserve"> Fernández-Gallardo Romero, Á. and Lloyd, S., 2023. The transmission of macroprudential policy in the tails: evidence from a narrative approach.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1AD7"/>
    <w:multiLevelType w:val="multilevel"/>
    <w:tmpl w:val="D11C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B0C3F"/>
    <w:multiLevelType w:val="multilevel"/>
    <w:tmpl w:val="0B1E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F05564"/>
    <w:multiLevelType w:val="multilevel"/>
    <w:tmpl w:val="29F8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CF1"/>
    <w:rsid w:val="00054991"/>
    <w:rsid w:val="00056CB1"/>
    <w:rsid w:val="000D0A0E"/>
    <w:rsid w:val="001124D1"/>
    <w:rsid w:val="001733DE"/>
    <w:rsid w:val="002473D0"/>
    <w:rsid w:val="0026596A"/>
    <w:rsid w:val="002A7EC0"/>
    <w:rsid w:val="002B4523"/>
    <w:rsid w:val="00313507"/>
    <w:rsid w:val="00324DDB"/>
    <w:rsid w:val="00380178"/>
    <w:rsid w:val="003E6816"/>
    <w:rsid w:val="004153B5"/>
    <w:rsid w:val="004C0B38"/>
    <w:rsid w:val="00607959"/>
    <w:rsid w:val="00614620"/>
    <w:rsid w:val="00645CF1"/>
    <w:rsid w:val="006B5388"/>
    <w:rsid w:val="006D06E2"/>
    <w:rsid w:val="006D7A39"/>
    <w:rsid w:val="007B603D"/>
    <w:rsid w:val="007C0AF8"/>
    <w:rsid w:val="007C3686"/>
    <w:rsid w:val="00853BF2"/>
    <w:rsid w:val="0087650B"/>
    <w:rsid w:val="00885947"/>
    <w:rsid w:val="00954E21"/>
    <w:rsid w:val="009711D9"/>
    <w:rsid w:val="00986CF0"/>
    <w:rsid w:val="009A2828"/>
    <w:rsid w:val="009B1BF0"/>
    <w:rsid w:val="009B614A"/>
    <w:rsid w:val="009C182A"/>
    <w:rsid w:val="009E7454"/>
    <w:rsid w:val="00AB0ED9"/>
    <w:rsid w:val="00AE16F3"/>
    <w:rsid w:val="00AF3F4D"/>
    <w:rsid w:val="00B52B16"/>
    <w:rsid w:val="00C2442B"/>
    <w:rsid w:val="00C26F76"/>
    <w:rsid w:val="00C530E0"/>
    <w:rsid w:val="00CA36D2"/>
    <w:rsid w:val="00D4169C"/>
    <w:rsid w:val="00E10A78"/>
    <w:rsid w:val="00E628C8"/>
    <w:rsid w:val="00E96DC8"/>
    <w:rsid w:val="00F319D8"/>
    <w:rsid w:val="00F65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F5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28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5CF1"/>
  </w:style>
  <w:style w:type="paragraph" w:styleId="ListParagraph">
    <w:name w:val="List Paragraph"/>
    <w:basedOn w:val="Normal"/>
    <w:uiPriority w:val="34"/>
    <w:qFormat/>
    <w:rsid w:val="00645CF1"/>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C2442B"/>
    <w:rPr>
      <w:color w:val="0563C1" w:themeColor="hyperlink"/>
      <w:u w:val="single"/>
    </w:rPr>
  </w:style>
  <w:style w:type="character" w:customStyle="1" w:styleId="UnresolvedMention">
    <w:name w:val="Unresolved Mention"/>
    <w:basedOn w:val="DefaultParagraphFont"/>
    <w:uiPriority w:val="99"/>
    <w:rsid w:val="00C2442B"/>
    <w:rPr>
      <w:color w:val="605E5C"/>
      <w:shd w:val="clear" w:color="auto" w:fill="E1DFDD"/>
    </w:rPr>
  </w:style>
  <w:style w:type="paragraph" w:styleId="FootnoteText">
    <w:name w:val="footnote text"/>
    <w:basedOn w:val="Normal"/>
    <w:link w:val="FootnoteTextChar"/>
    <w:uiPriority w:val="99"/>
    <w:unhideWhenUsed/>
    <w:rsid w:val="00C2442B"/>
    <w:rPr>
      <w:sz w:val="20"/>
      <w:szCs w:val="20"/>
    </w:rPr>
  </w:style>
  <w:style w:type="character" w:customStyle="1" w:styleId="FootnoteTextChar">
    <w:name w:val="Footnote Text Char"/>
    <w:basedOn w:val="DefaultParagraphFont"/>
    <w:link w:val="FootnoteText"/>
    <w:uiPriority w:val="99"/>
    <w:rsid w:val="00C2442B"/>
    <w:rPr>
      <w:sz w:val="20"/>
      <w:szCs w:val="20"/>
    </w:rPr>
  </w:style>
  <w:style w:type="character" w:styleId="FootnoteReference">
    <w:name w:val="footnote reference"/>
    <w:basedOn w:val="DefaultParagraphFont"/>
    <w:uiPriority w:val="99"/>
    <w:semiHidden/>
    <w:unhideWhenUsed/>
    <w:rsid w:val="00C2442B"/>
    <w:rPr>
      <w:vertAlign w:val="superscript"/>
    </w:rPr>
  </w:style>
  <w:style w:type="paragraph" w:styleId="EndnoteText">
    <w:name w:val="endnote text"/>
    <w:basedOn w:val="Normal"/>
    <w:link w:val="EndnoteTextChar"/>
    <w:uiPriority w:val="99"/>
    <w:semiHidden/>
    <w:unhideWhenUsed/>
    <w:rsid w:val="00E96DC8"/>
    <w:rPr>
      <w:sz w:val="20"/>
      <w:szCs w:val="20"/>
    </w:rPr>
  </w:style>
  <w:style w:type="character" w:customStyle="1" w:styleId="EndnoteTextChar">
    <w:name w:val="Endnote Text Char"/>
    <w:basedOn w:val="DefaultParagraphFont"/>
    <w:link w:val="EndnoteText"/>
    <w:uiPriority w:val="99"/>
    <w:semiHidden/>
    <w:rsid w:val="00E96DC8"/>
    <w:rPr>
      <w:sz w:val="20"/>
      <w:szCs w:val="20"/>
    </w:rPr>
  </w:style>
  <w:style w:type="character" w:styleId="EndnoteReference">
    <w:name w:val="endnote reference"/>
    <w:basedOn w:val="DefaultParagraphFont"/>
    <w:uiPriority w:val="99"/>
    <w:semiHidden/>
    <w:unhideWhenUsed/>
    <w:rsid w:val="00E96DC8"/>
    <w:rPr>
      <w:vertAlign w:val="superscript"/>
    </w:rPr>
  </w:style>
  <w:style w:type="character" w:customStyle="1" w:styleId="Heading1Char">
    <w:name w:val="Heading 1 Char"/>
    <w:basedOn w:val="DefaultParagraphFont"/>
    <w:link w:val="Heading1"/>
    <w:uiPriority w:val="9"/>
    <w:rsid w:val="009A282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A2828"/>
  </w:style>
  <w:style w:type="character" w:styleId="FollowedHyperlink">
    <w:name w:val="FollowedHyperlink"/>
    <w:basedOn w:val="DefaultParagraphFont"/>
    <w:uiPriority w:val="99"/>
    <w:semiHidden/>
    <w:unhideWhenUsed/>
    <w:rsid w:val="007B6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9299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B9C0B-E464-493C-B07B-8677DAB0F774}">
  <ds:schemaRefs>
    <ds:schemaRef ds:uri="http://schemas.openxmlformats.org/officeDocument/2006/bibliography"/>
  </ds:schemaRefs>
</ds:datastoreItem>
</file>

<file path=docMetadata/LabelInfo.xml><?xml version="1.0" encoding="utf-8"?>
<clbl:labelList xmlns:clbl="http://schemas.microsoft.com/office/2020/mipLabelMetadata">
  <clbl:label id="{70c52299-74de-4dfd-b117-c9c408edfa50}" enabled="1" method="Standard" siteId="{853cbaab-a620-4178-8933-88d76414184a}" contentBits="0" removed="0"/>
</clbl:labelList>
</file>

<file path=docProps/app.xml><?xml version="1.0" encoding="utf-8"?>
<Properties xmlns="http://schemas.openxmlformats.org/officeDocument/2006/extended-properties" xmlns:vt="http://schemas.openxmlformats.org/officeDocument/2006/docPropsVTypes">
  <Template>Normal</Template>
  <TotalTime>319</TotalTime>
  <Pages>3</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Harris</dc:creator>
  <cp:keywords/>
  <dc:description/>
  <cp:lastModifiedBy>Mr. DE Nxumalo</cp:lastModifiedBy>
  <cp:revision>22</cp:revision>
  <dcterms:created xsi:type="dcterms:W3CDTF">2024-06-26T07:37:00Z</dcterms:created>
  <dcterms:modified xsi:type="dcterms:W3CDTF">2024-06-30T16:03:00Z</dcterms:modified>
</cp:coreProperties>
</file>