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US_EM_MPS_spillover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Ipsum.</w:t>
      </w:r>
      <w:r>
        <w:t xml:space="preserve"> </w:t>
      </w:r>
      <w:r>
        <w:t xml:space="preserve"> </w:t>
      </w:r>
      <w:r>
        <w:t xml:space="preserve"> </w:t>
      </w:r>
      <w:r>
        <w:rPr>
          <w:b/>
          <w:bCs/>
        </w:rPr>
        <w:t xml:space="preserve">Keywords</w:t>
      </w:r>
      <w:r>
        <w:t xml:space="preserve">:</w:t>
      </w:r>
      <w:r>
        <w:t xml:space="preserve"> </w:t>
      </w:r>
      <w:r>
        <w:t xml:space="preserve">Monetary</w:t>
      </w:r>
      <w:r>
        <w:t xml:space="preserve"> </w:t>
      </w:r>
      <w:r>
        <w:t xml:space="preserve">policy</w:t>
      </w:r>
      <w:r>
        <w:t xml:space="preserve"> </w:t>
      </w:r>
      <w:r>
        <w:t xml:space="preserve">surprises</w:t>
      </w:r>
      <w:r>
        <w:t xml:space="preserve"> </w:t>
      </w:r>
      <w:r>
        <w:t xml:space="preserve"> </w:t>
      </w:r>
      <w:r>
        <w:rPr>
          <w:b/>
          <w:bCs/>
        </w:rPr>
        <w:t xml:space="preserve">JEL</w:t>
      </w:r>
      <w:r>
        <w:rPr>
          <w:b/>
          <w:bCs/>
        </w:rPr>
        <w:t xml:space="preserve"> </w:t>
      </w:r>
      <w:r>
        <w:rPr>
          <w:b/>
          <w:bCs/>
        </w:rPr>
        <w:t xml:space="preserve">Codes</w:t>
      </w:r>
      <w:r>
        <w:t xml:space="preserve">:</w:t>
      </w:r>
      <w:r>
        <w:t xml:space="preserve"> </w:t>
      </w:r>
      <w:r>
        <w:t xml:space="preserve">J10,</w:t>
      </w:r>
      <w:r>
        <w:t xml:space="preserve"> </w:t>
      </w:r>
      <w:r>
        <w:t xml:space="preserve">H1,</w:t>
      </w:r>
      <w:r>
        <w:t xml:space="preserve"> </w:t>
      </w:r>
      <w:r>
        <w:t xml:space="preserve">K3</w:t>
      </w:r>
    </w:p>
    <w:p>
      <w:pPr>
        <w:pStyle w:val="FirstParagraph"/>
      </w:pPr>
      <w:r>
        <w:t xml:space="preserve">Importing packages:</w:t>
      </w:r>
    </w:p>
    <w:bookmarkStart w:id="20" w:name="introduction"/>
    <w:p>
      <w:pPr>
        <w:pStyle w:val="Heading1"/>
      </w:pPr>
      <w:r>
        <w:t xml:space="preserve">1. Introduction</w:t>
      </w:r>
    </w:p>
    <w:bookmarkEnd w:id="20"/>
    <w:bookmarkStart w:id="21" w:name="literature-review"/>
    <w:p>
      <w:pPr>
        <w:pStyle w:val="Heading1"/>
      </w:pPr>
      <w:r>
        <w:t xml:space="preserve">2. Literature Review</w:t>
      </w:r>
    </w:p>
    <w:p>
      <w:pPr>
        <w:pStyle w:val="FirstParagraph"/>
      </w:pPr>
      <w:r>
        <w:t xml:space="preserve">Bauer and Swanson (2021)</w:t>
      </w:r>
    </w:p>
    <w:bookmarkEnd w:id="21"/>
    <w:bookmarkStart w:id="22" w:name="data-and-methodology"/>
    <w:p>
      <w:pPr>
        <w:pStyle w:val="Heading1"/>
      </w:pPr>
      <w:r>
        <w:t xml:space="preserve">3. Data and Methodology</w:t>
      </w:r>
    </w:p>
    <w:p>
      <w:r>
        <w:br w:type="page"/>
      </w:r>
    </w:p>
    <w:bookmarkEnd w:id="22"/>
    <w:bookmarkStart w:id="24" w:name="results"/>
    <w:p>
      <w:pPr>
        <w:pStyle w:val="Heading1"/>
      </w:pPr>
      <w:r>
        <w:t xml:space="preserve">4. Results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tbl-ols_model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Ols models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561"/>
              <w:gridCol w:w="1992"/>
              <w:gridCol w:w="2165"/>
              <w:gridCol w:w="1432"/>
              <w:gridCol w:w="1312"/>
            </w:tblGrid>
            <w:tr>
              <w:trPr>
                <w:trHeight w:val="290" w:hRule="auto"/>
                <w:tblHeader/>
              </w:trPr>
              header 1
              <w:tc>
                <w:tcPr>
                  <w:tcBorders>
                    <w:bottom w:val="single" w:sz="6" w:space="0" w:color="000000"/>
                    <w:top w:val="single" w:sz="6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Factor</w:t>
                  </w:r>
                </w:p>
              </w:tc>
              <w:tc>
                <w:tcPr>
                  <w:tcBorders>
                    <w:bottom w:val="single" w:sz="6" w:space="0" w:color="000000"/>
                    <w:top w:val="single" w:sz="6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Constant</w:t>
                  </w:r>
                </w:p>
              </w:tc>
              <w:tc>
                <w:tcPr>
                  <w:tcBorders>
                    <w:bottom w:val="single" w:sz="6" w:space="0" w:color="000000"/>
                    <w:top w:val="single" w:sz="6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Change in yield</w:t>
                  </w:r>
                </w:p>
              </w:tc>
              <w:tc>
                <w:tcPr>
                  <w:tcBorders>
                    <w:bottom w:val="single" w:sz="6" w:space="0" w:color="000000"/>
                    <w:top w:val="single" w:sz="6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R^2</w:t>
                  </w:r>
                </w:p>
              </w:tc>
              <w:tc>
                <w:tcPr>
                  <w:tcBorders>
                    <w:bottom w:val="single" w:sz="6" w:space="0" w:color="000000"/>
                    <w:top w:val="single" w:sz="6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N</w:t>
                  </w:r>
                </w:p>
              </w:tc>
            </w:tr>
            <w:tr>
              <w:trPr>
                <w:trHeight w:val="258" w:hRule="auto"/>
              </w:trPr>
              body 1
              <w:tc>
                <w:tcPr>
                  <w:gridSpan w:val="5"/>
                  <w:tcBorders>
                    <w:bottom w:val="none" w:sz="0" w:space="0" w:color="FFFFFF"/>
                    <w:top w:val="single" w:sz="6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South Africa</w:t>
                  </w:r>
                </w:p>
              </w:tc>
            </w:tr>
            <w:tr>
              <w:trPr>
                <w:trHeight w:val="254" w:hRule="auto"/>
              </w:trPr>
              body 2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FFR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0.058639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0.032138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0.00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83</w:t>
                  </w:r>
                </w:p>
              </w:tc>
            </w:tr>
            <w:tr>
              <w:trPr>
                <w:trHeight w:val="255" w:hRule="auto"/>
              </w:trPr>
              body 3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FG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0.013990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-0.10630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0.00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83</w:t>
                  </w:r>
                </w:p>
              </w:tc>
            </w:tr>
            <w:tr>
              <w:trPr>
                <w:trHeight w:val="255" w:hRule="auto"/>
              </w:trPr>
              body 4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LSAP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0.122229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0.047029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0.00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83</w:t>
                  </w:r>
                </w:p>
              </w:tc>
            </w:tr>
            <w:tr>
              <w:trPr>
                <w:trHeight w:val="257" w:hRule="auto"/>
              </w:trPr>
              body 5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Brazil</w:t>
                  </w:r>
                </w:p>
              </w:tc>
            </w:tr>
            <w:tr>
              <w:trPr>
                <w:trHeight w:val="254" w:hRule="auto"/>
              </w:trPr>
              body 6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FFR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0.090091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-0.03042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0.00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85</w:t>
                  </w:r>
                </w:p>
              </w:tc>
            </w:tr>
            <w:tr>
              <w:trPr>
                <w:trHeight w:val="255" w:hRule="auto"/>
              </w:trPr>
              body 7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FG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0.018807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0.043985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0.00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85</w:t>
                  </w:r>
                </w:p>
              </w:tc>
            </w:tr>
            <w:tr>
              <w:trPr>
                <w:trHeight w:val="255" w:hRule="auto"/>
              </w:trPr>
              body 8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LSAP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0.071922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-0.08903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0.02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85</w:t>
                  </w:r>
                </w:p>
              </w:tc>
            </w:tr>
            <w:tr>
              <w:trPr>
                <w:trHeight w:val="258" w:hRule="auto"/>
              </w:trPr>
              body 9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China</w:t>
                  </w:r>
                </w:p>
              </w:tc>
            </w:tr>
            <w:tr>
              <w:trPr>
                <w:trHeight w:val="257" w:hRule="auto"/>
              </w:trPr>
              body10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FFR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0.117749***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0.078256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0.00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98</w:t>
                  </w:r>
                </w:p>
              </w:tc>
            </w:tr>
            <w:tr>
              <w:trPr>
                <w:trHeight w:val="255" w:hRule="auto"/>
              </w:trPr>
              body11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FG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0.050576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-0.11419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0.00</w:t>
                  </w:r>
                </w:p>
              </w:tc>
              <w:tc>
                <w:tcPr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98</w:t>
                  </w:r>
                </w:p>
              </w:tc>
            </w:tr>
            <w:tr>
              <w:trPr>
                <w:trHeight w:val="255" w:hRule="auto"/>
              </w:trPr>
              body12
              <w:tc>
                <w:tcPr>
                  <w:tcBorders>
                    <w:bottom w:val="single" w:sz="6" w:space="0" w:color="000000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LSAP</w:t>
                  </w:r>
                </w:p>
              </w:tc>
              <w:tc>
                <w:tcPr>
                  <w:tcBorders>
                    <w:bottom w:val="single" w:sz="6" w:space="0" w:color="000000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0.089220</w:t>
                  </w:r>
                </w:p>
              </w:tc>
              <w:tc>
                <w:tcPr>
                  <w:tcBorders>
                    <w:bottom w:val="single" w:sz="6" w:space="0" w:color="000000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0.369883</w:t>
                  </w:r>
                </w:p>
              </w:tc>
              <w:tc>
                <w:tcPr>
                  <w:tcBorders>
                    <w:bottom w:val="single" w:sz="6" w:space="0" w:color="000000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0.01</w:t>
                  </w:r>
                </w:p>
              </w:tc>
              <w:tc>
                <w:tcPr>
                  <w:tcBorders>
                    <w:bottom w:val="single" w:sz="6" w:space="0" w:color="000000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0" w:before="0" w:line="480"/>
                    <w:ind w:left="0" w:right="0" w:firstLine="0" w:firstLineChars="0"/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Times New Roman" w:hAnsi="Times New Roman" w:eastAsia="Times New Roman" w:cs="Times New Roman"/>
                      <w:i w:val="false"/>
                      <w:b w:val="false"/>
                      <w:u w:val="none"/>
                      <w:sz w:val="16"/>
                      <w:szCs w:val="16"/>
                      <w:color w:val="000000"/>
                    </w:rPr>
                    <w:t xml:space="preserve">98</w:t>
                  </w:r>
                </w:p>
              </w:tc>
            </w:tr>
          </w:tbl>
          <w:bookmarkEnd w:id="23"/>
        </w:tc>
      </w:tr>
    </w:tbl>
    <w:bookmarkEnd w:id="24"/>
    <w:bookmarkStart w:id="25" w:name="conclusion"/>
    <w:p>
      <w:pPr>
        <w:pStyle w:val="Heading1"/>
      </w:pPr>
      <w:r>
        <w:t xml:space="preserve">5. Conclusion</w:t>
      </w:r>
    </w:p>
    <w:p>
      <w:r>
        <w:br w:type="page"/>
      </w:r>
    </w:p>
    <w:bookmarkEnd w:id="25"/>
    <w:bookmarkStart w:id="29" w:name="reference"/>
    <w:p>
      <w:pPr>
        <w:pStyle w:val="Heading1"/>
      </w:pPr>
      <w:r>
        <w:t xml:space="preserve">Reference</w:t>
      </w:r>
    </w:p>
    <w:bookmarkStart w:id="28" w:name="refs"/>
    <w:bookmarkStart w:id="27" w:name="ref-bauer2021"/>
    <w:p>
      <w:pPr>
        <w:pStyle w:val="Bibliography"/>
      </w:pPr>
      <w:r>
        <w:t xml:space="preserve">Bauer, Michael D., and Eric T. Swanson. 2021.</w:t>
      </w:r>
      <w:r>
        <w:t xml:space="preserve"> </w:t>
      </w:r>
      <w:r>
        <w:t xml:space="preserve">“The Fed’s Response to Economic News Explains the</w:t>
      </w:r>
      <w:r>
        <w:t xml:space="preserve">"</w:t>
      </w:r>
      <w:r>
        <w:t xml:space="preserve"> </w:t>
      </w:r>
      <w:r>
        <w:t xml:space="preserve">Fed Information Effect</w:t>
      </w:r>
      <w:r>
        <w:t xml:space="preserve">"</w:t>
      </w:r>
      <w:r>
        <w:t xml:space="preserve">.”</w:t>
      </w:r>
      <w:r>
        <w:t xml:space="preserve"> </w:t>
      </w:r>
      <w:hyperlink r:id="rId26">
        <w:r>
          <w:rPr>
            <w:rStyle w:val="Hyperlink"/>
          </w:rPr>
          <w:t xml:space="preserve">https://www.econstor.eu/handle/10419/232953</w:t>
        </w:r>
      </w:hyperlink>
      <w:r>
        <w:t xml:space="preserve">.</w:t>
      </w:r>
    </w:p>
    <w:bookmarkEnd w:id="27"/>
    <w:bookmarkEnd w:id="28"/>
    <w:bookmarkEnd w:id="29"/>
    <w:bookmarkStart w:id="44" w:name="appendix"/>
    <w:p>
      <w:pPr>
        <w:pStyle w:val="Heading1"/>
      </w:pPr>
      <w:r>
        <w:t xml:space="preserve">6. Appendix</w:t>
      </w:r>
    </w:p>
    <w:bookmarkStart w:id="38" w:name="data"/>
    <w:p>
      <w:pPr>
        <w:pStyle w:val="Heading2"/>
      </w:pPr>
      <w:r>
        <w:t xml:space="preserve">6.1 Data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yields"/>
          <w:p>
            <w:pPr>
              <w:pStyle w:val="Compact"/>
              <w:jc w:val="center"/>
            </w:pPr>
            <w:r>
              <w:drawing>
                <wp:inline>
                  <wp:extent cx="5334000" cy="22225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01_yields_data-fig-yields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2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Long-term yields</w:t>
            </w:r>
          </w:p>
          <w:bookmarkEnd w:id="33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7" w:name="fig-surprises"/>
          <w:p>
            <w:pPr>
              <w:pStyle w:val="Compact"/>
              <w:jc w:val="center"/>
            </w:pPr>
            <w:r>
              <w:drawing>
                <wp:inline>
                  <wp:extent cx="5334000" cy="22225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02_surprises_data-fig-surprises-output-1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22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Monetary policy surprises</w:t>
            </w:r>
          </w:p>
          <w:bookmarkEnd w:id="37"/>
        </w:tc>
      </w:tr>
    </w:tbl>
    <w:p>
      <w:r>
        <w:br w:type="page"/>
      </w:r>
    </w:p>
    <w:bookmarkEnd w:id="38"/>
    <w:bookmarkStart w:id="43" w:name="residuals"/>
    <w:p>
      <w:pPr>
        <w:pStyle w:val="Heading2"/>
      </w:pPr>
      <w:r>
        <w:t xml:space="preserve">6.2 Residuals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2" w:name="fig-residuals"/>
          <w:p>
            <w:pPr>
              <w:pStyle w:val="Compact"/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04_ols_models-fig-residuals-output-2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Model residuals</w:t>
            </w:r>
          </w:p>
          <w:bookmarkEnd w:id="42"/>
        </w:tc>
      </w:tr>
    </w:tbl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hyperlink" Id="rId26" Target="https://www.econstor.eu/handle/10419/23295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www.econstor.eu/handle/10419/23295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US_EM_MPS_spillover</dc:title>
  <dc:creator/>
  <cp:keywords/>
  <dcterms:created xsi:type="dcterms:W3CDTF">2025-05-08T16:27:10Z</dcterms:created>
  <dcterms:modified xsi:type="dcterms:W3CDTF">2025-05-08T16:27:10Z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Ipsum.   Keywords: Monetary policy surprises  JEL Codes: J10, H1, K3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