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106.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and-literature-review"/>
    <w:p>
      <w:pPr>
        <w:pStyle w:val="Heading1"/>
      </w:pPr>
      <w:r>
        <w:t xml:space="preserve">Introduction and literature review</w:t>
      </w:r>
    </w:p>
    <w:p>
      <w:pPr>
        <w:pStyle w:val="FirstParagraph"/>
      </w:pPr>
      <w:r>
        <w:t xml:space="preserve">Climate sustainability is a major concern for financial markets and investors. The growing interest in climate sustainability is primarily driven by the increasing materialisation of climate risks, and the actions of governments, institutions and organizations towards a sustainable future</w:t>
      </w:r>
      <w:r>
        <w:t xml:space="preserve"> </w:t>
      </w:r>
      <w:r>
        <w:t xml:space="preserve">(</w:t>
      </w:r>
      <w:hyperlink w:anchor="ref-giglio2021a">
        <w:r>
          <w:rPr>
            <w:rStyle w:val="Hyperlink"/>
          </w:rPr>
          <w:t xml:space="preserve">Giglio et al. 2021</w:t>
        </w:r>
      </w:hyperlink>
      <w:r>
        <w:t xml:space="preserve">)</w:t>
      </w:r>
      <w:r>
        <w:t xml:space="preserve">. To ensure returns, investors increasingly seek to hedge against climate risks by investing in green financial products. Although the evidence is mixed, indications that returns from green financial products are comparable to traditional financial</w:t>
      </w:r>
      <w:r>
        <w:t xml:space="preserve"> </w:t>
      </w:r>
      <w:r>
        <w:t xml:space="preserve">(see amongst others,</w:t>
      </w:r>
      <w:r>
        <w:t xml:space="preserve"> </w:t>
      </w:r>
      <w:hyperlink w:anchor="ref-decclesia2024">
        <w:r>
          <w:rPr>
            <w:rStyle w:val="Hyperlink"/>
          </w:rPr>
          <w:t xml:space="preserve">D’Ecclesia, Morelli, and Stefanelli 2024</w:t>
        </w:r>
      </w:hyperlink>
      <w:r>
        <w:t xml:space="preserve">;</w:t>
      </w:r>
      <w:r>
        <w:t xml:space="preserve"> </w:t>
      </w:r>
      <w:hyperlink w:anchor="ref-nguyen2025">
        <w:r>
          <w:rPr>
            <w:rStyle w:val="Hyperlink"/>
          </w:rPr>
          <w:t xml:space="preserve">Nguyen, Liu, and Li 2025</w:t>
        </w:r>
      </w:hyperlink>
      <w:r>
        <w:t xml:space="preserve">;</w:t>
      </w:r>
      <w:r>
        <w:t xml:space="preserve"> </w:t>
      </w:r>
      <w:hyperlink w:anchor="ref-pastor2022">
        <w:r>
          <w:rPr>
            <w:rStyle w:val="Hyperlink"/>
          </w:rPr>
          <w:t xml:space="preserve">Pástor, Stambaugh, and Taylor 2022</w:t>
        </w:r>
      </w:hyperlink>
      <w:r>
        <w:t xml:space="preserve">; and</w:t>
      </w:r>
      <w:r>
        <w:t xml:space="preserve"> </w:t>
      </w:r>
      <w:hyperlink w:anchor="ref-naqvi2022">
        <w:r>
          <w:rPr>
            <w:rStyle w:val="Hyperlink"/>
          </w:rPr>
          <w:t xml:space="preserve">Naqvi et al. 2022</w:t>
        </w:r>
      </w:hyperlink>
      <w:r>
        <w:t xml:space="preserve">)</w:t>
      </w:r>
      <w:r>
        <w:t xml:space="preserve">.</w:t>
      </w:r>
    </w:p>
    <w:p>
      <w:pPr>
        <w:pStyle w:val="BodyText"/>
      </w:pPr>
      <w:r>
        <w:t xml:space="preserve">In this new climate sustainability paradigm, investors face many pressures that not only bear on returns but also the stability of financial markets. For example, resulting regulations aimed at reducing emissions can surprisingly reduce the profitability of fossil-fuel-based companies, or the possible mispricing of assets from ignoring climate risks can lead to significant losses</w:t>
      </w:r>
      <w:r>
        <w:t xml:space="preserve"> </w:t>
      </w:r>
      <w:r>
        <w:t xml:space="preserve">(</w:t>
      </w:r>
      <w:hyperlink w:anchor="ref-nguyen2025">
        <w:r>
          <w:rPr>
            <w:rStyle w:val="Hyperlink"/>
          </w:rPr>
          <w:t xml:space="preserve">Nguyen, Liu, and Li 2025</w:t>
        </w:r>
      </w:hyperlink>
      <w:r>
        <w:t xml:space="preserve">)</w:t>
      </w:r>
      <w:r>
        <w:t xml:space="preserve">. In addition to these climate risks, a general change in investor attitudes can drive the inclusion of green assets in their portfolio can lead to systemic risk.</w:t>
      </w:r>
      <w:r>
        <w:rPr>
          <w:rStyle w:val="FootnoteReference"/>
        </w:rPr>
        <w:footnoteReference w:id="20"/>
      </w:r>
    </w:p>
    <w:p>
      <w:pPr>
        <w:pStyle w:val="BodyText"/>
      </w:pPr>
      <w:r>
        <w:t xml:space="preserve">Specifically, climate change presents risks to investor portfolios through two primary sources - physical and transition risks. Physical risks or direct impact refer to extreme climate events such as floods and droughts, which impact business operations and infrastructure; and transition risks are the policy, technological, and other costs that societies bear to achieve low carbon economies</w:t>
      </w:r>
      <w:r>
        <w:t xml:space="preserve"> </w:t>
      </w:r>
      <w:r>
        <w:t xml:space="preserve">(</w:t>
      </w:r>
      <w:hyperlink w:anchor="ref-nguyen2025">
        <w:r>
          <w:rPr>
            <w:rStyle w:val="Hyperlink"/>
          </w:rPr>
          <w:t xml:space="preserve">Nguyen, Liu, and Li 2025</w:t>
        </w:r>
      </w:hyperlink>
      <w:r>
        <w:t xml:space="preserve">; and</w:t>
      </w:r>
      <w:r>
        <w:t xml:space="preserve"> </w:t>
      </w:r>
      <w:hyperlink w:anchor="ref-giglio2021a">
        <w:r>
          <w:rPr>
            <w:rStyle w:val="Hyperlink"/>
          </w:rPr>
          <w:t xml:space="preserve">Giglio et al. 2021</w:t>
        </w:r>
      </w:hyperlink>
      <w:r>
        <w:t xml:space="preserve"> </w:t>
      </w:r>
      <w:r>
        <w:t xml:space="preserve">amongst others)</w:t>
      </w:r>
      <w:r>
        <w:t xml:space="preserve">. Investors, therefore, recognise these risks and seek to mitigate them, as they seek return-enhancing green financial products.</w:t>
      </w:r>
    </w:p>
    <w:p>
      <w:pPr>
        <w:pStyle w:val="BodyText"/>
      </w:pPr>
      <w:r>
        <w:t xml:space="preserve">Exchange-traded funds (ETFs) are a key feature of green financial products. ETFs are a type of security that involves a collection of securities that often tracks an underlying index. However, they can invest in various industry sectors or strategies. In addition, environment, social, and governance (ESG) ETFs serve as a market discovery tool for investors to identify and invest in environmentally friendly companies</w:t>
      </w:r>
      <w:r>
        <w:t xml:space="preserve"> </w:t>
      </w:r>
      <w:r>
        <w:t xml:space="preserve">(</w:t>
      </w:r>
      <w:hyperlink w:anchor="ref-briere2023">
        <w:r>
          <w:rPr>
            <w:rStyle w:val="Hyperlink"/>
          </w:rPr>
          <w:t xml:space="preserve">Brière and Ramelli 2023</w:t>
        </w:r>
      </w:hyperlink>
      <w:r>
        <w:t xml:space="preserve">)</w:t>
      </w:r>
      <w:r>
        <w:t xml:space="preserve">. Among the ESG ETFs, the Clean Energy (CE) ETFs have been the best-performing ones in 2022, followed by the Cybersecurity and Artificial Intelligence (AI) ETFs</w:t>
      </w:r>
      <w:r>
        <w:t xml:space="preserve"> </w:t>
      </w:r>
      <w:r>
        <w:t xml:space="preserve">(</w:t>
      </w:r>
      <w:hyperlink w:anchor="ref-decclesia2024">
        <w:r>
          <w:rPr>
            <w:rStyle w:val="Hyperlink"/>
          </w:rPr>
          <w:t xml:space="preserve">D’Ecclesia, Morelli, and Stefanelli 2024</w:t>
        </w:r>
      </w:hyperlink>
      <w:r>
        <w:t xml:space="preserve">)</w:t>
      </w:r>
      <w:r>
        <w:t xml:space="preserve">. The clean energy transition represents one of the largest multi-decade secular growth opportunities. After the inclusion of Green energy financing in the list of United Nations Sustainability Goals (SDGs) as SDG 7, the role, importance, and visibility of green financial products have escalated enormously</w:t>
      </w:r>
      <w:r>
        <w:t xml:space="preserve"> </w:t>
      </w:r>
      <w:r>
        <w:t xml:space="preserve">(</w:t>
      </w:r>
      <w:hyperlink w:anchor="ref-naqvi2022">
        <w:r>
          <w:rPr>
            <w:rStyle w:val="Hyperlink"/>
          </w:rPr>
          <w:t xml:space="preserve">Naqvi et al. 2022</w:t>
        </w:r>
      </w:hyperlink>
      <w:r>
        <w:t xml:space="preserve">)</w:t>
      </w:r>
      <w:r>
        <w:t xml:space="preserve">. That is, the growth of green assets under management is likely to continue. Lastly, the limited availability of data on ESG complying investment tools</w:t>
      </w:r>
      <w:r>
        <w:t xml:space="preserve"> </w:t>
      </w:r>
      <w:r>
        <w:t xml:space="preserve">(</w:t>
      </w:r>
      <w:hyperlink w:anchor="ref-avramov2022">
        <w:r>
          <w:rPr>
            <w:rStyle w:val="Hyperlink"/>
          </w:rPr>
          <w:t xml:space="preserve">Avramov et al. 2022</w:t>
        </w:r>
      </w:hyperlink>
      <w:r>
        <w:t xml:space="preserve">;</w:t>
      </w:r>
      <w:r>
        <w:t xml:space="preserve"> </w:t>
      </w:r>
      <w:hyperlink w:anchor="ref-nguyen2025">
        <w:r>
          <w:rPr>
            <w:rStyle w:val="Hyperlink"/>
          </w:rPr>
          <w:t xml:space="preserve">Nguyen, Liu, and Li 2025</w:t>
        </w:r>
      </w:hyperlink>
      <w:r>
        <w:t xml:space="preserve">)</w:t>
      </w:r>
      <w:r>
        <w:t xml:space="preserve"> </w:t>
      </w:r>
      <w:r>
        <w:t xml:space="preserve">justifies the use of green (CE) ETFs as best candidates of green assets.</w:t>
      </w:r>
    </w:p>
    <w:p>
      <w:pPr>
        <w:pStyle w:val="BodyText"/>
      </w:pPr>
      <w:r>
        <w:t xml:space="preserve">However, given how recent the inclusion of climate sustainability in investment decisions is, it is not clear what the actual impact will be in the long run. In this study specifically, we ask whether the rapid adoption of CE ETFs could be driven by market fads, or is a fundamental change in investor behaviour. Investors, for example, can believe that peers have information about climate risks that they do not, investors may herd to avoid losses compared to peers, or investors may be encouraged to herd by the desire to align to climate-related social values</w:t>
      </w:r>
      <w:r>
        <w:t xml:space="preserve"> </w:t>
      </w:r>
      <w:r>
        <w:t xml:space="preserve">(</w:t>
      </w:r>
      <w:hyperlink w:anchor="ref-ciciretti2021">
        <w:r>
          <w:rPr>
            <w:rStyle w:val="Hyperlink"/>
          </w:rPr>
          <w:t xml:space="preserve">Ciciretti, Dalò, and Ferri 2021</w:t>
        </w:r>
      </w:hyperlink>
      <w:r>
        <w:t xml:space="preserve">;</w:t>
      </w:r>
      <w:r>
        <w:t xml:space="preserve"> </w:t>
      </w:r>
      <w:hyperlink w:anchor="ref-gavrilakis2023">
        <w:r>
          <w:rPr>
            <w:rStyle w:val="Hyperlink"/>
          </w:rPr>
          <w:t xml:space="preserve">Gavrilakis and Floros 2023</w:t>
        </w:r>
      </w:hyperlink>
      <w:r>
        <w:t xml:space="preserve">;</w:t>
      </w:r>
      <w:r>
        <w:t xml:space="preserve"> </w:t>
      </w:r>
      <w:hyperlink w:anchor="ref-loang2023">
        <w:r>
          <w:rPr>
            <w:rStyle w:val="Hyperlink"/>
          </w:rPr>
          <w:t xml:space="preserve">Loang 2023</w:t>
        </w:r>
      </w:hyperlink>
      <w:r>
        <w:t xml:space="preserve">)</w:t>
      </w:r>
      <w:r>
        <w:t xml:space="preserve">. Therefore, market volatility and crisis, financial performance, and investor sentiment can drive herding in ESG markets.</w:t>
      </w:r>
    </w:p>
    <w:p>
      <w:pPr>
        <w:pStyle w:val="BodyText"/>
      </w:pPr>
      <w:r>
        <w:t xml:space="preserve">Herding behaviour in ESG markets is not without precedent. Amongst others,</w:t>
      </w:r>
      <w:r>
        <w:t xml:space="preserve"> </w:t>
      </w:r>
      <w:r>
        <w:t xml:space="preserve">Loang (</w:t>
      </w:r>
      <w:hyperlink w:anchor="ref-loang2023">
        <w:r>
          <w:rPr>
            <w:rStyle w:val="Hyperlink"/>
          </w:rPr>
          <w:t xml:space="preserve">2023</w:t>
        </w:r>
      </w:hyperlink>
      <w:r>
        <w:t xml:space="preserve">)</w:t>
      </w:r>
      <w:r>
        <w:t xml:space="preserve"> </w:t>
      </w:r>
      <w:r>
        <w:t xml:space="preserve">found that compliance with SDG goals can introduce bias in investor sentiment, which leads to herding behaviour. Using a Twitter (or X) uncertainty index,</w:t>
      </w:r>
      <w:r>
        <w:t xml:space="preserve"> </w:t>
      </w:r>
      <w:r>
        <w:t xml:space="preserve">Koutmos (</w:t>
      </w:r>
      <w:hyperlink w:anchor="ref-koutmos2024">
        <w:r>
          <w:rPr>
            <w:rStyle w:val="Hyperlink"/>
          </w:rPr>
          <w:t xml:space="preserve">2024</w:t>
        </w:r>
      </w:hyperlink>
      <w:r>
        <w:t xml:space="preserve">)</w:t>
      </w:r>
      <w:r>
        <w:t xml:space="preserve"> </w:t>
      </w:r>
      <w:r>
        <w:t xml:space="preserve">found evidence of herding in US-based ESG index fund investors.</w:t>
      </w:r>
      <w:r>
        <w:t xml:space="preserve"> </w:t>
      </w:r>
      <w:r>
        <w:t xml:space="preserve">Przychodzen et al. (</w:t>
      </w:r>
      <w:hyperlink w:anchor="ref-przychodzen2016">
        <w:r>
          <w:rPr>
            <w:rStyle w:val="Hyperlink"/>
          </w:rPr>
          <w:t xml:space="preserve">2016</w:t>
        </w:r>
      </w:hyperlink>
      <w:r>
        <w:t xml:space="preserve">)</w:t>
      </w:r>
      <w:r>
        <w:t xml:space="preserve"> </w:t>
      </w:r>
      <w:r>
        <w:t xml:space="preserve">found herding behaviour amongst fund managers who incorporated ESG strategies in their portfolios. Lastly,</w:t>
      </w:r>
      <w:r>
        <w:t xml:space="preserve"> </w:t>
      </w:r>
      <w:r>
        <w:t xml:space="preserve">Rubbaniy et al. (</w:t>
      </w:r>
      <w:hyperlink w:anchor="ref-rubbaniy2021">
        <w:r>
          <w:rPr>
            <w:rStyle w:val="Hyperlink"/>
          </w:rPr>
          <w:t xml:space="preserve">2021</w:t>
        </w:r>
      </w:hyperlink>
      <w:r>
        <w:t xml:space="preserve">)</w:t>
      </w:r>
      <w:r>
        <w:t xml:space="preserve"> </w:t>
      </w:r>
      <w:r>
        <w:t xml:space="preserve">highlight evidence of herding in the MSCI US ESG Leader Index during extreme periods (bear and bull periods).</w:t>
      </w:r>
    </w:p>
    <w:p>
      <w:pPr>
        <w:pStyle w:val="BodyText"/>
      </w:pPr>
      <w:r>
        <w:t xml:space="preserve">However, to the best of our knowledge, no studies exist that focus on herding behaviour in CE ESGs. This study, therefore, aims to extend the broader literature on herding behaviour in commodity and energy markets. Several studies in this area were conducted. For example,</w:t>
      </w:r>
      <w:r>
        <w:t xml:space="preserve"> </w:t>
      </w:r>
      <w:r>
        <w:t xml:space="preserve">(</w:t>
      </w:r>
      <w:hyperlink w:anchor="ref-demirer2013a">
        <w:r>
          <w:rPr>
            <w:rStyle w:val="Hyperlink"/>
            <w:b/>
            <w:bCs/>
          </w:rPr>
          <w:t xml:space="preserve">demirer2013a?</w:t>
        </w:r>
      </w:hyperlink>
      <w:r>
        <w:t xml:space="preserve">)</w:t>
      </w:r>
      <w:r>
        <w:t xml:space="preserve"> </w:t>
      </w:r>
      <w:r>
        <w:t xml:space="preserve">conducted a commodity sectoral study and found herding behaviour in grains but not in other sectors. Similarly,</w:t>
      </w:r>
      <w:r>
        <w:t xml:space="preserve"> </w:t>
      </w:r>
      <w:r>
        <w:t xml:space="preserve">Gilbert (</w:t>
      </w:r>
      <w:hyperlink w:anchor="ref-gilbert2010">
        <w:r>
          <w:rPr>
            <w:rStyle w:val="Hyperlink"/>
          </w:rPr>
          <w:t xml:space="preserve">2010</w:t>
        </w:r>
      </w:hyperlink>
      <w:r>
        <w:t xml:space="preserve">)</w:t>
      </w:r>
      <w:r>
        <w:t xml:space="preserve"> </w:t>
      </w:r>
      <w:r>
        <w:t xml:space="preserve">showed herding behaviour amongst speculators in non-ferrous commodities. Others did not find evidence of herding in similar markets.</w:t>
      </w:r>
      <w:r>
        <w:t xml:space="preserve"> </w:t>
      </w:r>
      <w:r>
        <w:t xml:space="preserve">Babalos, Stavroyiannis, and Gupta (</w:t>
      </w:r>
      <w:hyperlink w:anchor="ref-babalos2015">
        <w:r>
          <w:rPr>
            <w:rStyle w:val="Hyperlink"/>
          </w:rPr>
          <w:t xml:space="preserve">2015</w:t>
        </w:r>
      </w:hyperlink>
      <w:r>
        <w:t xml:space="preserve">)</w:t>
      </w:r>
      <w:r>
        <w:t xml:space="preserve"> </w:t>
      </w:r>
      <w:r>
        <w:t xml:space="preserve">found significant anti-herding behaviour in metal commodities futures after the global financial crisis.</w:t>
      </w:r>
      <w:r>
        <w:t xml:space="preserve"> </w:t>
      </w:r>
      <w:r>
        <w:t xml:space="preserve">Pierdzioch, Rülke, and Stadtmann (</w:t>
      </w:r>
      <w:hyperlink w:anchor="ref-pierdzioch2010">
        <w:r>
          <w:rPr>
            <w:rStyle w:val="Hyperlink"/>
          </w:rPr>
          <w:t xml:space="preserve">2010</w:t>
        </w:r>
      </w:hyperlink>
      <w:r>
        <w:t xml:space="preserve">)</w:t>
      </w:r>
      <w:r>
        <w:t xml:space="preserve"> </w:t>
      </w:r>
      <w:r>
        <w:t xml:space="preserve">showed that forecasters in oil and metals markets deviated from the crowd, indicating a rational response to market information.</w:t>
      </w:r>
      <w:r>
        <w:t xml:space="preserve"> </w:t>
      </w:r>
      <w:r>
        <w:t xml:space="preserve">Steen and Gjolberg (</w:t>
      </w:r>
      <w:hyperlink w:anchor="ref-steen2013">
        <w:r>
          <w:rPr>
            <w:rStyle w:val="Hyperlink"/>
          </w:rPr>
          <w:t xml:space="preserve">2013</w:t>
        </w:r>
      </w:hyperlink>
      <w:r>
        <w:t xml:space="preserve">)</w:t>
      </w:r>
      <w:r>
        <w:t xml:space="preserve"> </w:t>
      </w:r>
      <w:r>
        <w:t xml:space="preserve">also found no herding behaviour in international commodity markets. Overall, the literature in this area is mixed, which indicates scope for further study.</w:t>
      </w:r>
    </w:p>
    <w:p>
      <w:pPr>
        <w:pStyle w:val="BodyText"/>
      </w:pPr>
      <w:r>
        <w:t xml:space="preserve">In addition, our study extends the results of</w:t>
      </w:r>
      <w:r>
        <w:t xml:space="preserve"> </w:t>
      </w:r>
      <w:r>
        <w:t xml:space="preserve">Dragomirescu-Gaina, Galariotis, and Philippas (</w:t>
      </w:r>
      <w:hyperlink w:anchor="ref-dragomirescu-gaina2021">
        <w:r>
          <w:rPr>
            <w:rStyle w:val="Hyperlink"/>
          </w:rPr>
          <w:t xml:space="preserve">2021</w:t>
        </w:r>
      </w:hyperlink>
      <w:r>
        <w:t xml:space="preserve">)</w:t>
      </w:r>
      <w:r>
        <w:t xml:space="preserve"> </w:t>
      </w:r>
      <w:r>
        <w:t xml:space="preserve">who examined herding behavior of investors in the US energy sector and herding sensitivity to various proxies of policy uncertainty and financial risk. They employed the energy equities included in the S&amp;P 500 and concluded that herding among investors in the US energy market sector is sensitive to green volatility shocks</w:t>
      </w:r>
    </w:p>
    <w:p>
      <w:pPr>
        <w:pStyle w:val="BodyText"/>
      </w:pPr>
      <w:r>
        <w:t xml:space="preserve">Therefore, this study investigates herding behaviour in alternative energy ETFs in the US between 2016 and 2024. We then demonstrate how climate-related uncertainty can drive herding behaviour in these markets. Methodologically, we follow the standard herding tests by</w:t>
      </w:r>
      <w:r>
        <w:t xml:space="preserve"> </w:t>
      </w:r>
      <w:r>
        <w:t xml:space="preserve">Christie and Huang (</w:t>
      </w:r>
      <w:hyperlink w:anchor="ref-christie1995">
        <w:r>
          <w:rPr>
            <w:rStyle w:val="Hyperlink"/>
          </w:rPr>
          <w:t xml:space="preserve">1995</w:t>
        </w:r>
      </w:hyperlink>
      <w:r>
        <w:t xml:space="preserve">)</w:t>
      </w:r>
      <w:r>
        <w:t xml:space="preserve"> </w:t>
      </w:r>
      <w:r>
        <w:t xml:space="preserve">and</w:t>
      </w:r>
      <w:r>
        <w:t xml:space="preserve"> </w:t>
      </w:r>
      <w:r>
        <w:t xml:space="preserve">Chang, Cheng, and Khorana (</w:t>
      </w:r>
      <w:hyperlink w:anchor="ref-chang2000">
        <w:r>
          <w:rPr>
            <w:rStyle w:val="Hyperlink"/>
          </w:rPr>
          <w:t xml:space="preserve">2000</w:t>
        </w:r>
      </w:hyperlink>
      <w:r>
        <w:t xml:space="preserve">)</w:t>
      </w:r>
      <w:r>
        <w:t xml:space="preserve">. The traditional approach was supplemented by quantile regressions</w:t>
      </w:r>
      <w:r>
        <w:t xml:space="preserve"> </w:t>
      </w:r>
      <w:r>
        <w:t xml:space="preserve">(</w:t>
      </w:r>
      <w:hyperlink w:anchor="ref-koenker1978">
        <w:r>
          <w:rPr>
            <w:rStyle w:val="Hyperlink"/>
          </w:rPr>
          <w:t xml:space="preserve">Koenker and Bassett 1978</w:t>
        </w:r>
      </w:hyperlink>
      <w:r>
        <w:t xml:space="preserve">)</w:t>
      </w:r>
      <w:r>
        <w:t xml:space="preserve"> </w:t>
      </w:r>
      <w:r>
        <w:t xml:space="preserve">in order to capture the time-varying aspects of herding. Lastly, we extend recent approaches by</w:t>
      </w:r>
      <w:r>
        <w:t xml:space="preserve"> </w:t>
      </w:r>
      <w:r>
        <w:t xml:space="preserve">Bua et al. (</w:t>
      </w:r>
      <w:hyperlink w:anchor="ref-bua2024">
        <w:r>
          <w:rPr>
            <w:rStyle w:val="Hyperlink"/>
          </w:rPr>
          <w:t xml:space="preserve">2024</w:t>
        </w:r>
      </w:hyperlink>
      <w:r>
        <w:t xml:space="preserve">)</w:t>
      </w:r>
      <w:r>
        <w:t xml:space="preserve"> </w:t>
      </w:r>
      <w:r>
        <w:t xml:space="preserve">and others, which seek to establish a link between climate uncertainty and herding behaviour. The next section describes the data and methodology, followed by the results and conclusions.</w:t>
      </w:r>
    </w:p>
    <w:bookmarkEnd w:id="21"/>
    <w:bookmarkStart w:id="28" w:name="data-and-methodology"/>
    <w:p>
      <w:pPr>
        <w:pStyle w:val="Heading1"/>
      </w:pPr>
      <w:r>
        <w:t xml:space="preserve">Data and methodology</w:t>
      </w:r>
    </w:p>
    <w:bookmarkStart w:id="23" w:name="data"/>
    <w:p>
      <w:pPr>
        <w:pStyle w:val="Heading2"/>
      </w:pPr>
      <w:r>
        <w:t xml:space="preserve">Data</w:t>
      </w:r>
    </w:p>
    <w:p>
      <w:pPr>
        <w:pStyle w:val="FirstParagraph"/>
      </w:pPr>
      <w:r>
        <w:t xml:space="preserve">The sample consists of alternative energy equity ETFs (green ETFs) that are traded in the US markets (see</w:t>
      </w:r>
      <w:r>
        <w:t xml:space="preserve"> </w:t>
      </w:r>
      <w:hyperlink w:anchor="tbl-data">
        <w:r>
          <w:rPr>
            <w:rStyle w:val="Hyperlink"/>
          </w:rPr>
          <w:t xml:space="preserve">Table 6</w:t>
        </w:r>
      </w:hyperlink>
      <w:r>
        <w:t xml:space="preserve"> </w:t>
      </w:r>
      <w:r>
        <w:t xml:space="preserve">in the Appendix).</w:t>
      </w:r>
      <w:r>
        <w:rPr>
          <w:rStyle w:val="FootnoteReference"/>
        </w:rPr>
        <w:footnoteReference w:id="22"/>
      </w:r>
      <w:r>
        <w:t xml:space="preserve"> </w:t>
      </w:r>
      <w:r>
        <w:t xml:space="preserve">The number of available alternative energy ETFs in our sample varied from 10 in the beginning of analysis to 30 at the most. The period of analysis runs from May 1</w:t>
      </w:r>
      <w:r>
        <w:rPr>
          <w:vertAlign w:val="superscript"/>
        </w:rPr>
        <w:t xml:space="preserve">st</w:t>
      </w:r>
      <w:r>
        <w:t xml:space="preserve"> </w:t>
      </w:r>
      <w:r>
        <w:t xml:space="preserve">of 2016 through 19</w:t>
      </w:r>
      <w:r>
        <w:rPr>
          <w:vertAlign w:val="superscript"/>
        </w:rPr>
        <w:t xml:space="preserve">th</w:t>
      </w:r>
      <w:r>
        <w:t xml:space="preserve"> </w:t>
      </w:r>
      <w:r>
        <w:t xml:space="preserve">June of 2024. The starting date was selected on the basis of the UN Climate Change Conference (COP) Paris agreement.</w:t>
      </w:r>
      <w:r>
        <w:t xml:space="preserve"> </w:t>
      </w:r>
      <w:r>
        <w:t xml:space="preserve">Daily logarithmic returns were computed from the closing prices of ETFs for a total of 2122 observations.</w:t>
      </w:r>
    </w:p>
    <w:bookmarkEnd w:id="23"/>
    <w:bookmarkStart w:id="27" w:name="methodology"/>
    <w:p>
      <w:pPr>
        <w:pStyle w:val="Heading2"/>
      </w:pPr>
      <w:r>
        <w:t xml:space="preserve">Methodology</w:t>
      </w:r>
    </w:p>
    <w:p>
      <w:pPr>
        <w:pStyle w:val="FirstParagraph"/>
      </w:pPr>
      <w:r>
        <w:t xml:space="preserve">Following the relevant literature</w:t>
      </w:r>
      <w:r>
        <w:t xml:space="preserve"> </w:t>
      </w:r>
      <w:r>
        <w:t xml:space="preserve">(</w:t>
      </w:r>
      <w:hyperlink w:anchor="ref-christie1995">
        <w:r>
          <w:rPr>
            <w:rStyle w:val="Hyperlink"/>
          </w:rPr>
          <w:t xml:space="preserve">Christie and Huang 1995</w:t>
        </w:r>
      </w:hyperlink>
      <w:r>
        <w:t xml:space="preserve">; and</w:t>
      </w:r>
      <w:r>
        <w:t xml:space="preserve"> </w:t>
      </w:r>
      <w:hyperlink w:anchor="ref-chang2000">
        <w:r>
          <w:rPr>
            <w:rStyle w:val="Hyperlink"/>
          </w:rPr>
          <w:t xml:space="preserve">Chang, Cheng, and Khorana 2000</w:t>
        </w:r>
      </w:hyperlink>
      <w:r>
        <w:t xml:space="preserve">)</w:t>
      </w:r>
      <w:r>
        <w:t xml:space="preserve">, we compute dispersion of the</w:t>
      </w:r>
      <w:r>
        <w:t xml:space="preserve"> </w:t>
      </w:r>
      <m:oMath>
        <m:sSup>
          <m:e>
            <m:r>
              <m:t>i</m:t>
            </m:r>
          </m:e>
          <m:sup>
            <m:r>
              <m:t>t</m:t>
            </m:r>
            <m:r>
              <m:t>h</m:t>
            </m:r>
          </m:sup>
        </m:sSup>
      </m:oMath>
      <w:r>
        <w:t xml:space="preserve"> </w:t>
      </w:r>
      <w:r>
        <w:t xml:space="preserve">ETF from the market return. This is known as the Cross Sectional Absolute Deviation (</w:t>
      </w:r>
      <m:oMath>
        <m:r>
          <m:t>C</m:t>
        </m:r>
        <m:r>
          <m:t>S</m:t>
        </m:r>
        <m:r>
          <m:t>A</m:t>
        </m:r>
        <m:sSub>
          <m:e>
            <m:r>
              <m:t>D</m:t>
            </m:r>
          </m:e>
          <m:sub>
            <m:r>
              <m:t>t</m:t>
            </m:r>
          </m:sub>
        </m:sSub>
      </m:oMath>
      <w:r>
        <w:t xml:space="preserve">) measure. Empirically the</w:t>
      </w:r>
      <w:r>
        <w:t xml:space="preserve"> </w:t>
      </w:r>
      <m:oMath>
        <m:r>
          <m:t>C</m:t>
        </m:r>
        <m:r>
          <m:t>S</m:t>
        </m:r>
        <m:r>
          <m:t>A</m:t>
        </m:r>
        <m:sSub>
          <m:e>
            <m:r>
              <m:t>D</m:t>
            </m:r>
          </m:e>
          <m:sub>
            <m:r>
              <m:t>t</m:t>
            </m:r>
          </m:sub>
        </m:sSub>
      </m:oMath>
      <w:r>
        <w:t xml:space="preserve"> </w:t>
      </w:r>
      <w:r>
        <w:t xml:space="preserve">is defined in the following manner:</w:t>
      </w:r>
    </w:p>
    <w:p>
      <w:pPr>
        <w:pStyle w:val="BodyText"/>
      </w:pPr>
      <w:bookmarkStart w:id="24" w:name="eq-csad"/>
      <m:oMathPara>
        <m:oMathParaPr>
          <m:jc m:val="center"/>
        </m:oMathParaPr>
        <m:oMath>
          <m:r>
            <m:t>C</m:t>
          </m:r>
          <m:r>
            <m:t>S</m:t>
          </m:r>
          <m:r>
            <m:t>A</m:t>
          </m:r>
          <m:sSub>
            <m:e>
              <m:r>
                <m:t>D</m:t>
              </m:r>
            </m:e>
            <m:sub>
              <m:r>
                <m:t>t</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d>
                <m:dPr>
                  <m:begChr m:val="|"/>
                  <m:endChr m:val="|"/>
                  <m:sepChr m:val=""/>
                  <m:grow/>
                </m:dPr>
                <m:e>
                  <m:sSub>
                    <m:e>
                      <m:r>
                        <m:t>R</m:t>
                      </m:r>
                    </m:e>
                    <m:sub>
                      <m:r>
                        <m:t>i</m:t>
                      </m:r>
                      <m:r>
                        <m:rPr>
                          <m:sty m:val="p"/>
                        </m:rPr>
                        <m:t>,</m:t>
                      </m:r>
                      <m:r>
                        <m:t>t</m:t>
                      </m:r>
                    </m:sub>
                  </m:sSub>
                  <m:r>
                    <m:rPr>
                      <m:sty m:val="p"/>
                    </m:rPr>
                    <m:t>−</m:t>
                  </m:r>
                  <m:sSub>
                    <m:e>
                      <m:r>
                        <m:t>R</m:t>
                      </m:r>
                    </m:e>
                    <m:sub>
                      <m:r>
                        <m:t>m</m:t>
                      </m:r>
                      <m:r>
                        <m:rPr>
                          <m:sty m:val="p"/>
                        </m:rPr>
                        <m:t>,</m:t>
                      </m:r>
                      <m:r>
                        <m:t>t</m:t>
                      </m:r>
                    </m:sub>
                  </m:sSub>
                </m:e>
              </m:d>
            </m:e>
          </m:nary>
          <m:r>
            <m:rPr>
              <m:sty m:val="p"/>
            </m:rPr>
            <m:t>,</m:t>
          </m:r>
          <m:r>
            <m:t>  </m:t>
          </m:r>
          <m:d>
            <m:dPr>
              <m:begChr m:val="("/>
              <m:endChr m:val=")"/>
              <m:sepChr m:val=""/>
              <m:grow/>
            </m:dPr>
            <m:e>
              <m:r>
                <m:t>1</m:t>
              </m:r>
            </m:e>
          </m:d>
        </m:oMath>
      </m:oMathPara>
      <w:bookmarkEnd w:id="24"/>
    </w:p>
    <w:p>
      <w:pPr>
        <w:pStyle w:val="FirstParagraph"/>
      </w:pPr>
      <w:r>
        <w:t xml:space="preserve">where</w:t>
      </w:r>
      <w:r>
        <w:t xml:space="preserve"> </w:t>
      </w:r>
      <m:oMath>
        <m:sSub>
          <m:e>
            <m:r>
              <m:t>R</m:t>
            </m:r>
          </m:e>
          <m:sub>
            <m:r>
              <m:t>i</m:t>
            </m:r>
            <m:r>
              <m:rPr>
                <m:sty m:val="p"/>
              </m:rPr>
              <m:t>,</m:t>
            </m:r>
            <m:r>
              <m:t>t</m:t>
            </m:r>
          </m:sub>
        </m:sSub>
      </m:oMath>
      <w:r>
        <w:t xml:space="preserve"> </w:t>
      </w:r>
      <w:r>
        <w:t xml:space="preserve">is the return and</w:t>
      </w:r>
      <w:r>
        <w:t xml:space="preserve"> </w:t>
      </w:r>
      <m:oMath>
        <m:sSub>
          <m:e>
            <m:r>
              <m:t>R</m:t>
            </m:r>
          </m:e>
          <m:sub>
            <m:r>
              <m:t>m</m:t>
            </m:r>
            <m:r>
              <m:rPr>
                <m:sty m:val="p"/>
              </m:rPr>
              <m:t>,</m:t>
            </m:r>
            <m:r>
              <m:t>t</m:t>
            </m:r>
          </m:sub>
        </m:sSub>
      </m:oMath>
      <w:r>
        <w:t xml:space="preserve"> </w:t>
      </w:r>
      <w:r>
        <w:t xml:space="preserve">is the cross sectional average of returns for the sample of ETFs available for each day. The return dispersion measures the directional similarity of ETF returns to the market return. This return similarity forms the basis for the herding behaviour tests. The CSAD measure for US Alternative Energy ETFs is presented in</w:t>
      </w:r>
      <w:r>
        <w:t xml:space="preserve"> </w:t>
      </w:r>
      <w:hyperlink w:anchor="fig-csad">
        <w:r>
          <w:rPr>
            <w:rStyle w:val="Hyperlink"/>
          </w:rPr>
          <w:t xml:space="preserve">Figure 2</w:t>
        </w:r>
      </w:hyperlink>
      <w:r>
        <w:t xml:space="preserve">. Following</w:t>
      </w:r>
      <w:r>
        <w:t xml:space="preserve"> </w:t>
      </w:r>
      <w:r>
        <w:t xml:space="preserve">Galariotis, Rong, and Spyrou (</w:t>
      </w:r>
      <w:hyperlink w:anchor="ref-galariotis2015">
        <w:r>
          <w:rPr>
            <w:rStyle w:val="Hyperlink"/>
          </w:rPr>
          <w:t xml:space="preserve">2015</w:t>
        </w:r>
      </w:hyperlink>
      <w:r>
        <w:t xml:space="preserve">)</w:t>
      </w:r>
      <w:r>
        <w:t xml:space="preserve"> </w:t>
      </w:r>
      <w:r>
        <w:t xml:space="preserve">we estimate</w:t>
      </w:r>
      <w:r>
        <w:t xml:space="preserve"> </w:t>
      </w:r>
      <w:hyperlink w:anchor="eq-herding">
        <w:r>
          <w:rPr>
            <w:rStyle w:val="Hyperlink"/>
          </w:rPr>
          <w:t xml:space="preserve">Equation 2</w:t>
        </w:r>
      </w:hyperlink>
      <w:r>
        <w:t xml:space="preserve">:</w:t>
      </w:r>
    </w:p>
    <w:p>
      <w:pPr>
        <w:pStyle w:val="BodyText"/>
      </w:pPr>
      <w:bookmarkStart w:id="25" w:name="eq-herding"/>
      <m:oMathPara>
        <m:oMathParaPr>
          <m:jc m:val="center"/>
        </m:oMathParaPr>
        <m:oMath>
          <m:r>
            <m:t>C</m:t>
          </m:r>
          <m:r>
            <m:t>S</m:t>
          </m:r>
          <m:r>
            <m:t>A</m:t>
          </m:r>
          <m:sSub>
            <m:e>
              <m:r>
                <m:t>D</m:t>
              </m:r>
            </m:e>
            <m:sub>
              <m:r>
                <m:t>t</m:t>
              </m:r>
            </m:sub>
          </m:sSub>
          <m:r>
            <m:rPr>
              <m:sty m:val="p"/>
            </m:rPr>
            <m:t>=</m:t>
          </m:r>
          <m:sSub>
            <m:e>
              <m:r>
                <m:t>γ</m:t>
              </m:r>
            </m:e>
            <m:sub>
              <m:r>
                <m:t>0</m:t>
              </m:r>
            </m:sub>
          </m:sSub>
          <m:r>
            <m:rPr>
              <m:sty m:val="p"/>
            </m:rPr>
            <m:t>+</m:t>
          </m:r>
          <m:sSub>
            <m:e>
              <m:r>
                <m:t>γ</m:t>
              </m:r>
            </m:e>
            <m:sub>
              <m:r>
                <m:t>1</m:t>
              </m:r>
            </m:sub>
          </m:sSub>
          <m:sSub>
            <m:e>
              <m:r>
                <m:t>R</m:t>
              </m:r>
            </m:e>
            <m:sub>
              <m:r>
                <m:t>m</m:t>
              </m:r>
              <m:r>
                <m:rPr>
                  <m:sty m:val="p"/>
                </m:rPr>
                <m:t>,</m:t>
              </m:r>
              <m:r>
                <m:t>t</m:t>
              </m:r>
            </m:sub>
          </m:sSub>
          <m:r>
            <m:rPr>
              <m:sty m:val="p"/>
            </m:rPr>
            <m:t>+</m:t>
          </m:r>
          <m:sSub>
            <m:e>
              <m:r>
                <m:t>γ</m:t>
              </m:r>
            </m:e>
            <m:sub>
              <m:r>
                <m:t>2</m:t>
              </m:r>
            </m:sub>
          </m:sSub>
          <m:sSubSup>
            <m:e>
              <m:r>
                <m:t>R</m:t>
              </m:r>
            </m:e>
            <m:sub>
              <m:r>
                <m:t>m</m:t>
              </m:r>
              <m:r>
                <m:rPr>
                  <m:sty m:val="p"/>
                </m:rPr>
                <m:t>,</m:t>
              </m:r>
              <m:r>
                <m:t>t</m:t>
              </m:r>
            </m:sub>
            <m:sup>
              <m:r>
                <m:t>2</m:t>
              </m:r>
            </m:sup>
          </m:sSubSup>
          <m:r>
            <m:rPr>
              <m:sty m:val="p"/>
            </m:rPr>
            <m:t>+</m:t>
          </m:r>
          <m:sSub>
            <m:e>
              <m:r>
                <m:t>ϵ</m:t>
              </m:r>
            </m:e>
            <m:sub>
              <m:r>
                <m:t>t</m:t>
              </m:r>
            </m:sub>
          </m:sSub>
          <m:r>
            <m:rPr>
              <m:sty m:val="p"/>
            </m:rPr>
            <m:t>,</m:t>
          </m:r>
          <m:r>
            <m:t>  </m:t>
          </m:r>
          <m:d>
            <m:dPr>
              <m:begChr m:val="("/>
              <m:endChr m:val=")"/>
              <m:sepChr m:val=""/>
              <m:grow/>
            </m:dPr>
            <m:e>
              <m:r>
                <m:t>2</m:t>
              </m:r>
            </m:e>
          </m:d>
        </m:oMath>
      </m:oMathPara>
      <w:bookmarkEnd w:id="25"/>
    </w:p>
    <w:p>
      <w:pPr>
        <w:pStyle w:val="FirstParagraph"/>
      </w:pPr>
      <w:r>
        <w:t xml:space="preserve">where</w:t>
      </w:r>
      <w:r>
        <w:t xml:space="preserve"> </w:t>
      </w:r>
      <m:oMath>
        <m:sSub>
          <m:e>
            <m:r>
              <m:t>γ</m:t>
            </m:r>
          </m:e>
          <m:sub>
            <m:r>
              <m:t>0</m:t>
            </m:r>
          </m:sub>
        </m:sSub>
      </m:oMath>
      <w:r>
        <w:t xml:space="preserve"> </w:t>
      </w:r>
      <w:r>
        <w:t xml:space="preserve">is the intercept,</w:t>
      </w:r>
      <w:r>
        <w:t xml:space="preserve"> </w:t>
      </w:r>
      <m:oMath>
        <m:sSub>
          <m:e>
            <m:r>
              <m:t>γ</m:t>
            </m:r>
          </m:e>
          <m:sub>
            <m:r>
              <m:t>1</m:t>
            </m:r>
          </m:sub>
        </m:sSub>
      </m:oMath>
      <w:r>
        <w:t xml:space="preserve"> </w:t>
      </w:r>
      <w:r>
        <w:t xml:space="preserve">is the coefficient of the linear term,</w:t>
      </w:r>
      <w:r>
        <w:t xml:space="preserve"> </w:t>
      </w:r>
      <m:oMath>
        <m:sSub>
          <m:e>
            <m:r>
              <m:t>γ</m:t>
            </m:r>
          </m:e>
          <m:sub>
            <m:r>
              <m:t>2</m:t>
            </m:r>
          </m:sub>
        </m:sSub>
      </m:oMath>
      <w:r>
        <w:t xml:space="preserve"> </w:t>
      </w:r>
      <w:r>
        <w:t xml:space="preserve">is the coefficient of the quadratic term or the herding behaviour term, and</w:t>
      </w:r>
      <w:r>
        <w:t xml:space="preserve"> </w:t>
      </w:r>
      <m:oMath>
        <m:sSub>
          <m:e>
            <m:r>
              <m:t>ϵ</m:t>
            </m:r>
          </m:e>
          <m:sub>
            <m:r>
              <m:t>t</m:t>
            </m:r>
          </m:sub>
        </m:sSub>
      </m:oMath>
      <w:r>
        <w:t xml:space="preserve"> </w:t>
      </w:r>
      <w:r>
        <w:t xml:space="preserve">is the error term. The coefficient</w:t>
      </w:r>
      <w:r>
        <w:t xml:space="preserve"> </w:t>
      </w:r>
      <m:oMath>
        <m:sSub>
          <m:e>
            <m:r>
              <m:t>γ</m:t>
            </m:r>
          </m:e>
          <m:sub>
            <m:r>
              <m:t>2</m:t>
            </m:r>
          </m:sub>
        </m:sSub>
        <m:r>
          <m:rPr>
            <m:sty m:val="p"/>
          </m:rPr>
          <m:t>&lt;</m:t>
        </m:r>
        <m:r>
          <m:t>0</m:t>
        </m:r>
      </m:oMath>
      <w:r>
        <w:t xml:space="preserve"> </w:t>
      </w:r>
      <w:r>
        <w:t xml:space="preserve">when herding is present, and</w:t>
      </w:r>
      <w:r>
        <w:t xml:space="preserve"> </w:t>
      </w:r>
      <m:oMath>
        <m:sSub>
          <m:e>
            <m:r>
              <m:t>γ</m:t>
            </m:r>
          </m:e>
          <m:sub>
            <m:r>
              <m:t>2</m:t>
            </m:r>
          </m:sub>
        </m:sSub>
        <m:r>
          <m:rPr>
            <m:sty m:val="p"/>
          </m:rPr>
          <m:t>&gt;</m:t>
        </m:r>
        <m:r>
          <m:t>0</m:t>
        </m:r>
      </m:oMath>
      <w:r>
        <w:t xml:space="preserve"> </w:t>
      </w:r>
      <w:r>
        <w:t xml:space="preserve">when anti-herding is present. To ensure the robustness of the estimate, we estimate</w:t>
      </w:r>
      <w:r>
        <w:t xml:space="preserve"> </w:t>
      </w:r>
      <m:oMath>
        <m:r>
          <m:t>C</m:t>
        </m:r>
        <m:r>
          <m:t>S</m:t>
        </m:r>
        <m:r>
          <m:t>A</m:t>
        </m:r>
        <m:sSub>
          <m:e>
            <m:r>
              <m:t>D</m:t>
            </m:r>
          </m:e>
          <m:sub>
            <m:r>
              <m:t>t</m:t>
            </m:r>
          </m:sub>
        </m:sSub>
      </m:oMath>
      <w:r>
        <w:t xml:space="preserve"> </w:t>
      </w:r>
      <w:r>
        <w:t xml:space="preserve">with Newey-West standard errors</w:t>
      </w:r>
      <w:r>
        <w:t xml:space="preserve"> </w:t>
      </w:r>
      <w:r>
        <w:t xml:space="preserve">(See</w:t>
      </w:r>
      <w:r>
        <w:t xml:space="preserve"> </w:t>
      </w:r>
      <w:hyperlink w:anchor="ref-newey1987">
        <w:r>
          <w:rPr>
            <w:rStyle w:val="Hyperlink"/>
          </w:rPr>
          <w:t xml:space="preserve">Newey and West 1987</w:t>
        </w:r>
      </w:hyperlink>
      <w:r>
        <w:t xml:space="preserve">)</w:t>
      </w:r>
      <w:r>
        <w:t xml:space="preserve">.</w:t>
      </w:r>
    </w:p>
    <w:p>
      <w:pPr>
        <w:pStyle w:val="BodyText"/>
      </w:pPr>
      <w:r>
        <w:t xml:space="preserve">Based on the above and in order to provide additional insight on the herding phenomenon we examine whether herding presents an asymmetric response on days when the market is up vis-à-vis days when the market is down. To this end, we augment</w:t>
      </w:r>
      <w:r>
        <w:t xml:space="preserve"> </w:t>
      </w:r>
      <w:hyperlink w:anchor="eq-herding">
        <w:r>
          <w:rPr>
            <w:rStyle w:val="Hyperlink"/>
          </w:rPr>
          <w:t xml:space="preserve">Equation 2</w:t>
        </w:r>
      </w:hyperlink>
      <w:r>
        <w:t xml:space="preserve"> </w:t>
      </w:r>
      <w:r>
        <w:t xml:space="preserve">as follows:</w:t>
      </w:r>
    </w:p>
    <w:p>
      <w:pPr>
        <w:pStyle w:val="BodyText"/>
      </w:pPr>
      <w:bookmarkStart w:id="26" w:name="eq-asymmetry"/>
      <m:oMathPara>
        <m:oMathParaPr>
          <m:jc m:val="center"/>
        </m:oMathParaPr>
        <m:oMath>
          <m:r>
            <m:t>C</m:t>
          </m:r>
          <m:r>
            <m:t>S</m:t>
          </m:r>
          <m:r>
            <m:t>A</m:t>
          </m:r>
          <m:sSub>
            <m:e>
              <m:r>
                <m:t>D</m:t>
              </m:r>
            </m:e>
            <m:sub>
              <m:r>
                <m:t>t</m:t>
              </m:r>
            </m:sub>
          </m:sSub>
          <m:r>
            <m:rPr>
              <m:sty m:val="p"/>
            </m:rPr>
            <m:t>=</m:t>
          </m:r>
          <m:sSub>
            <m:e>
              <m:r>
                <m:t>γ</m:t>
              </m:r>
            </m:e>
            <m:sub>
              <m:r>
                <m:t>0</m:t>
              </m:r>
            </m:sub>
          </m:sSub>
          <m:r>
            <m:rPr>
              <m:sty m:val="p"/>
            </m:rPr>
            <m:t>+</m:t>
          </m:r>
          <m:sSub>
            <m:e>
              <m:r>
                <m:t>γ</m:t>
              </m:r>
            </m:e>
            <m:sub>
              <m:r>
                <m:t>1</m:t>
              </m:r>
            </m:sub>
          </m:sSub>
          <m:d>
            <m:dPr>
              <m:begChr m:val="("/>
              <m:endChr m:val=")"/>
              <m:sepChr m:val=""/>
              <m:grow/>
            </m:dPr>
            <m:e>
              <m:r>
                <m:t>1</m:t>
              </m:r>
              <m:r>
                <m:rPr>
                  <m:sty m:val="p"/>
                </m:rPr>
                <m:t>−</m:t>
              </m:r>
              <m:r>
                <m:t>D</m:t>
              </m:r>
            </m:e>
          </m:d>
          <m:sSub>
            <m:e>
              <m:r>
                <m:t>R</m:t>
              </m:r>
            </m:e>
            <m:sub>
              <m:r>
                <m:t>m</m:t>
              </m:r>
              <m:r>
                <m:rPr>
                  <m:sty m:val="p"/>
                </m:rPr>
                <m:t>,</m:t>
              </m:r>
              <m:r>
                <m:t>t</m:t>
              </m:r>
            </m:sub>
          </m:sSub>
          <m:r>
            <m:rPr>
              <m:sty m:val="p"/>
            </m:rPr>
            <m:t>+</m:t>
          </m:r>
          <m:sSub>
            <m:e>
              <m:r>
                <m:t>γ</m:t>
              </m:r>
            </m:e>
            <m:sub>
              <m:r>
                <m:t>2</m:t>
              </m:r>
            </m:sub>
          </m:sSub>
          <m:r>
            <m:t>D</m:t>
          </m:r>
          <m:sSub>
            <m:e>
              <m:r>
                <m:t>R</m:t>
              </m:r>
            </m:e>
            <m:sub>
              <m:r>
                <m:t>m</m:t>
              </m:r>
              <m:r>
                <m:rPr>
                  <m:sty m:val="p"/>
                </m:rPr>
                <m:t>,</m:t>
              </m:r>
              <m:r>
                <m:t>t</m:t>
              </m:r>
            </m:sub>
          </m:sSub>
          <m:r>
            <m:rPr>
              <m:sty m:val="p"/>
            </m:rPr>
            <m:t>+</m:t>
          </m:r>
          <m:sSub>
            <m:e>
              <m:r>
                <m:t>γ</m:t>
              </m:r>
            </m:e>
            <m:sub>
              <m:r>
                <m:t>3</m:t>
              </m:r>
            </m:sub>
          </m:sSub>
          <m:d>
            <m:dPr>
              <m:begChr m:val="("/>
              <m:endChr m:val=")"/>
              <m:sepChr m:val=""/>
              <m:grow/>
            </m:dPr>
            <m:e>
              <m:r>
                <m:t>1</m:t>
              </m:r>
              <m:r>
                <m:rPr>
                  <m:sty m:val="p"/>
                </m:rPr>
                <m:t>−</m:t>
              </m:r>
              <m:r>
                <m:t>D</m:t>
              </m:r>
            </m:e>
          </m:d>
          <m:sSubSup>
            <m:e>
              <m:r>
                <m:t>R</m:t>
              </m:r>
            </m:e>
            <m:sub>
              <m:r>
                <m:t>m</m:t>
              </m:r>
              <m:r>
                <m:rPr>
                  <m:sty m:val="p"/>
                </m:rPr>
                <m:t>,</m:t>
              </m:r>
              <m:r>
                <m:t>t</m:t>
              </m:r>
            </m:sub>
            <m:sup>
              <m:r>
                <m:t>2</m:t>
              </m:r>
            </m:sup>
          </m:sSubSup>
          <m:r>
            <m:rPr>
              <m:sty m:val="p"/>
            </m:rPr>
            <m:t>+</m:t>
          </m:r>
          <m:sSub>
            <m:e>
              <m:r>
                <m:t>γ</m:t>
              </m:r>
            </m:e>
            <m:sub>
              <m:r>
                <m:t>4</m:t>
              </m:r>
            </m:sub>
          </m:sSub>
          <m:r>
            <m:t>D</m:t>
          </m:r>
          <m:sSubSup>
            <m:e>
              <m:r>
                <m:t>R</m:t>
              </m:r>
            </m:e>
            <m:sub>
              <m:r>
                <m:t>m</m:t>
              </m:r>
              <m:r>
                <m:rPr>
                  <m:sty m:val="p"/>
                </m:rPr>
                <m:t>,</m:t>
              </m:r>
              <m:r>
                <m:t>t</m:t>
              </m:r>
            </m:sub>
            <m:sup>
              <m:r>
                <m:t>2</m:t>
              </m:r>
            </m:sup>
          </m:sSubSup>
          <m:r>
            <m:rPr>
              <m:sty m:val="p"/>
            </m:rPr>
            <m:t>+</m:t>
          </m:r>
          <m:sSub>
            <m:e>
              <m:r>
                <m:t>ϵ</m:t>
              </m:r>
            </m:e>
            <m:sub>
              <m:r>
                <m:t>t</m:t>
              </m:r>
            </m:sub>
          </m:sSub>
          <m:r>
            <m:rPr>
              <m:sty m:val="p"/>
            </m:rPr>
            <m:t>,</m:t>
          </m:r>
          <m:r>
            <m:t>  </m:t>
          </m:r>
          <m:d>
            <m:dPr>
              <m:begChr m:val="("/>
              <m:endChr m:val=")"/>
              <m:sepChr m:val=""/>
              <m:grow/>
            </m:dPr>
            <m:e>
              <m:r>
                <m:t>3</m:t>
              </m:r>
            </m:e>
          </m:d>
        </m:oMath>
      </m:oMathPara>
      <w:bookmarkEnd w:id="26"/>
    </w:p>
    <w:p>
      <w:pPr>
        <w:pStyle w:val="FirstParagraph"/>
      </w:pPr>
      <w:r>
        <w:t xml:space="preserve">where</w:t>
      </w:r>
      <w:r>
        <w:t xml:space="preserve"> </w:t>
      </w:r>
      <m:oMath>
        <m:r>
          <m:t>D</m:t>
        </m:r>
      </m:oMath>
      <w:r>
        <w:t xml:space="preserve"> </w:t>
      </w:r>
      <w:r>
        <w:t xml:space="preserve">is a dummy variable that takes the value of 1 when the market return is negative and 0 otherwise. Therefore, our exploration of asymmetric behaviour of herding phenomenon is carried through the inspection of the statistical significance and the sign of the two estimated coefficients</w:t>
      </w:r>
      <w:r>
        <w:t xml:space="preserve"> </w:t>
      </w:r>
      <m:oMath>
        <m:sSub>
          <m:e>
            <m:r>
              <m:t>γ</m:t>
            </m:r>
          </m:e>
          <m:sub>
            <m:r>
              <m:t>3</m:t>
            </m:r>
          </m:sub>
        </m:sSub>
      </m:oMath>
      <w:r>
        <w:t xml:space="preserve"> </w:t>
      </w:r>
      <w:r>
        <w:t xml:space="preserve">versus</w:t>
      </w:r>
      <w:r>
        <w:t xml:space="preserve"> </w:t>
      </w:r>
      <m:oMath>
        <m:sSub>
          <m:e>
            <m:r>
              <m:t>γ</m:t>
            </m:r>
          </m:e>
          <m:sub>
            <m:r>
              <m:t>4</m:t>
            </m:r>
          </m:sub>
        </m:sSub>
      </m:oMath>
      <w:r>
        <w:t xml:space="preserve"> </w:t>
      </w:r>
      <w:r>
        <w:t xml:space="preserve">(up versus down markets).</w:t>
      </w:r>
    </w:p>
    <w:bookmarkEnd w:id="27"/>
    <w:bookmarkEnd w:id="28"/>
    <w:bookmarkStart w:id="46" w:name="results"/>
    <w:p>
      <w:pPr>
        <w:pStyle w:val="Heading1"/>
      </w:pPr>
      <w:r>
        <w:t xml:space="preserve">Results</w:t>
      </w:r>
    </w:p>
    <w:bookmarkStart w:id="31" w:name="herding-behaviour"/>
    <w:p>
      <w:pPr>
        <w:pStyle w:val="Heading2"/>
      </w:pPr>
      <w:r>
        <w:t xml:space="preserve">Herding behaviour</w:t>
      </w:r>
    </w:p>
    <w:p>
      <w:pPr>
        <w:pStyle w:val="FirstParagraph"/>
      </w:pPr>
      <w:r>
        <w:t xml:space="preserve">Rational asset pricing models</w:t>
      </w:r>
      <w:r>
        <w:t xml:space="preserve"> </w:t>
      </w:r>
      <w:r>
        <w:t xml:space="preserve">(for example,</w:t>
      </w:r>
      <w:r>
        <w:t xml:space="preserve"> </w:t>
      </w:r>
      <w:hyperlink w:anchor="ref-black1972">
        <w:r>
          <w:rPr>
            <w:rStyle w:val="Hyperlink"/>
          </w:rPr>
          <w:t xml:space="preserve">Black 1972</w:t>
        </w:r>
      </w:hyperlink>
      <w:r>
        <w:t xml:space="preserve">)</w:t>
      </w:r>
      <w:r>
        <w:t xml:space="preserve"> </w:t>
      </w:r>
      <w:r>
        <w:t xml:space="preserve">predict a linear relationship between return dispersion and market returns under normal conditions, a relationship that is no longer valid in the presence of herding. Herding behaviour leads to an increasing or decreasing cross sectional dispersion with respect to market returns. In other words, herding is captured by a non-linear term in the standard pricing equation indicating a decreasing or an increasing returns’ dispersion.</w:t>
      </w:r>
    </w:p>
    <w:p>
      <w:pPr>
        <w:pStyle w:val="BodyText"/>
      </w:pPr>
      <w:r>
        <w:t xml:space="preserve">Stated differently, as</w:t>
      </w:r>
      <w:r>
        <w:t xml:space="preserve"> </w:t>
      </w:r>
      <w:r>
        <w:t xml:space="preserve">Chang, Cheng, and Khorana (</w:t>
      </w:r>
      <w:hyperlink w:anchor="ref-chang2000">
        <w:r>
          <w:rPr>
            <w:rStyle w:val="Hyperlink"/>
          </w:rPr>
          <w:t xml:space="preserve">2000</w:t>
        </w:r>
      </w:hyperlink>
      <w:r>
        <w:t xml:space="preserve">)</w:t>
      </w:r>
      <w:r>
        <w:t xml:space="preserve"> </w:t>
      </w:r>
      <w:r>
        <w:t xml:space="preserve">argue, in the case of herding the coefficient on the non-linear term (</w:t>
      </w:r>
      <m:oMath>
        <m:sSub>
          <m:e>
            <m:r>
              <m:t>γ</m:t>
            </m:r>
          </m:e>
          <m:sub>
            <m:r>
              <m:t>2</m:t>
            </m:r>
          </m:sub>
        </m:sSub>
      </m:oMath>
      <w:r>
        <w:t xml:space="preserve">) will be negative and statistically significant.</w:t>
      </w:r>
      <w:r>
        <w:t xml:space="preserve"> </w:t>
      </w:r>
      <w:hyperlink w:anchor="tbl-herding">
        <w:r>
          <w:rPr>
            <w:rStyle w:val="Hyperlink"/>
          </w:rPr>
          <w:t xml:space="preserve">Table 1</w:t>
        </w:r>
      </w:hyperlink>
      <w:r>
        <w:t xml:space="preserve"> </w:t>
      </w:r>
      <w:r>
        <w:t xml:space="preserve">presents the results of herding for the full sample employing the non-linear</w:t>
      </w:r>
      <w:r>
        <w:t xml:space="preserve"> </w:t>
      </w:r>
      <w:hyperlink w:anchor="eq-herding">
        <w:r>
          <w:rPr>
            <w:rStyle w:val="Hyperlink"/>
          </w:rPr>
          <w:t xml:space="preserve">Equation 2</w:t>
        </w:r>
      </w:hyperlink>
      <w:r>
        <w:t xml:space="preserve">. The estimated coefficient on market return is positive and highly significant as expected. The estimated coefficient on the non-linear term is negative (-1.2773) and statistically significant with a t-statistic of -9.71 suggesting that herd behaviour is present and robust in the US alternative energy ETFs.</w:t>
      </w:r>
    </w:p>
    <w:tbl>
      <w:tblPr>
        <w:tblStyle w:val="Table"/>
        <w:tblW w:type="pct" w:w="5000"/>
        <w:tblLayout w:type="fixed"/>
        <w:tblLook w:firstRow="0" w:lastRow="0" w:firstColumn="0" w:lastColumn="0" w:noHBand="0" w:noVBand="0" w:val="0000"/>
      </w:tblPr>
      <w:tblGrid>
        <w:gridCol w:w="7920"/>
      </w:tblGrid>
      <w:tr>
        <w:tc>
          <w:tcPr/>
          <w:bookmarkStart w:id="29" w:name="tbl-herding"/>
          <w:p>
            <w:pPr>
              <w:jc w:val="center"/>
            </w:pPr>
            <w:pPr>
              <w:jc w:val="start"/>
              <w:spacing w:before="200"/>
              <w:pStyle w:val="ImageCaption"/>
            </w:pPr>
            <w:r>
              <w:t xml:space="preserve">Table 1: Estimation results of herding in the U.S. equity alternative energy ETFs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859"/>
              <w:gridCol w:w="2859"/>
              <w:gridCol w:w="285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514"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0.0038**</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0.2883***</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-1.2773***</w:t>
                  </w:r>
                </w:p>
              </w:tc>
            </w:tr>
            <w:tr>
              <w:trPr>
                <w:trHeight w:val="542" w:hRule="auto"/>
              </w:trPr>
              body2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(47.09)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(33.333)</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(-9.71)</w:t>
                  </w:r>
                </w:p>
              </w:tc>
            </w:tr>
            <w:tr>
              <w:trPr>
                <w:trHeight w:val="360" w:hRule="auto"/>
              </w:trPr>
              footer1
              <w:tc>
                <w:tcPr>
                  <w:gridSpan w:val="3"/>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 denotes significance at 10%,5% and 1% respectively.</w:t>
                  </w:r>
                </w:p>
              </w:tc>
            </w:tr>
          </w:tbl>
          <w:bookmarkEnd w:id="29"/>
        </w:tc>
      </w:tr>
    </w:tbl>
    <w:p>
      <w:pPr>
        <w:pStyle w:val="BodyText"/>
      </w:pPr>
      <w:r>
        <w:t xml:space="preserve">There is ample evidence in the relevant literature that herding behaviour in various asset markets</w:t>
      </w:r>
      <w:r>
        <w:t xml:space="preserve"> </w:t>
      </w:r>
      <w:r>
        <w:t xml:space="preserve">(see</w:t>
      </w:r>
      <w:r>
        <w:t xml:space="preserve"> </w:t>
      </w:r>
      <w:hyperlink w:anchor="ref-pochea2017">
        <w:r>
          <w:rPr>
            <w:rStyle w:val="Hyperlink"/>
          </w:rPr>
          <w:t xml:space="preserve">Pochea, Filip, and Pece 2017</w:t>
        </w:r>
      </w:hyperlink>
      <w:r>
        <w:t xml:space="preserve">)</w:t>
      </w:r>
      <w:r>
        <w:t xml:space="preserve"> </w:t>
      </w:r>
      <w:r>
        <w:t xml:space="preserve">exhibits asymmetry and time-varying characteristics. To this end, we proceed to estimate</w:t>
      </w:r>
      <w:r>
        <w:t xml:space="preserve"> </w:t>
      </w:r>
      <w:hyperlink w:anchor="eq-herding">
        <w:r>
          <w:rPr>
            <w:rStyle w:val="Hyperlink"/>
          </w:rPr>
          <w:t xml:space="preserve">Equation 2</w:t>
        </w:r>
      </w:hyperlink>
      <w:r>
        <w:t xml:space="preserve"> </w:t>
      </w:r>
      <w:r>
        <w:t xml:space="preserve">using the quantile regression (QR) proposed by</w:t>
      </w:r>
      <w:r>
        <w:t xml:space="preserve"> </w:t>
      </w:r>
      <w:r>
        <w:t xml:space="preserve">Koenker and Bassett (</w:t>
      </w:r>
      <w:hyperlink w:anchor="ref-koenker1978">
        <w:r>
          <w:rPr>
            <w:rStyle w:val="Hyperlink"/>
          </w:rPr>
          <w:t xml:space="preserve">1978</w:t>
        </w:r>
      </w:hyperlink>
      <w:r>
        <w:t xml:space="preserve">)</w:t>
      </w:r>
      <w:r>
        <w:t xml:space="preserve">.</w:t>
      </w:r>
      <w:r>
        <w:t xml:space="preserve"> </w:t>
      </w:r>
      <w:hyperlink w:anchor="tbl-quantile_herding">
        <w:r>
          <w:rPr>
            <w:rStyle w:val="Hyperlink"/>
          </w:rPr>
          <w:t xml:space="preserve">Table 2</w:t>
        </w:r>
      </w:hyperlink>
      <w:r>
        <w:t xml:space="preserve"> </w:t>
      </w:r>
      <w:r>
        <w:t xml:space="preserve">presents the results of estimating</w:t>
      </w:r>
      <w:r>
        <w:t xml:space="preserve"> </w:t>
      </w:r>
      <w:hyperlink w:anchor="eq-herding">
        <w:r>
          <w:rPr>
            <w:rStyle w:val="Hyperlink"/>
          </w:rPr>
          <w:t xml:space="preserve">Equation 2</w:t>
        </w:r>
      </w:hyperlink>
      <w:r>
        <w:t xml:space="preserve"> </w:t>
      </w:r>
      <w:r>
        <w:t xml:space="preserve">across various quantiles of the returns dispersion. Our focus is on the herding coefficient</w:t>
      </w:r>
      <w:r>
        <w:t xml:space="preserve"> </w:t>
      </w:r>
      <m:oMath>
        <m:sSub>
          <m:e>
            <m:r>
              <m:t>γ</m:t>
            </m:r>
          </m:e>
          <m:sub>
            <m:r>
              <m:t>2</m:t>
            </m:r>
          </m:sub>
        </m:sSub>
      </m:oMath>
      <w:r>
        <w:t xml:space="preserve">, as a significant negative value of</w:t>
      </w:r>
      <w:r>
        <w:t xml:space="preserve"> </w:t>
      </w:r>
      <m:oMath>
        <m:sSub>
          <m:e>
            <m:r>
              <m:t>γ</m:t>
            </m:r>
          </m:e>
          <m:sub>
            <m:r>
              <m:t>2</m:t>
            </m:r>
          </m:sub>
        </m:sSub>
      </m:oMath>
      <w:r>
        <w:t xml:space="preserve"> </w:t>
      </w:r>
      <w:r>
        <w:t xml:space="preserve">is indicative of herding. Such a finding is observed at two quantiles namely 25% and 50% with a value of -1.1056 and -1.165 which are highly significant. It is worth mentioning that the sign of the herding coefficient remains negative for almost all quantiles while the significance changes from significant to insignificant while we move from low and middle to upper quantiles (75% and 90%).</w:t>
      </w:r>
    </w:p>
    <w:tbl>
      <w:tblPr>
        <w:tblStyle w:val="Table"/>
        <w:tblW w:type="pct" w:w="5000"/>
        <w:tblLayout w:type="fixed"/>
        <w:tblLook w:firstRow="0" w:lastRow="0" w:firstColumn="0" w:lastColumn="0" w:noHBand="0" w:noVBand="0" w:val="0000"/>
      </w:tblPr>
      <w:tblGrid>
        <w:gridCol w:w="7920"/>
      </w:tblGrid>
      <w:tr>
        <w:tc>
          <w:tcPr/>
          <w:bookmarkStart w:id="30" w:name="tbl-quantile_herding"/>
          <w:p>
            <w:pPr>
              <w:jc w:val="center"/>
            </w:pPr>
            <w:pPr>
              <w:jc w:val="start"/>
              <w:spacing w:before="200"/>
              <w:pStyle w:val="ImageCaption"/>
            </w:pPr>
            <w:r>
              <w:t xml:space="preserve">Table 2: Estimation results of herding across various quantiles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39"/>
              <w:gridCol w:w="2139"/>
              <w:gridCol w:w="2139"/>
              <w:gridCol w:w="213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Quantile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0.0016***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0.2536***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-1.3736</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0.2461***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-1.1056***</w:t>
                  </w:r>
                </w:p>
              </w:tc>
            </w:tr>
            <w:tr>
              <w:trPr>
                <w:trHeight w:val="69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0.2648***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-1.165***</w:t>
                  </w:r>
                </w:p>
              </w:tc>
            </w:tr>
            <w:tr>
              <w:trPr>
                <w:trHeight w:val="69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0.3011***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-1.1473***</w:t>
                  </w:r>
                </w:p>
              </w:tc>
            </w:tr>
            <w:tr>
              <w:trPr>
                <w:trHeight w:val="699" w:hRule="auto"/>
              </w:trPr>
              body5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0.0064***</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0.2999***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0.2314</w:t>
                  </w:r>
                </w:p>
              </w:tc>
            </w:tr>
            <w:tr>
              <w:trPr>
                <w:trHeight w:val="360" w:hRule="auto"/>
              </w:trPr>
              footer1
              <w:tc>
                <w:tcPr>
                  <w:gridSpan w:val="4"/>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This table presents the estimation results of herding of US Alternative energy equity ETFs according to Equation 2 in various quantiles 10, 25, 50, 75 and 90% of the returns 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denotes significance at 10%,5% and 1% respectively.</w:t>
                  </w:r>
                </w:p>
              </w:tc>
            </w:tr>
          </w:tbl>
          <w:bookmarkEnd w:id="30"/>
        </w:tc>
      </w:tr>
    </w:tbl>
    <w:bookmarkEnd w:id="31"/>
    <w:bookmarkStart w:id="33" w:name="Xc1819a3b6bd38b902d9cd7a1337d368882fa059"/>
    <w:p>
      <w:pPr>
        <w:pStyle w:val="Heading2"/>
      </w:pPr>
      <w:r>
        <w:t xml:space="preserve">Herding behaviour during extreme market periods</w:t>
      </w:r>
    </w:p>
    <w:p>
      <w:pPr>
        <w:pStyle w:val="FirstParagraph"/>
      </w:pPr>
      <w:r>
        <w:t xml:space="preserve">It is widely accepted that asset returns are characterized by asymmetry, that is, return dispersion tend to behave differently in rising and falling markets</w:t>
      </w:r>
      <w:r>
        <w:t xml:space="preserve"> </w:t>
      </w:r>
      <w:r>
        <w:t xml:space="preserve">(see</w:t>
      </w:r>
      <w:r>
        <w:t xml:space="preserve"> </w:t>
      </w:r>
      <w:hyperlink w:anchor="ref-geert2000">
        <w:r>
          <w:rPr>
            <w:rStyle w:val="Hyperlink"/>
          </w:rPr>
          <w:t xml:space="preserve">Geert and Guojun 2000</w:t>
        </w:r>
      </w:hyperlink>
      <w:r>
        <w:t xml:space="preserve">;</w:t>
      </w:r>
      <w:r>
        <w:t xml:space="preserve"> </w:t>
      </w:r>
      <w:hyperlink w:anchor="ref-zhou2013">
        <w:r>
          <w:rPr>
            <w:rStyle w:val="Hyperlink"/>
          </w:rPr>
          <w:t xml:space="preserve">Zhou and Anderson 2013</w:t>
        </w:r>
      </w:hyperlink>
      <w:r>
        <w:t xml:space="preserve">;</w:t>
      </w:r>
      <w:r>
        <w:t xml:space="preserve"> </w:t>
      </w:r>
      <w:hyperlink w:anchor="ref-longin2001">
        <w:r>
          <w:rPr>
            <w:rStyle w:val="Hyperlink"/>
          </w:rPr>
          <w:t xml:space="preserve">Longin and Solnik 2001</w:t>
        </w:r>
      </w:hyperlink>
      <w:r>
        <w:t xml:space="preserve">)</w:t>
      </w:r>
      <w:r>
        <w:t xml:space="preserve">. It should be noted, that examining the relationship between returns dispersion and market-wide returns across various quantiles of the returns distribution allows us to make more robust inference regarding the true behaviour of the phenomenon.</w:t>
      </w:r>
      <w:r>
        <w:t xml:space="preserve"> </w:t>
      </w:r>
      <w:hyperlink w:anchor="tbl-asymmetry_herding">
        <w:r>
          <w:rPr>
            <w:rStyle w:val="Hyperlink"/>
          </w:rPr>
          <w:t xml:space="preserve">Table 3</w:t>
        </w:r>
      </w:hyperlink>
      <w:r>
        <w:t xml:space="preserve"> </w:t>
      </w:r>
      <w:r>
        <w:t xml:space="preserve">reports the estimation results of herding in the up and down markets based on</w:t>
      </w:r>
      <w:r>
        <w:t xml:space="preserve"> </w:t>
      </w:r>
      <w:hyperlink w:anchor="eq-asymmetry">
        <w:r>
          <w:rPr>
            <w:rStyle w:val="Hyperlink"/>
          </w:rPr>
          <w:t xml:space="preserve">Equation 3</w:t>
        </w:r>
      </w:hyperlink>
      <w:r>
        <w:t xml:space="preserve">. In general, we find that herding is more likely to occur in down markets than in up markets, which is indicative of the asymmetry of herding behaviour.</w:t>
      </w:r>
    </w:p>
    <w:tbl>
      <w:tblPr>
        <w:tblStyle w:val="Table"/>
        <w:tblW w:type="pct" w:w="5000"/>
        <w:tblLayout w:type="fixed"/>
        <w:tblLook w:firstRow="0" w:lastRow="0" w:firstColumn="0" w:lastColumn="0" w:noHBand="0" w:noVBand="0" w:val="0000"/>
      </w:tblPr>
      <w:tblGrid>
        <w:gridCol w:w="7920"/>
      </w:tblGrid>
      <w:tr>
        <w:tc>
          <w:tcPr/>
          <w:bookmarkStart w:id="32" w:name="tbl-asymmetry_herding"/>
          <w:p>
            <w:pPr>
              <w:jc w:val="center"/>
            </w:pPr>
            <w:pPr>
              <w:jc w:val="start"/>
              <w:spacing w:before="200"/>
              <w:pStyle w:val="ImageCaption"/>
            </w:pPr>
            <w:r>
              <w:t xml:space="preserve">Table 3: Estimation results of herding in up and down markets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419"/>
              <w:gridCol w:w="1419"/>
              <w:gridCol w:w="1419"/>
              <w:gridCol w:w="1419"/>
              <w:gridCol w:w="1419"/>
              <w:gridCol w:w="1419"/>
            </w:tblGrid>
            <w:tr>
              <w:trPr>
                <w:trHeight w:val="699"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Quantile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0.0016***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0.2532***</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-1.3669***</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-0.2522***</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-1.1522</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0.2475***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-1.2383**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-0.2477***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-1.1171***</w:t>
                  </w:r>
                </w:p>
              </w:tc>
            </w:tr>
            <w:tr>
              <w:trPr>
                <w:trHeight w:val="69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0.2247***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0.3838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-0.2634***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-1.3144***</w:t>
                  </w:r>
                </w:p>
              </w:tc>
            </w:tr>
            <w:tr>
              <w:trPr>
                <w:trHeight w:val="699"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0.2500***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1.3135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-0.2785***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-0.9721***</w:t>
                  </w:r>
                </w:p>
              </w:tc>
            </w:tr>
            <w:tr>
              <w:trPr>
                <w:trHeight w:val="699" w:hRule="auto"/>
              </w:trPr>
              body5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0.0065***</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0.2788***</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1.0169</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-0.2942***</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-1.2003***</w:t>
                  </w:r>
                </w:p>
              </w:tc>
            </w:tr>
            <w:tr>
              <w:trPr>
                <w:trHeight w:val="360" w:hRule="auto"/>
              </w:trPr>
              footer1
              <w:tc>
                <w:tcPr>
                  <w:gridSpan w:val="6"/>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This table presents the estimation results of herding of US Alternative energy equity ETFs according to Equation (3). *,**,***denotes significance at 10%,5% and 1% respectively.</w:t>
                  </w:r>
                </w:p>
              </w:tc>
            </w:tr>
          </w:tbl>
          <w:bookmarkEnd w:id="32"/>
        </w:tc>
      </w:tr>
    </w:tbl>
    <w:p>
      <w:pPr>
        <w:pStyle w:val="BodyText"/>
      </w:pPr>
      <w:r>
        <w:t xml:space="preserve">Herding is present at all quantiles when markets are rising with an estimated coefficient</w:t>
      </w:r>
      <w:r>
        <w:t xml:space="preserve"> </w:t>
      </w:r>
      <m:oMath>
        <m:sSub>
          <m:e>
            <m:r>
              <m:t>γ</m:t>
            </m:r>
          </m:e>
          <m:sub>
            <m:r>
              <m:t>3</m:t>
            </m:r>
          </m:sub>
        </m:sSub>
      </m:oMath>
      <w:r>
        <w:t xml:space="preserve"> </w:t>
      </w:r>
      <w:r>
        <w:t xml:space="preserve">of -1.3669 and -1.2383 and highly significant respectively. However, when markets are declining, investors seem to neglect their own information set and imitate the actions of others resulting in a highly significant coefficient of herding (</w:t>
      </w:r>
      <m:oMath>
        <m:sSub>
          <m:e>
            <m:r>
              <m:t>γ</m:t>
            </m:r>
          </m:e>
          <m:sub>
            <m:r>
              <m:t>4</m:t>
            </m:r>
          </m:sub>
        </m:sSub>
      </m:oMath>
      <w:r>
        <w:t xml:space="preserve">) across four out of five quantiles. Furthermore, we find that in high quantiles (75% and 90%) and when markets are rising the coefficient of interest (</w:t>
      </w:r>
      <m:oMath>
        <m:sSub>
          <m:e>
            <m:r>
              <m:t>γ</m:t>
            </m:r>
          </m:e>
          <m:sub>
            <m:r>
              <m:t>3</m:t>
            </m:r>
          </m:sub>
        </m:sSub>
      </m:oMath>
      <w:r>
        <w:t xml:space="preserve">) turns positive but insignificant.</w:t>
      </w:r>
    </w:p>
    <w:bookmarkEnd w:id="33"/>
    <w:bookmarkStart w:id="38" w:name="herding-behaviour-over-time"/>
    <w:p>
      <w:pPr>
        <w:pStyle w:val="Heading2"/>
      </w:pPr>
      <w:r>
        <w:t xml:space="preserve">Herding behaviour over-time</w:t>
      </w:r>
    </w:p>
    <w:p>
      <w:pPr>
        <w:pStyle w:val="FirstParagraph"/>
      </w:pPr>
      <w:r>
        <w:t xml:space="preserve">There is ample evidence that herding might be time dependent</w:t>
      </w:r>
      <w:r>
        <w:t xml:space="preserve"> </w:t>
      </w:r>
      <w:r>
        <w:t xml:space="preserve">(see</w:t>
      </w:r>
      <w:r>
        <w:t xml:space="preserve"> </w:t>
      </w:r>
      <w:hyperlink w:anchor="ref-babalos2015">
        <w:r>
          <w:rPr>
            <w:rStyle w:val="Hyperlink"/>
          </w:rPr>
          <w:t xml:space="preserve">Babalos, Stavroyiannis, and Gupta 2015</w:t>
        </w:r>
      </w:hyperlink>
      <w:r>
        <w:t xml:space="preserve">;</w:t>
      </w:r>
      <w:r>
        <w:t xml:space="preserve"> </w:t>
      </w:r>
      <w:hyperlink w:anchor="ref-klein2013">
        <w:r>
          <w:rPr>
            <w:rStyle w:val="Hyperlink"/>
          </w:rPr>
          <w:t xml:space="preserve">Klein 2013</w:t>
        </w:r>
      </w:hyperlink>
      <w:r>
        <w:t xml:space="preserve">;</w:t>
      </w:r>
      <w:r>
        <w:t xml:space="preserve"> </w:t>
      </w:r>
      <w:hyperlink w:anchor="ref-stavroyiannis2019">
        <w:r>
          <w:rPr>
            <w:rStyle w:val="Hyperlink"/>
          </w:rPr>
          <w:t xml:space="preserve">Stavroyiannis and Babalos 2019</w:t>
        </w:r>
      </w:hyperlink>
      <w:r>
        <w:t xml:space="preserve">)</w:t>
      </w:r>
      <w:r>
        <w:t xml:space="preserve">. In order to gain further insight on the time varying nature of herding we conducted a rolling window analysis. The size of the rolling window is related to the time-scales of the system (response times), and the aim of the research</w:t>
      </w:r>
      <w:r>
        <w:t xml:space="preserve"> </w:t>
      </w:r>
      <w:r>
        <w:t xml:space="preserve">(</w:t>
      </w:r>
      <w:hyperlink w:anchor="ref-babalos2015">
        <w:r>
          <w:rPr>
            <w:rStyle w:val="Hyperlink"/>
          </w:rPr>
          <w:t xml:space="preserve">Babalos, Stavroyiannis, and Gupta 2015</w:t>
        </w:r>
      </w:hyperlink>
      <w:r>
        <w:t xml:space="preserve">)</w:t>
      </w:r>
      <w:r>
        <w:t xml:space="preserve">. There is no golden rule for the right size of the rolling window, there is a trade-off between having a long enough window to estimate the metrics, and short enough to have a sufficient number of windows in order to be able to derive a trend. In light of the above discussion we set off to conduct a rolling window analysis of 50 observations.</w:t>
      </w:r>
      <w:r>
        <w:t xml:space="preserve"> </w:t>
      </w:r>
      <w:hyperlink w:anchor="fig-rolling_window">
        <w:r>
          <w:rPr>
            <w:rStyle w:val="Hyperlink"/>
          </w:rPr>
          <w:t xml:space="preserve">Figure 1</w:t>
        </w:r>
      </w:hyperlink>
      <w:r>
        <w:t xml:space="preserve"> </w:t>
      </w:r>
      <w:r>
        <w:t xml:space="preserve">plots the time evolution of the value of the estimated significance of the herding coefficient (</w:t>
      </w:r>
      <m:oMath>
        <m:sSub>
          <m:e>
            <m:r>
              <m:t>γ</m:t>
            </m:r>
          </m:e>
          <m:sub>
            <m:r>
              <m:t>2</m:t>
            </m:r>
          </m:sub>
        </m:sSub>
      </m:oMath>
      <w:r>
        <w:t xml:space="preserve">) using the rolling window analysis.</w:t>
      </w:r>
    </w:p>
    <w:tbl>
      <w:tblPr>
        <w:tblStyle w:val="Table"/>
        <w:tblW w:type="pct" w:w="5000"/>
        <w:tblLayout w:type="fixed"/>
        <w:tblLook w:firstRow="0" w:lastRow="0" w:firstColumn="0" w:lastColumn="0" w:noHBand="0" w:noVBand="0" w:val="0000"/>
      </w:tblPr>
      <w:tblGrid>
        <w:gridCol w:w="7920"/>
      </w:tblGrid>
      <w:tr>
        <w:tc>
          <w:tcPr/>
          <w:bookmarkStart w:id="37" w:name="fig-rolling_window"/>
          <w:p>
            <w:pPr>
              <w:pStyle w:val="Compact"/>
              <w:jc w:val="center"/>
            </w:pPr>
            <w:r>
              <w:drawing>
                <wp:inline>
                  <wp:extent cx="5753100" cy="4314825"/>
                  <wp:effectExtent b="0" l="0" r="0" t="0"/>
                  <wp:docPr descr="" title="" id="35" name="Picture"/>
                  <a:graphic>
                    <a:graphicData uri="http://schemas.openxmlformats.org/drawingml/2006/picture">
                      <pic:pic>
                        <pic:nvPicPr>
                          <pic:cNvPr descr="alt_energy_herding_files/figure-docx/fig-rolling_window-1.png" id="36" name="Picture"/>
                          <pic:cNvPicPr>
                            <a:picLocks noChangeArrowheads="1" noChangeAspect="1"/>
                          </pic:cNvPicPr>
                        </pic:nvPicPr>
                        <pic:blipFill>
                          <a:blip r:embed="rId34"/>
                          <a:stretch>
                            <a:fillRect/>
                          </a:stretch>
                        </pic:blipFill>
                        <pic:spPr bwMode="auto">
                          <a:xfrm>
                            <a:off x="0" y="0"/>
                            <a:ext cx="5753100" cy="43148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Rolling window herding estimates. Note: The red perforated lines indicates the 95% confidence interval.</w:t>
            </w:r>
          </w:p>
          <w:bookmarkEnd w:id="37"/>
        </w:tc>
      </w:tr>
    </w:tbl>
    <w:p>
      <w:pPr>
        <w:pStyle w:val="BodyText"/>
      </w:pPr>
      <w:r>
        <w:t xml:space="preserve">We observe several periods of herding behaviour as reflected in the troughs in</w:t>
      </w:r>
      <w:r>
        <w:t xml:space="preserve"> </w:t>
      </w:r>
      <w:hyperlink w:anchor="fig-rolling_window">
        <w:r>
          <w:rPr>
            <w:rStyle w:val="Hyperlink"/>
          </w:rPr>
          <w:t xml:space="preserve">Figure 1</w:t>
        </w:r>
      </w:hyperlink>
      <w:r>
        <w:t xml:space="preserve">. The most prominent cases of herding occur between March and May of 2020 followed by several instances of herding in the period that extends from March through April of 2017 and the period of February-March of 2023. On the other side, we derive significant moments of anti-herding behaviour in the clean energy ETFs by observing the spikes in</w:t>
      </w:r>
      <w:r>
        <w:t xml:space="preserve"> </w:t>
      </w:r>
      <w:hyperlink w:anchor="fig-rolling_window">
        <w:r>
          <w:rPr>
            <w:rStyle w:val="Hyperlink"/>
          </w:rPr>
          <w:t xml:space="preserve">Figure 1</w:t>
        </w:r>
      </w:hyperlink>
      <w:r>
        <w:t xml:space="preserve">. Cross sectional dispersion appears to increase with respect to market-wide returns which is a sign of anti-herding behaviour on behalf of investors around December of 2016 and later during September of 2022.</w:t>
      </w:r>
    </w:p>
    <w:bookmarkEnd w:id="38"/>
    <w:bookmarkStart w:id="45" w:name="Xc0bdb11f66fee5731786ca4f4032ab12c95dd2c"/>
    <w:p>
      <w:pPr>
        <w:pStyle w:val="Heading2"/>
      </w:pPr>
      <w:r>
        <w:t xml:space="preserve">Climate-related uncertainty and herding behaviour</w:t>
      </w:r>
    </w:p>
    <w:p>
      <w:pPr>
        <w:pStyle w:val="FirstParagraph"/>
      </w:pPr>
      <w:r>
        <w:t xml:space="preserve">The behaviour of participants in energy markets is closely related to the developments in the field of climate risks, carbon emissions and environmentally friendly policies. There are a few studies that attempt to quantify the effects of uncertainty related to climate on the economy and financial markets.</w:t>
      </w:r>
      <w:r>
        <w:t xml:space="preserve"> </w:t>
      </w:r>
      <w:r>
        <w:t xml:space="preserve">Bua et al. (</w:t>
      </w:r>
      <w:hyperlink w:anchor="ref-bua2024">
        <w:r>
          <w:rPr>
            <w:rStyle w:val="Hyperlink"/>
          </w:rPr>
          <w:t xml:space="preserve">2024</w:t>
        </w:r>
      </w:hyperlink>
      <w:r>
        <w:t xml:space="preserve">)</w:t>
      </w:r>
      <w:r>
        <w:t xml:space="preserve"> </w:t>
      </w:r>
      <w:r>
        <w:t xml:space="preserve">developed two climate risk related indexes namely transition and physical risk using a text-based approach in order to study the effect of these risks in financial markets. It is expected that investors would prefer to hold assets that perform well in the face of increasing climate change risks, even if this entails accepting lower returns for such climate-hedging assets. Therefore, in the context of our study and following previous studies that study the determinants of herding behaviour</w:t>
      </w:r>
      <w:r>
        <w:t xml:space="preserve"> </w:t>
      </w:r>
      <w:r>
        <w:t xml:space="preserve">(see</w:t>
      </w:r>
      <w:r>
        <w:t xml:space="preserve"> </w:t>
      </w:r>
      <w:hyperlink w:anchor="ref-bouri2019">
        <w:r>
          <w:rPr>
            <w:rStyle w:val="Hyperlink"/>
          </w:rPr>
          <w:t xml:space="preserve">Bouri, Gupta, and Roubaud 2019</w:t>
        </w:r>
      </w:hyperlink>
      <w:r>
        <w:t xml:space="preserve">;</w:t>
      </w:r>
      <w:r>
        <w:t xml:space="preserve"> </w:t>
      </w:r>
      <w:hyperlink w:anchor="ref-demirer2018">
        <w:r>
          <w:rPr>
            <w:rStyle w:val="Hyperlink"/>
          </w:rPr>
          <w:t xml:space="preserve">Demirer et al. 2018</w:t>
        </w:r>
      </w:hyperlink>
      <w:r>
        <w:t xml:space="preserve">)</w:t>
      </w:r>
      <w:r>
        <w:t xml:space="preserve">, we attempt to study the effect of climate-related uncertainty on the formation of herding behavior in the clean energy market.</w:t>
      </w:r>
    </w:p>
    <w:p>
      <w:pPr>
        <w:pStyle w:val="BodyText"/>
      </w:pPr>
      <w:r>
        <w:t xml:space="preserve">We use a probit model to relate herding to the two climate risk indexes developed by</w:t>
      </w:r>
      <w:r>
        <w:t xml:space="preserve"> </w:t>
      </w:r>
      <w:r>
        <w:t xml:space="preserve">Bua et al. (</w:t>
      </w:r>
      <w:hyperlink w:anchor="ref-bua2024">
        <w:r>
          <w:rPr>
            <w:rStyle w:val="Hyperlink"/>
          </w:rPr>
          <w:t xml:space="preserve">2024</w:t>
        </w:r>
      </w:hyperlink>
      <w:r>
        <w:t xml:space="preserve">)</w:t>
      </w:r>
      <w:r>
        <w:t xml:space="preserve"> </w:t>
      </w:r>
      <w:r>
        <w:t xml:space="preserve">in the following manner:</w:t>
      </w:r>
    </w:p>
    <w:p>
      <w:pPr>
        <w:pStyle w:val="BodyText"/>
      </w:pPr>
      <w:bookmarkStart w:id="39" w:name="eq-climate"/>
      <m:oMathPara>
        <m:oMathParaPr>
          <m:jc m:val="center"/>
        </m:oMathParaPr>
        <m:oMath>
          <m:r>
            <m:t>P</m:t>
          </m:r>
          <m:r>
            <m:t>r</m:t>
          </m:r>
          <m:d>
            <m:dPr>
              <m:begChr m:val="("/>
              <m:endChr m:val=")"/>
              <m:sep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r>
                <m:t>T</m:t>
              </m:r>
              <m:r>
                <m:t>R</m:t>
              </m:r>
              <m:r>
                <m:t>I</m:t>
              </m:r>
              <m:r>
                <m:rPr>
                  <m:sty m:val="p"/>
                </m:rPr>
                <m:t>+</m:t>
              </m:r>
              <m:sSub>
                <m:e>
                  <m:r>
                    <m:t>λ</m:t>
                  </m:r>
                </m:e>
                <m:sub>
                  <m:r>
                    <m:t>2</m:t>
                  </m:r>
                </m:sub>
              </m:sSub>
              <m:r>
                <m:t>P</m:t>
              </m:r>
              <m:r>
                <m:t>R</m:t>
              </m:r>
              <m:r>
                <m:t>I</m:t>
              </m:r>
            </m:e>
          </m:d>
          <m:r>
            <m:rPr>
              <m:sty m:val="p"/>
            </m:rPr>
            <m:t>=</m:t>
          </m:r>
          <m:sSub>
            <m:e>
              <m:r>
                <m:t>λ</m:t>
              </m:r>
            </m:e>
            <m:sub>
              <m:r>
                <m:t>0</m:t>
              </m:r>
            </m:sub>
          </m:sSub>
          <m:r>
            <m:rPr>
              <m:sty m:val="p"/>
            </m:rPr>
            <m:t>+</m:t>
          </m:r>
          <m:sSub>
            <m:e>
              <m:r>
                <m:t>λ</m:t>
              </m:r>
            </m:e>
            <m:sub>
              <m:r>
                <m:t>1</m:t>
              </m:r>
            </m:sub>
          </m:sSub>
          <m:r>
            <m:t>T</m:t>
          </m:r>
          <m:r>
            <m:t>R</m:t>
          </m:r>
          <m:r>
            <m:t>I</m:t>
          </m:r>
          <m:r>
            <m:rPr>
              <m:sty m:val="p"/>
            </m:rPr>
            <m:t>+</m:t>
          </m:r>
          <m:sSub>
            <m:e>
              <m:r>
                <m:t>λ</m:t>
              </m:r>
            </m:e>
            <m:sub>
              <m:r>
                <m:t>2</m:t>
              </m:r>
            </m:sub>
          </m:sSub>
          <m:r>
            <m:t>P</m:t>
          </m:r>
          <m:r>
            <m:t>R</m:t>
          </m:r>
          <m:r>
            <m:t>I</m:t>
          </m:r>
          <m:r>
            <m:rPr>
              <m:sty m:val="p"/>
            </m:rPr>
            <m:t>,</m:t>
          </m:r>
          <m:r>
            <m:t>  </m:t>
          </m:r>
          <m:d>
            <m:dPr>
              <m:begChr m:val="("/>
              <m:endChr m:val=")"/>
              <m:sepChr m:val=""/>
              <m:grow/>
            </m:dPr>
            <m:e>
              <m:r>
                <m:t>4</m:t>
              </m:r>
            </m:e>
          </m:d>
        </m:oMath>
      </m:oMathPara>
      <w:bookmarkEnd w:id="39"/>
    </w:p>
    <w:p>
      <w:pPr>
        <w:pStyle w:val="FirstParagraph"/>
      </w:pPr>
      <w:r>
        <w:t xml:space="preserve">where</w:t>
      </w:r>
      <w:r>
        <w:t xml:space="preserve"> </w:t>
      </w:r>
      <m:oMath>
        <m:sSup>
          <m:e>
            <m:r>
              <m:t>D</m:t>
            </m:r>
          </m:e>
          <m:sup>
            <m:r>
              <m:t>h</m:t>
            </m:r>
            <m:r>
              <m:t>e</m:t>
            </m:r>
            <m:r>
              <m:t>r</m:t>
            </m:r>
            <m:r>
              <m:t>d</m:t>
            </m:r>
          </m:sup>
        </m:sSup>
      </m:oMath>
      <w:r>
        <w:t xml:space="preserve"> </w:t>
      </w:r>
      <w:r>
        <w:t xml:space="preserve">takes a value of 1 during periods of statistically significant herding (i.e., for days when the rolling t-statistic on</w:t>
      </w:r>
      <w:r>
        <w:t xml:space="preserve"> </w:t>
      </w:r>
      <m:oMath>
        <m:sSub>
          <m:e>
            <m:r>
              <m:t>γ</m:t>
            </m:r>
          </m:e>
          <m:sub>
            <m:r>
              <m:t>2</m:t>
            </m:r>
          </m:sub>
        </m:sSub>
        <m:r>
          <m:rPr>
            <m:sty m:val="p"/>
          </m:rPr>
          <m:t>&lt;</m:t>
        </m:r>
        <m:r>
          <m:rPr>
            <m:sty m:val="p"/>
          </m:rPr>
          <m:t>−</m:t>
        </m:r>
        <m:r>
          <m:t>1.96</m:t>
        </m:r>
      </m:oMath>
      <w:r>
        <w:t xml:space="preserve"> </w:t>
      </w:r>
      <w:r>
        <w:t xml:space="preserve">in</w:t>
      </w:r>
      <w:r>
        <w:t xml:space="preserve"> </w:t>
      </w:r>
      <w:hyperlink w:anchor="fig-rolling_window">
        <w:r>
          <w:rPr>
            <w:rStyle w:val="Hyperlink"/>
          </w:rPr>
          <w:t xml:space="preserve">Figure 1</w:t>
        </w:r>
      </w:hyperlink>
      <w:r>
        <w:t xml:space="preserve">) and zero otherwise.</w:t>
      </w:r>
      <w:r>
        <w:t xml:space="preserve"> </w:t>
      </w:r>
      <m:oMath>
        <m:r>
          <m:t>T</m:t>
        </m:r>
        <m:r>
          <m:t>R</m:t>
        </m:r>
        <m:r>
          <m:t>I</m:t>
        </m:r>
      </m:oMath>
      <w:r>
        <w:t xml:space="preserve"> </w:t>
      </w:r>
      <w:r>
        <w:t xml:space="preserve">is the transitional risk index and</w:t>
      </w:r>
      <w:r>
        <w:t xml:space="preserve"> </w:t>
      </w:r>
      <m:oMath>
        <m:r>
          <m:t>P</m:t>
        </m:r>
        <m:r>
          <m:t>R</m:t>
        </m:r>
        <m:r>
          <m:t>I</m:t>
        </m:r>
      </m:oMath>
      <w:r>
        <w:t xml:space="preserve"> </w:t>
      </w:r>
      <w:r>
        <w:t xml:space="preserve">is the physical risk index.</w:t>
      </w:r>
    </w:p>
    <w:p>
      <w:pPr>
        <w:pStyle w:val="BodyText"/>
      </w:pPr>
      <w:r>
        <w:t xml:space="preserve">The results from the Probit model are reported in</w:t>
      </w:r>
      <w:r>
        <w:t xml:space="preserve"> </w:t>
      </w:r>
      <w:hyperlink w:anchor="tbl-probit_analysis">
        <w:r>
          <w:rPr>
            <w:rStyle w:val="Hyperlink"/>
          </w:rPr>
          <w:t xml:space="preserve">Table 4</w:t>
        </w:r>
      </w:hyperlink>
      <w:r>
        <w:t xml:space="preserve">, where only the physical risk index significantly decreases the probability of herding.</w:t>
      </w:r>
      <w:r>
        <w:rPr>
          <w:rStyle w:val="FootnoteReference"/>
        </w:rPr>
        <w:footnoteReference w:id="40"/>
      </w:r>
      <w:r>
        <w:t xml:space="preserve"> </w:t>
      </w:r>
      <w:r>
        <w:t xml:space="preserve">In other words, climate risks is good news for clean energy stocks or firms resulting in anti-herding behaviour. This implies that in the presence of higher physical risk with respect to the climate, clean energy ETFs become a more attractive investment option for investors that allocate their money to the various alternative energy investment products. As a result, the cross sectional dispersion of clean energy ETFs tends to increase.</w:t>
      </w:r>
    </w:p>
    <w:tbl>
      <w:tblPr>
        <w:tblStyle w:val="Table"/>
        <w:tblW w:type="pct" w:w="5000"/>
        <w:tblLayout w:type="fixed"/>
        <w:tblLook w:firstRow="0" w:lastRow="0" w:firstColumn="0" w:lastColumn="0" w:noHBand="0" w:noVBand="0" w:val="0000"/>
      </w:tblPr>
      <w:tblGrid>
        <w:gridCol w:w="7920"/>
      </w:tblGrid>
      <w:tr>
        <w:tc>
          <w:tcPr/>
          <w:bookmarkStart w:id="41" w:name="tbl-probit_analysis"/>
          <w:p>
            <w:pPr>
              <w:jc w:val="center"/>
            </w:pPr>
            <w:pPr>
              <w:jc w:val="start"/>
              <w:spacing w:before="200"/>
              <w:pStyle w:val="ImageCaption"/>
            </w:pPr>
            <w:r>
              <w:t xml:space="preserve">Table 4: Estimation results of the probit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442"/>
              <w:gridCol w:w="3088"/>
            </w:tblGrid>
            <w:tr>
              <w:trPr>
                <w:trHeight w:val="514"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Variable</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Coefficient</w:t>
                  </w:r>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-1.506***</w:t>
                  </w:r>
                </w:p>
              </w:tc>
            </w:tr>
            <w:tr>
              <w:trPr>
                <w:trHeight w:val="699"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-4.607***</w:t>
                  </w:r>
                </w:p>
              </w:tc>
            </w:tr>
            <w:tr>
              <w:trPr>
                <w:trHeight w:val="699" w:hRule="auto"/>
              </w:trPr>
              body3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-1.318</w:t>
                  </w:r>
                </w:p>
              </w:tc>
            </w:tr>
            <w:tr>
              <w:trPr>
                <w:trHeight w:val="540" w:hRule="auto"/>
              </w:trPr>
              body4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Log Likelihood</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-484.7</w:t>
                  </w:r>
                </w:p>
              </w:tc>
            </w:tr>
            <w:tr>
              <w:trPr>
                <w:trHeight w:val="542" w:hRule="auto"/>
              </w:trPr>
              body5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Observations with Dependent Variable (Dep) = 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1816</w:t>
                  </w:r>
                </w:p>
              </w:tc>
            </w:tr>
            <w:tr>
              <w:trPr>
                <w:trHeight w:val="542" w:hRule="auto"/>
              </w:trPr>
              body6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Observations with Dependent Variable (Dep) = 1</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134</w:t>
                  </w:r>
                </w:p>
              </w:tc>
            </w:tr>
            <w:tr>
              <w:trPr>
                <w:trHeight w:val="360" w:hRule="auto"/>
              </w:trPr>
              footer1
              <w:tc>
                <w:tcPr>
                  <w:gridSpan w:val="2"/>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Notes: **,*** denotes statistically significant at 5% and 1%</w:t>
                  </w:r>
                </w:p>
              </w:tc>
            </w:tr>
          </w:tbl>
          <w:bookmarkEnd w:id="41"/>
        </w:tc>
      </w:tr>
    </w:tbl>
    <w:p>
      <w:pPr>
        <w:pStyle w:val="BodyText"/>
      </w:pPr>
      <w:r>
        <w:t xml:space="preserve">Furthermore, we develop two additional models to study the effect of climate risks on herding behaviour. We split the sample into two groups based on the median value of the TRI and PRI. We then estimate the following two models:</w:t>
      </w:r>
    </w:p>
    <w:p>
      <w:pPr>
        <w:pStyle w:val="BodyText"/>
      </w:pPr>
      <w:bookmarkStart w:id="42" w:name="eq-climate_high"/>
      <m:oMathPara>
        <m:oMathParaPr>
          <m:jc m:val="center"/>
        </m:oMathParaPr>
        <m:oMath>
          <m:r>
            <m:t>P</m:t>
          </m:r>
          <m:r>
            <m:t>r</m:t>
          </m:r>
          <m:d>
            <m:dPr>
              <m:begChr m:val="("/>
              <m:endChr m:val=")"/>
              <m:sep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sSubSup>
                <m:e>
                  <m:r>
                    <m:t>D</m:t>
                  </m:r>
                </m:e>
                <m:sub>
                  <m:r>
                    <m:t>h</m:t>
                  </m:r>
                  <m:r>
                    <m:t>i</m:t>
                  </m:r>
                  <m:r>
                    <m:t>g</m:t>
                  </m:r>
                  <m:r>
                    <m:t>h</m:t>
                  </m:r>
                </m:sub>
                <m:sup>
                  <m:r>
                    <m:t>T</m:t>
                  </m:r>
                  <m:r>
                    <m:t>R</m:t>
                  </m:r>
                  <m:r>
                    <m:t>I</m:t>
                  </m:r>
                </m:sup>
              </m:sSubSup>
              <m:r>
                <m:t>T</m:t>
              </m:r>
              <m:r>
                <m:t>R</m:t>
              </m:r>
              <m:r>
                <m:t>I</m:t>
              </m:r>
              <m:r>
                <m:rPr>
                  <m:sty m:val="p"/>
                </m:rPr>
                <m:t>+</m:t>
              </m:r>
              <m:sSub>
                <m:e>
                  <m:r>
                    <m:t>λ</m:t>
                  </m:r>
                </m:e>
                <m:sub>
                  <m:r>
                    <m:t>2</m:t>
                  </m:r>
                </m:sub>
              </m:sSub>
              <m:sSubSup>
                <m:e>
                  <m:r>
                    <m:t>D</m:t>
                  </m:r>
                </m:e>
                <m:sub>
                  <m:r>
                    <m:t>h</m:t>
                  </m:r>
                  <m:r>
                    <m:t>i</m:t>
                  </m:r>
                  <m:r>
                    <m:t>g</m:t>
                  </m:r>
                  <m:r>
                    <m:t>h</m:t>
                  </m:r>
                </m:sub>
                <m:sup>
                  <m:r>
                    <m:t>P</m:t>
                  </m:r>
                  <m:r>
                    <m:t>R</m:t>
                  </m:r>
                  <m:r>
                    <m:t>I</m:t>
                  </m:r>
                </m:sup>
              </m:sSubSup>
              <m:r>
                <m:t>P</m:t>
              </m:r>
              <m:r>
                <m:t>R</m:t>
              </m:r>
              <m:r>
                <m:t>I</m:t>
              </m:r>
            </m:e>
          </m:d>
          <m:r>
            <m:rPr>
              <m:sty m:val="p"/>
            </m:rPr>
            <m:t>=</m:t>
          </m:r>
          <m:sSub>
            <m:e>
              <m:r>
                <m:t>λ</m:t>
              </m:r>
            </m:e>
            <m:sub>
              <m:r>
                <m:t>0</m:t>
              </m:r>
            </m:sub>
          </m:sSub>
          <m:r>
            <m:rPr>
              <m:sty m:val="p"/>
            </m:rPr>
            <m:t>+</m:t>
          </m:r>
          <m:sSub>
            <m:e>
              <m:r>
                <m:t>λ</m:t>
              </m:r>
            </m:e>
            <m:sub>
              <m:r>
                <m:t>1</m:t>
              </m:r>
            </m:sub>
          </m:sSub>
          <m:sSubSup>
            <m:e>
              <m:r>
                <m:t>D</m:t>
              </m:r>
            </m:e>
            <m:sub>
              <m:r>
                <m:t>h</m:t>
              </m:r>
              <m:r>
                <m:t>i</m:t>
              </m:r>
              <m:r>
                <m:t>g</m:t>
              </m:r>
              <m:r>
                <m:t>h</m:t>
              </m:r>
            </m:sub>
            <m:sup>
              <m:r>
                <m:t>T</m:t>
              </m:r>
              <m:r>
                <m:t>R</m:t>
              </m:r>
              <m:r>
                <m:t>I</m:t>
              </m:r>
            </m:sup>
          </m:sSubSup>
          <m:r>
            <m:t>T</m:t>
          </m:r>
          <m:r>
            <m:t>R</m:t>
          </m:r>
          <m:r>
            <m:t>I</m:t>
          </m:r>
          <m:r>
            <m:rPr>
              <m:sty m:val="p"/>
            </m:rPr>
            <m:t>+</m:t>
          </m:r>
          <m:sSub>
            <m:e>
              <m:r>
                <m:t>λ</m:t>
              </m:r>
            </m:e>
            <m:sub>
              <m:r>
                <m:t>2</m:t>
              </m:r>
            </m:sub>
          </m:sSub>
          <m:sSubSup>
            <m:e>
              <m:r>
                <m:t>D</m:t>
              </m:r>
            </m:e>
            <m:sub>
              <m:r>
                <m:t>h</m:t>
              </m:r>
              <m:r>
                <m:t>i</m:t>
              </m:r>
              <m:r>
                <m:t>g</m:t>
              </m:r>
              <m:r>
                <m:t>h</m:t>
              </m:r>
            </m:sub>
            <m:sup>
              <m:r>
                <m:t>P</m:t>
              </m:r>
              <m:r>
                <m:t>R</m:t>
              </m:r>
              <m:r>
                <m:t>I</m:t>
              </m:r>
            </m:sup>
          </m:sSubSup>
          <m:r>
            <m:t>P</m:t>
          </m:r>
          <m:r>
            <m:t>R</m:t>
          </m:r>
          <m:r>
            <m:t>I</m:t>
          </m:r>
          <m:r>
            <m:rPr>
              <m:sty m:val="p"/>
            </m:rPr>
            <m:t>,</m:t>
          </m:r>
          <m:r>
            <m:t>a</m:t>
          </m:r>
          <m:r>
            <m:t>n</m:t>
          </m:r>
          <m:r>
            <m:t>d</m:t>
          </m:r>
          <m:r>
            <m:t>  </m:t>
          </m:r>
          <m:d>
            <m:dPr>
              <m:begChr m:val="("/>
              <m:endChr m:val=")"/>
              <m:sepChr m:val=""/>
              <m:grow/>
            </m:dPr>
            <m:e>
              <m:r>
                <m:t>5</m:t>
              </m:r>
            </m:e>
          </m:d>
        </m:oMath>
      </m:oMathPara>
      <w:bookmarkEnd w:id="42"/>
    </w:p>
    <w:p>
      <w:pPr>
        <w:pStyle w:val="FirstParagraph"/>
      </w:pPr>
      <w:bookmarkStart w:id="43" w:name="eq-climate_low"/>
      <m:oMathPara>
        <m:oMathParaPr>
          <m:jc m:val="center"/>
        </m:oMathParaPr>
        <m:oMath>
          <m:r>
            <m:t>P</m:t>
          </m:r>
          <m:r>
            <m:t>r</m:t>
          </m:r>
          <m:d>
            <m:dPr>
              <m:begChr m:val="("/>
              <m:endChr m:val=")"/>
              <m:sepChr m:val=""/>
              <m:grow/>
            </m:dPr>
            <m:e>
              <m:sSup>
                <m:e>
                  <m:r>
                    <m:t>D</m:t>
                  </m:r>
                </m:e>
                <m:sup>
                  <m:r>
                    <m:t>h</m:t>
                  </m:r>
                  <m:r>
                    <m:t>e</m:t>
                  </m:r>
                  <m:r>
                    <m:t>r</m:t>
                  </m:r>
                  <m:r>
                    <m:t>d</m:t>
                  </m:r>
                </m:sup>
              </m:sSup>
              <m:r>
                <m:rPr>
                  <m:sty m:val="p"/>
                </m:rPr>
                <m:t>=</m:t>
              </m:r>
              <m:r>
                <m:t>1</m:t>
              </m:r>
              <m:r>
                <m:rPr>
                  <m:sty m:val="p"/>
                </m:rPr>
                <m:t>|</m:t>
              </m:r>
              <m:sSub>
                <m:e>
                  <m:r>
                    <m:t>λ</m:t>
                  </m:r>
                </m:e>
                <m:sub>
                  <m:r>
                    <m:t>0</m:t>
                  </m:r>
                </m:sub>
              </m:sSub>
              <m:r>
                <m:rPr>
                  <m:sty m:val="p"/>
                </m:rPr>
                <m:t>+</m:t>
              </m:r>
              <m:sSub>
                <m:e>
                  <m:r>
                    <m:t>λ</m:t>
                  </m:r>
                </m:e>
                <m:sub>
                  <m:r>
                    <m:t>1</m:t>
                  </m:r>
                </m:sub>
              </m:sSub>
              <m:sSubSup>
                <m:e>
                  <m:r>
                    <m:t>D</m:t>
                  </m:r>
                </m:e>
                <m:sub>
                  <m:r>
                    <m:t>l</m:t>
                  </m:r>
                  <m:r>
                    <m:t>o</m:t>
                  </m:r>
                  <m:r>
                    <m:t>w</m:t>
                  </m:r>
                </m:sub>
                <m:sup>
                  <m:r>
                    <m:t>T</m:t>
                  </m:r>
                  <m:r>
                    <m:t>R</m:t>
                  </m:r>
                  <m:r>
                    <m:t>I</m:t>
                  </m:r>
                </m:sup>
              </m:sSubSup>
              <m:r>
                <m:t>T</m:t>
              </m:r>
              <m:r>
                <m:t>R</m:t>
              </m:r>
              <m:r>
                <m:t>I</m:t>
              </m:r>
              <m:r>
                <m:rPr>
                  <m:sty m:val="p"/>
                </m:rPr>
                <m:t>+</m:t>
              </m:r>
              <m:sSub>
                <m:e>
                  <m:r>
                    <m:t>λ</m:t>
                  </m:r>
                </m:e>
                <m:sub>
                  <m:r>
                    <m:t>2</m:t>
                  </m:r>
                </m:sub>
              </m:sSub>
              <m:sSubSup>
                <m:e>
                  <m:r>
                    <m:t>D</m:t>
                  </m:r>
                </m:e>
                <m:sub>
                  <m:r>
                    <m:t>l</m:t>
                  </m:r>
                  <m:r>
                    <m:t>o</m:t>
                  </m:r>
                  <m:r>
                    <m:t>w</m:t>
                  </m:r>
                </m:sub>
                <m:sup>
                  <m:r>
                    <m:t>P</m:t>
                  </m:r>
                  <m:r>
                    <m:t>R</m:t>
                  </m:r>
                  <m:r>
                    <m:t>I</m:t>
                  </m:r>
                </m:sup>
              </m:sSubSup>
              <m:r>
                <m:t>P</m:t>
              </m:r>
              <m:r>
                <m:t>R</m:t>
              </m:r>
              <m:r>
                <m:t>I</m:t>
              </m:r>
            </m:e>
          </m:d>
          <m:r>
            <m:rPr>
              <m:sty m:val="p"/>
            </m:rPr>
            <m:t>=</m:t>
          </m:r>
          <m:sSub>
            <m:e>
              <m:r>
                <m:t>λ</m:t>
              </m:r>
            </m:e>
            <m:sub>
              <m:r>
                <m:t>0</m:t>
              </m:r>
            </m:sub>
          </m:sSub>
          <m:r>
            <m:rPr>
              <m:sty m:val="p"/>
            </m:rPr>
            <m:t>+</m:t>
          </m:r>
          <m:sSub>
            <m:e>
              <m:r>
                <m:t>λ</m:t>
              </m:r>
            </m:e>
            <m:sub>
              <m:r>
                <m:t>1</m:t>
              </m:r>
            </m:sub>
          </m:sSub>
          <m:sSubSup>
            <m:e>
              <m:r>
                <m:t>D</m:t>
              </m:r>
            </m:e>
            <m:sub>
              <m:r>
                <m:t>l</m:t>
              </m:r>
              <m:r>
                <m:t>o</m:t>
              </m:r>
              <m:r>
                <m:t>w</m:t>
              </m:r>
            </m:sub>
            <m:sup>
              <m:r>
                <m:t>T</m:t>
              </m:r>
              <m:r>
                <m:t>R</m:t>
              </m:r>
              <m:r>
                <m:t>I</m:t>
              </m:r>
            </m:sup>
          </m:sSubSup>
          <m:r>
            <m:t>T</m:t>
          </m:r>
          <m:r>
            <m:t>R</m:t>
          </m:r>
          <m:r>
            <m:t>I</m:t>
          </m:r>
          <m:r>
            <m:rPr>
              <m:sty m:val="p"/>
            </m:rPr>
            <m:t>+</m:t>
          </m:r>
          <m:sSub>
            <m:e>
              <m:r>
                <m:t>λ</m:t>
              </m:r>
            </m:e>
            <m:sub>
              <m:r>
                <m:t>2</m:t>
              </m:r>
            </m:sub>
          </m:sSub>
          <m:sSubSup>
            <m:e>
              <m:r>
                <m:t>D</m:t>
              </m:r>
            </m:e>
            <m:sub>
              <m:r>
                <m:t>l</m:t>
              </m:r>
              <m:r>
                <m:t>o</m:t>
              </m:r>
              <m:r>
                <m:t>w</m:t>
              </m:r>
            </m:sub>
            <m:sup>
              <m:r>
                <m:t>P</m:t>
              </m:r>
              <m:r>
                <m:t>R</m:t>
              </m:r>
              <m:r>
                <m:t>I</m:t>
              </m:r>
            </m:sup>
          </m:sSubSup>
          <m:r>
            <m:t>P</m:t>
          </m:r>
          <m:r>
            <m:t>R</m:t>
          </m:r>
          <m:r>
            <m:t>I</m:t>
          </m:r>
          <m:r>
            <m:rPr>
              <m:sty m:val="p"/>
            </m:rPr>
            <m:t>,</m:t>
          </m:r>
          <m:r>
            <m:t>  </m:t>
          </m:r>
          <m:d>
            <m:dPr>
              <m:begChr m:val="("/>
              <m:endChr m:val=")"/>
              <m:sepChr m:val=""/>
              <m:grow/>
            </m:dPr>
            <m:e>
              <m:r>
                <m:t>6</m:t>
              </m:r>
            </m:e>
          </m:d>
        </m:oMath>
      </m:oMathPara>
      <w:bookmarkEnd w:id="43"/>
    </w:p>
    <w:p>
      <w:pPr>
        <w:pStyle w:val="FirstParagraph"/>
      </w:pPr>
      <w:r>
        <w:t xml:space="preserve">where</w:t>
      </w:r>
      <w:r>
        <w:t xml:space="preserve"> </w:t>
      </w:r>
      <m:oMath>
        <m:sSup>
          <m:e>
            <m:r>
              <m:t>D</m:t>
            </m:r>
          </m:e>
          <m:sup>
            <m:r>
              <m:t>h</m:t>
            </m:r>
            <m:r>
              <m:t>e</m:t>
            </m:r>
            <m:r>
              <m:t>r</m:t>
            </m:r>
            <m:r>
              <m:t>d</m:t>
            </m:r>
          </m:sup>
        </m:sSup>
      </m:oMath>
      <w:r>
        <w:t xml:space="preserve"> </w:t>
      </w:r>
      <w:r>
        <w:t xml:space="preserve">is the same as in</w:t>
      </w:r>
      <w:r>
        <w:t xml:space="preserve"> </w:t>
      </w:r>
      <w:hyperlink w:anchor="eq-climate">
        <w:r>
          <w:rPr>
            <w:rStyle w:val="Hyperlink"/>
          </w:rPr>
          <w:t xml:space="preserve">Equation 4</w:t>
        </w:r>
      </w:hyperlink>
      <w:r>
        <w:t xml:space="preserve">.</w:t>
      </w:r>
      <w:r>
        <w:t xml:space="preserve"> </w:t>
      </w:r>
      <m:oMath>
        <m:sSubSup>
          <m:e>
            <m:r>
              <m:t>D</m:t>
            </m:r>
          </m:e>
          <m:sub>
            <m:r>
              <m:t>h</m:t>
            </m:r>
            <m:r>
              <m:t>i</m:t>
            </m:r>
            <m:r>
              <m:t>g</m:t>
            </m:r>
            <m:r>
              <m:t>h</m:t>
            </m:r>
          </m:sub>
          <m:sup>
            <m:r>
              <m:t>T</m:t>
            </m:r>
            <m:r>
              <m:t>R</m:t>
            </m:r>
            <m:r>
              <m:t>I</m:t>
            </m:r>
          </m:sup>
        </m:sSubSup>
      </m:oMath>
      <w:r>
        <w:t xml:space="preserve"> </w:t>
      </w:r>
      <w:r>
        <w:t xml:space="preserve">and</w:t>
      </w:r>
      <w:r>
        <w:t xml:space="preserve"> </w:t>
      </w:r>
      <m:oMath>
        <m:sSubSup>
          <m:e>
            <m:r>
              <m:t>D</m:t>
            </m:r>
          </m:e>
          <m:sub>
            <m:r>
              <m:t>h</m:t>
            </m:r>
            <m:r>
              <m:t>i</m:t>
            </m:r>
            <m:r>
              <m:t>g</m:t>
            </m:r>
            <m:r>
              <m:t>h</m:t>
            </m:r>
          </m:sub>
          <m:sup>
            <m:r>
              <m:t>P</m:t>
            </m:r>
            <m:r>
              <m:t>R</m:t>
            </m:r>
            <m:r>
              <m:t>I</m:t>
            </m:r>
          </m:sup>
        </m:sSubSup>
      </m:oMath>
      <w:r>
        <w:t xml:space="preserve"> </w:t>
      </w:r>
      <w:r>
        <w:t xml:space="preserve">are dummy variables that take a value of 1 if the value of the TRI and PRI are above the median and zero otherwise. Similarly,</w:t>
      </w:r>
      <w:r>
        <w:t xml:space="preserve"> </w:t>
      </w:r>
      <m:oMath>
        <m:sSubSup>
          <m:e>
            <m:r>
              <m:t>D</m:t>
            </m:r>
          </m:e>
          <m:sub>
            <m:r>
              <m:t>l</m:t>
            </m:r>
            <m:r>
              <m:t>o</m:t>
            </m:r>
            <m:r>
              <m:t>w</m:t>
            </m:r>
          </m:sub>
          <m:sup>
            <m:r>
              <m:t>T</m:t>
            </m:r>
            <m:r>
              <m:t>R</m:t>
            </m:r>
            <m:r>
              <m:t>I</m:t>
            </m:r>
          </m:sup>
        </m:sSubSup>
      </m:oMath>
      <w:r>
        <w:t xml:space="preserve"> </w:t>
      </w:r>
      <w:r>
        <w:t xml:space="preserve">and</w:t>
      </w:r>
      <w:r>
        <w:t xml:space="preserve"> </w:t>
      </w:r>
      <m:oMath>
        <m:sSubSup>
          <m:e>
            <m:r>
              <m:t>D</m:t>
            </m:r>
          </m:e>
          <m:sub>
            <m:r>
              <m:t>l</m:t>
            </m:r>
            <m:r>
              <m:t>o</m:t>
            </m:r>
            <m:r>
              <m:t>w</m:t>
            </m:r>
          </m:sub>
          <m:sup>
            <m:r>
              <m:t>P</m:t>
            </m:r>
            <m:r>
              <m:t>R</m:t>
            </m:r>
            <m:r>
              <m:t>I</m:t>
            </m:r>
          </m:sup>
        </m:sSubSup>
      </m:oMath>
      <w:r>
        <w:t xml:space="preserve"> </w:t>
      </w:r>
      <w:r>
        <w:t xml:space="preserve">are dummy variables that take a value of 1 if the value of the TRI and PRI are below the median and zero otherwise.</w:t>
      </w:r>
    </w:p>
    <w:p>
      <w:r>
        <w:br w:type="page"/>
      </w:r>
    </w:p>
    <w:tbl>
      <w:tblPr>
        <w:tblStyle w:val="Table"/>
        <w:tblW w:type="pct" w:w="5000"/>
        <w:tblLayout w:type="fixed"/>
        <w:tblLook w:firstRow="0" w:lastRow="0" w:firstColumn="0" w:lastColumn="0" w:noHBand="0" w:noVBand="0" w:val="0000"/>
      </w:tblPr>
      <w:tblGrid>
        <w:gridCol w:w="7920"/>
      </w:tblGrid>
      <w:tr>
        <w:tc>
          <w:tcPr/>
          <w:bookmarkStart w:id="44" w:name="tbl-probit_analysis2"/>
          <w:p>
            <w:pPr>
              <w:jc w:val="center"/>
            </w:pPr>
            <w:pPr>
              <w:jc w:val="start"/>
              <w:spacing w:before="200"/>
              <w:pStyle w:val="ImageCaption"/>
            </w:pPr>
            <w:r>
              <w:t xml:space="preserve">Table 5: Estimation results of the probit model with high and low climate risk indexes (above or below median)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723"/>
              <w:gridCol w:w="2734"/>
              <w:gridCol w:w="2680"/>
            </w:tblGrid>
            <w:tr>
              <w:trPr>
                <w:trHeight w:val="540" w:hRule="auto"/>
                <w:tblHeader/>
              </w:trPr>
              header1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 </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High</w:t>
                  </w:r>
                </w:p>
              </w:tc>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Low</w:t>
                  </w:r>
                </w:p>
              </w:tc>
            </w:tr>
            <w:tr>
              <w:trPr>
                <w:trHeight w:val="699" w:hRule="auto"/>
              </w:trPr>
              body1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-6.736*</w:t>
                  </w:r>
                </w:p>
              </w:tc>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-6.118</w:t>
                  </w:r>
                </w:p>
              </w:tc>
            </w:tr>
            <w:tr>
              <w:trPr>
                <w:trHeight w:val="699" w:hRule="auto"/>
              </w:trPr>
              body2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NA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-1.798</w:t>
                  </w:r>
                </w:p>
              </w:tc>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-2.581</w:t>
                  </w:r>
                </w:p>
              </w:tc>
            </w:tr>
            <w:tr>
              <w:trPr>
                <w:trHeight w:val="360" w:hRule="auto"/>
              </w:trPr>
              footer1
              <w:tc>
                <w:tcPr>
                  <w:gridSpan w:val="3"/>
                  <w:tcBorders>
                    <w:bottom w:val="single" w:sz="8" w:space="0" w:color="000000"/>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Notes: *, denotes statistically significant at 10%</w:t>
                  </w:r>
                </w:p>
              </w:tc>
            </w:tr>
          </w:tbl>
          <w:bookmarkEnd w:id="44"/>
        </w:tc>
      </w:tr>
    </w:tbl>
    <w:p>
      <w:pPr>
        <w:pStyle w:val="BodyText"/>
      </w:pPr>
      <w:r>
        <w:t xml:space="preserve">We use these high PRI and high TRI in one probit regression and low TRI and low PRI in another. Results are presented in</w:t>
      </w:r>
      <w:r>
        <w:t xml:space="preserve"> </w:t>
      </w:r>
      <w:hyperlink w:anchor="tbl-probit_analysis2">
        <w:r>
          <w:rPr>
            <w:rStyle w:val="Hyperlink"/>
          </w:rPr>
          <w:t xml:space="preserve">Table 5</w:t>
        </w:r>
      </w:hyperlink>
      <w:r>
        <w:t xml:space="preserve">. We observe higher uncertainty that stems from physical or transition risk causes anti-herding which is in line with the logic we discussed earlier.</w:t>
      </w:r>
    </w:p>
    <w:bookmarkEnd w:id="45"/>
    <w:bookmarkEnd w:id="46"/>
    <w:bookmarkStart w:id="47" w:name="conclusion"/>
    <w:p>
      <w:pPr>
        <w:pStyle w:val="Heading1"/>
      </w:pPr>
      <w:r>
        <w:t xml:space="preserve">Conclusion</w:t>
      </w:r>
    </w:p>
    <w:p>
      <w:pPr>
        <w:pStyle w:val="FirstParagraph"/>
      </w:pPr>
      <w:r>
        <w:t xml:space="preserve">This study offers novel and valuable insights into herding behaviour in clean energy ETFs. We used various herding behaviour tests to achieve this. First, the baseline herding tests revealed significant evidence of herding behaviour. Second, the asymmetric herding tests showed that herding behaviour was present in both bear and bull markets. Lastly, the results of the time-varying tests point to significant periodic herding. However, the results further indicate that herding in US clean energy ETFs was not mainly related to climate-related risks or uncertainty. The probit analysis showed that climate-related uncertainty reduced the probability of herding or led to investor anti-herding behaviour. We differ to the literature on the factors that drive herding in these ETFs</w:t>
      </w:r>
      <w:r>
        <w:t xml:space="preserve"> </w:t>
      </w:r>
      <w:r>
        <w:t xml:space="preserve">(for example,</w:t>
      </w:r>
      <w:r>
        <w:t xml:space="preserve"> </w:t>
      </w:r>
      <w:hyperlink w:anchor="ref-loang2023">
        <w:r>
          <w:rPr>
            <w:rStyle w:val="Hyperlink"/>
          </w:rPr>
          <w:t xml:space="preserve">Loang 2023</w:t>
        </w:r>
      </w:hyperlink>
      <w:r>
        <w:t xml:space="preserve">;</w:t>
      </w:r>
      <w:r>
        <w:t xml:space="preserve"> </w:t>
      </w:r>
      <w:hyperlink w:anchor="ref-koutmos2024">
        <w:r>
          <w:rPr>
            <w:rStyle w:val="Hyperlink"/>
          </w:rPr>
          <w:t xml:space="preserve">Koutmos 2024</w:t>
        </w:r>
      </w:hyperlink>
      <w:r>
        <w:t xml:space="preserve">;</w:t>
      </w:r>
      <w:r>
        <w:t xml:space="preserve"> </w:t>
      </w:r>
      <w:hyperlink w:anchor="ref-przychodzen2016">
        <w:r>
          <w:rPr>
            <w:rStyle w:val="Hyperlink"/>
          </w:rPr>
          <w:t xml:space="preserve">Przychodzen et al. 2016</w:t>
        </w:r>
      </w:hyperlink>
      <w:r>
        <w:t xml:space="preserve">)</w:t>
      </w:r>
      <w:r>
        <w:t xml:space="preserve">. Our results, similar to</w:t>
      </w:r>
      <w:r>
        <w:t xml:space="preserve"> </w:t>
      </w:r>
      <w:r>
        <w:t xml:space="preserve">Bua et al. (</w:t>
      </w:r>
      <w:hyperlink w:anchor="ref-bua2024">
        <w:r>
          <w:rPr>
            <w:rStyle w:val="Hyperlink"/>
          </w:rPr>
          <w:t xml:space="preserve">2024</w:t>
        </w:r>
      </w:hyperlink>
      <w:r>
        <w:t xml:space="preserve">)</w:t>
      </w:r>
      <w:r>
        <w:t xml:space="preserve">, indicate that investors did not herd on climate-related uncertainty, and sought returns whilst hedging against climate-related risk. This is a positive for the financial stability of these growing alternative investment indices.</w:t>
      </w:r>
    </w:p>
    <w:p>
      <w:r>
        <w:br w:type="page"/>
      </w:r>
    </w:p>
    <w:bookmarkEnd w:id="47"/>
    <w:bookmarkStart w:id="105" w:name="references"/>
    <w:p>
      <w:pPr>
        <w:pStyle w:val="Heading1"/>
      </w:pPr>
      <w:r>
        <w:t xml:space="preserve">References</w:t>
      </w:r>
    </w:p>
    <w:bookmarkStart w:id="104" w:name="refs"/>
    <w:bookmarkStart w:id="48" w:name="ref-avramov2022"/>
    <w:p>
      <w:pPr>
        <w:pStyle w:val="Bibliography"/>
      </w:pPr>
      <w:r>
        <w:t xml:space="preserve">Avramov, Doron, Si Cheng, Abraham Lioui, and Andrea Tarelli. 2022.</w:t>
      </w:r>
      <w:r>
        <w:t xml:space="preserve"> </w:t>
      </w:r>
      <w:r>
        <w:t xml:space="preserve">“Sustainable Investing with</w:t>
      </w:r>
      <w:r>
        <w:t xml:space="preserve"> </w:t>
      </w:r>
      <w:r>
        <w:t xml:space="preserve">ESG</w:t>
      </w:r>
      <w:r>
        <w:t xml:space="preserve"> </w:t>
      </w:r>
      <w:r>
        <w:t xml:space="preserve">Rating Uncertainty.”</w:t>
      </w:r>
      <w:r>
        <w:t xml:space="preserve"> </w:t>
      </w:r>
      <w:r>
        <w:rPr>
          <w:i/>
          <w:iCs/>
        </w:rPr>
        <w:t xml:space="preserve">Journal of Financial Economics</w:t>
      </w:r>
      <w:r>
        <w:t xml:space="preserve"> </w:t>
      </w:r>
      <w:r>
        <w:t xml:space="preserve">145 (2): 642–64.</w:t>
      </w:r>
    </w:p>
    <w:bookmarkEnd w:id="48"/>
    <w:bookmarkStart w:id="50" w:name="ref-babalos2015"/>
    <w:p>
      <w:pPr>
        <w:pStyle w:val="Bibliography"/>
      </w:pPr>
      <w:r>
        <w:t xml:space="preserve">Babalos, Vassilios, Stavros Stavroyiannis, and Rangan Gupta. 2015.</w:t>
      </w:r>
      <w:r>
        <w:t xml:space="preserve"> </w:t>
      </w:r>
      <w:r>
        <w:t xml:space="preserve">“Do Commodity Investors Herd?</w:t>
      </w:r>
      <w:r>
        <w:t xml:space="preserve"> </w:t>
      </w:r>
      <w:r>
        <w:t xml:space="preserve">Evidence</w:t>
      </w:r>
      <w:r>
        <w:t xml:space="preserve"> </w:t>
      </w:r>
      <w:r>
        <w:t xml:space="preserve">from a Time-Varying Stochastic Volatility Model.”</w:t>
      </w:r>
      <w:r>
        <w:t xml:space="preserve"> </w:t>
      </w:r>
      <w:r>
        <w:rPr>
          <w:i/>
          <w:iCs/>
        </w:rPr>
        <w:t xml:space="preserve">Resources Policy</w:t>
      </w:r>
      <w:r>
        <w:t xml:space="preserve"> </w:t>
      </w:r>
      <w:r>
        <w:t xml:space="preserve">46 (December): 281–87.</w:t>
      </w:r>
      <w:r>
        <w:t xml:space="preserve"> </w:t>
      </w:r>
      <w:hyperlink r:id="rId49">
        <w:r>
          <w:rPr>
            <w:rStyle w:val="Hyperlink"/>
          </w:rPr>
          <w:t xml:space="preserve">https://doi.org/10.1016/j.resourpol.2015.10.011</w:t>
        </w:r>
      </w:hyperlink>
      <w:r>
        <w:t xml:space="preserve">.</w:t>
      </w:r>
    </w:p>
    <w:bookmarkEnd w:id="50"/>
    <w:bookmarkStart w:id="52" w:name="ref-black1972"/>
    <w:p>
      <w:pPr>
        <w:pStyle w:val="Bibliography"/>
      </w:pPr>
      <w:r>
        <w:t xml:space="preserve">Black, Fischer. 1972.</w:t>
      </w:r>
      <w:r>
        <w:t xml:space="preserve"> </w:t>
      </w:r>
      <w:r>
        <w:t xml:space="preserve">“Capital Market Equilibrium with Restricted Borrowing.”</w:t>
      </w:r>
      <w:r>
        <w:t xml:space="preserve"> </w:t>
      </w:r>
      <w:r>
        <w:rPr>
          <w:i/>
          <w:iCs/>
        </w:rPr>
        <w:t xml:space="preserve">The Journal of Business</w:t>
      </w:r>
      <w:r>
        <w:t xml:space="preserve"> </w:t>
      </w:r>
      <w:r>
        <w:t xml:space="preserve">45 (3): 444–55.</w:t>
      </w:r>
      <w:r>
        <w:t xml:space="preserve"> </w:t>
      </w:r>
      <w:hyperlink r:id="rId51">
        <w:r>
          <w:rPr>
            <w:rStyle w:val="Hyperlink"/>
          </w:rPr>
          <w:t xml:space="preserve">https://www.jstor.org/stable/2351499</w:t>
        </w:r>
      </w:hyperlink>
      <w:r>
        <w:t xml:space="preserve">.</w:t>
      </w:r>
    </w:p>
    <w:bookmarkEnd w:id="52"/>
    <w:bookmarkStart w:id="54" w:name="ref-bouri2019"/>
    <w:p>
      <w:pPr>
        <w:pStyle w:val="Bibliography"/>
      </w:pPr>
      <w:r>
        <w:t xml:space="preserve">Bouri, Elie, Rangan Gupta, and David Roubaud. 2019.</w:t>
      </w:r>
      <w:r>
        <w:t xml:space="preserve"> </w:t>
      </w:r>
      <w:r>
        <w:t xml:space="preserve">“Herding Behaviour in Cryptocurrencies.”</w:t>
      </w:r>
      <w:r>
        <w:t xml:space="preserve"> </w:t>
      </w:r>
      <w:r>
        <w:rPr>
          <w:i/>
          <w:iCs/>
        </w:rPr>
        <w:t xml:space="preserve">Finance Research Letters</w:t>
      </w:r>
      <w:r>
        <w:t xml:space="preserve"> </w:t>
      </w:r>
      <w:r>
        <w:t xml:space="preserve">29 (June): 216–21.</w:t>
      </w:r>
      <w:r>
        <w:t xml:space="preserve"> </w:t>
      </w:r>
      <w:hyperlink r:id="rId53">
        <w:r>
          <w:rPr>
            <w:rStyle w:val="Hyperlink"/>
          </w:rPr>
          <w:t xml:space="preserve">https://doi.org/10.1016/j.frl.2018.07.008</w:t>
        </w:r>
      </w:hyperlink>
      <w:r>
        <w:t xml:space="preserve">.</w:t>
      </w:r>
    </w:p>
    <w:bookmarkEnd w:id="54"/>
    <w:bookmarkStart w:id="55" w:name="ref-briere2023"/>
    <w:p>
      <w:pPr>
        <w:pStyle w:val="Bibliography"/>
      </w:pPr>
      <w:r>
        <w:t xml:space="preserve">Brière, Marie, and Stefano Ramelli. 2023.</w:t>
      </w:r>
      <w:r>
        <w:t xml:space="preserve"> </w:t>
      </w:r>
      <w:r>
        <w:t xml:space="preserve">“Green Sentiment, Stock Returns, and Corporate Behaviour.”</w:t>
      </w:r>
      <w:r>
        <w:t xml:space="preserve"> </w:t>
      </w:r>
      <w:r>
        <w:rPr>
          <w:i/>
          <w:iCs/>
        </w:rPr>
        <w:t xml:space="preserve">Evolving Practices in Public Investment Management</w:t>
      </w:r>
      <w:r>
        <w:t xml:space="preserve">, 69.</w:t>
      </w:r>
    </w:p>
    <w:bookmarkEnd w:id="55"/>
    <w:bookmarkStart w:id="57" w:name="ref-bua2024"/>
    <w:p>
      <w:pPr>
        <w:pStyle w:val="Bibliography"/>
      </w:pPr>
      <w:r>
        <w:t xml:space="preserve">Bua, Giovanna, Daniel Kapp, Federico Ramella, and Lavinia Rognone. 2024.</w:t>
      </w:r>
      <w:r>
        <w:t xml:space="preserve"> </w:t>
      </w:r>
      <w:r>
        <w:t xml:space="preserve">“Transition Versus Physical Climate Risk Pricing in</w:t>
      </w:r>
      <w:r>
        <w:t xml:space="preserve"> </w:t>
      </w:r>
      <w:r>
        <w:t xml:space="preserve">European</w:t>
      </w:r>
      <w:r>
        <w:t xml:space="preserve"> </w:t>
      </w:r>
      <w:r>
        <w:t xml:space="preserve">Financial Markets:</w:t>
      </w:r>
      <w:r>
        <w:t xml:space="preserve"> </w:t>
      </w:r>
      <w:r>
        <w:t xml:space="preserve">A</w:t>
      </w:r>
      <w:r>
        <w:t xml:space="preserve"> </w:t>
      </w:r>
      <w:r>
        <w:t xml:space="preserve">Text-Based Approach.”</w:t>
      </w:r>
      <w:r>
        <w:t xml:space="preserve"> </w:t>
      </w:r>
      <w:r>
        <w:rPr>
          <w:i/>
          <w:iCs/>
        </w:rPr>
        <w:t xml:space="preserve">The European Journal of Finance</w:t>
      </w:r>
      <w:r>
        <w:t xml:space="preserve">, May, 1–36.</w:t>
      </w:r>
      <w:r>
        <w:t xml:space="preserve"> </w:t>
      </w:r>
      <w:hyperlink r:id="rId56">
        <w:r>
          <w:rPr>
            <w:rStyle w:val="Hyperlink"/>
          </w:rPr>
          <w:t xml:space="preserve">https://doi.org/10.1080/1351847X.2024.2355103</w:t>
        </w:r>
      </w:hyperlink>
      <w:r>
        <w:t xml:space="preserve">.</w:t>
      </w:r>
    </w:p>
    <w:bookmarkEnd w:id="57"/>
    <w:bookmarkStart w:id="59" w:name="ref-chang2000"/>
    <w:p>
      <w:pPr>
        <w:pStyle w:val="Bibliography"/>
      </w:pPr>
      <w:r>
        <w:t xml:space="preserve">Chang, Eric C, Joseph W Cheng, and Ajay Khorana. 2000.</w:t>
      </w:r>
      <w:r>
        <w:t xml:space="preserve"> </w:t>
      </w:r>
      <w:r>
        <w:t xml:space="preserve">“An Examination of Herd Behavior in Equity Markets:</w:t>
      </w:r>
      <w:r>
        <w:t xml:space="preserve"> </w:t>
      </w:r>
      <w:r>
        <w:t xml:space="preserve">An</w:t>
      </w:r>
      <w:r>
        <w:t xml:space="preserve"> </w:t>
      </w:r>
      <w:r>
        <w:t xml:space="preserve">International Perspective.”</w:t>
      </w:r>
      <w:r>
        <w:t xml:space="preserve"> </w:t>
      </w:r>
      <w:r>
        <w:rPr>
          <w:i/>
          <w:iCs/>
        </w:rPr>
        <w:t xml:space="preserve">Journal of Banking &amp; Finance</w:t>
      </w:r>
      <w:r>
        <w:t xml:space="preserve"> </w:t>
      </w:r>
      <w:r>
        <w:t xml:space="preserve">24 (10): 1651–79.</w:t>
      </w:r>
      <w:r>
        <w:t xml:space="preserve"> </w:t>
      </w:r>
      <w:hyperlink r:id="rId58">
        <w:r>
          <w:rPr>
            <w:rStyle w:val="Hyperlink"/>
          </w:rPr>
          <w:t xml:space="preserve">https://doi.org/10.1016/S0378-4266(99)00096-5</w:t>
        </w:r>
      </w:hyperlink>
      <w:r>
        <w:t xml:space="preserve">.</w:t>
      </w:r>
    </w:p>
    <w:bookmarkEnd w:id="59"/>
    <w:bookmarkStart w:id="61" w:name="ref-christie1995"/>
    <w:p>
      <w:pPr>
        <w:pStyle w:val="Bibliography"/>
      </w:pPr>
      <w:r>
        <w:t xml:space="preserve">Christie, William G., and Roger D. Huang. 1995.</w:t>
      </w:r>
      <w:r>
        <w:t xml:space="preserve"> </w:t>
      </w:r>
      <w:r>
        <w:t xml:space="preserve">“Following the</w:t>
      </w:r>
      <w:r>
        <w:t xml:space="preserve"> </w:t>
      </w:r>
      <w:r>
        <w:t xml:space="preserve">Pied Piper</w:t>
      </w:r>
      <w:r>
        <w:t xml:space="preserve">:</w:t>
      </w:r>
      <w:r>
        <w:t xml:space="preserve"> </w:t>
      </w:r>
      <w:r>
        <w:t xml:space="preserve">Do Individual Returns Herd</w:t>
      </w:r>
      <w:r>
        <w:t xml:space="preserve"> </w:t>
      </w:r>
      <w:r>
        <w:t xml:space="preserve">Around the</w:t>
      </w:r>
      <w:r>
        <w:t xml:space="preserve"> </w:t>
      </w:r>
      <w:r>
        <w:t xml:space="preserve">Market</w:t>
      </w:r>
      <w:r>
        <w:t xml:space="preserve">?”</w:t>
      </w:r>
      <w:r>
        <w:t xml:space="preserve"> </w:t>
      </w:r>
      <w:r>
        <w:rPr>
          <w:i/>
          <w:iCs/>
        </w:rPr>
        <w:t xml:space="preserve">Financial Analysts Journal</w:t>
      </w:r>
      <w:r>
        <w:t xml:space="preserve"> </w:t>
      </w:r>
      <w:r>
        <w:t xml:space="preserve">51 (4): 31–37.</w:t>
      </w:r>
      <w:r>
        <w:t xml:space="preserve"> </w:t>
      </w:r>
      <w:hyperlink r:id="rId60">
        <w:r>
          <w:rPr>
            <w:rStyle w:val="Hyperlink"/>
          </w:rPr>
          <w:t xml:space="preserve">https://doi.org/10.2469/faj.v51.n4.1918</w:t>
        </w:r>
      </w:hyperlink>
      <w:r>
        <w:t xml:space="preserve">.</w:t>
      </w:r>
    </w:p>
    <w:bookmarkEnd w:id="61"/>
    <w:bookmarkStart w:id="62" w:name="ref-ciciretti2021"/>
    <w:p>
      <w:pPr>
        <w:pStyle w:val="Bibliography"/>
      </w:pPr>
      <w:r>
        <w:t xml:space="preserve">Ciciretti, Rocco, Ambrogio Dalò, and Giovanni Ferri. 2021.</w:t>
      </w:r>
      <w:r>
        <w:t xml:space="preserve"> </w:t>
      </w:r>
      <w:r>
        <w:t xml:space="preserve">“Herding and Anti-Herding Across</w:t>
      </w:r>
      <w:r>
        <w:t xml:space="preserve"> </w:t>
      </w:r>
      <w:r>
        <w:t xml:space="preserve">ESG</w:t>
      </w:r>
      <w:r>
        <w:t xml:space="preserve"> </w:t>
      </w:r>
      <w:r>
        <w:t xml:space="preserve">Funds.”</w:t>
      </w:r>
    </w:p>
    <w:bookmarkEnd w:id="62"/>
    <w:bookmarkStart w:id="64" w:name="ref-decclesia2024"/>
    <w:p>
      <w:pPr>
        <w:pStyle w:val="Bibliography"/>
      </w:pPr>
      <w:r>
        <w:t xml:space="preserve">D’Ecclesia, Rita Laura, Giacomo Morelli, and Kevyn Stefanelli. 2024.</w:t>
      </w:r>
      <w:r>
        <w:t xml:space="preserve"> </w:t>
      </w:r>
      <w:r>
        <w:t xml:space="preserve">“Energy</w:t>
      </w:r>
      <w:r>
        <w:t xml:space="preserve"> </w:t>
      </w:r>
      <w:r>
        <w:t xml:space="preserve">ETF</w:t>
      </w:r>
      <w:r>
        <w:t xml:space="preserve"> </w:t>
      </w:r>
      <w:r>
        <w:t xml:space="preserve">Performance:</w:t>
      </w:r>
      <w:r>
        <w:t xml:space="preserve"> </w:t>
      </w:r>
      <w:r>
        <w:t xml:space="preserve">The</w:t>
      </w:r>
      <w:r>
        <w:t xml:space="preserve"> </w:t>
      </w:r>
      <w:r>
        <w:t xml:space="preserve">Role of Fossil Fuels.”</w:t>
      </w:r>
      <w:r>
        <w:t xml:space="preserve"> </w:t>
      </w:r>
      <w:r>
        <w:rPr>
          <w:i/>
          <w:iCs/>
        </w:rPr>
        <w:t xml:space="preserve">Energy Economics</w:t>
      </w:r>
      <w:r>
        <w:t xml:space="preserve"> </w:t>
      </w:r>
      <w:r>
        <w:t xml:space="preserve">131 (March): 107332.</w:t>
      </w:r>
      <w:r>
        <w:t xml:space="preserve"> </w:t>
      </w:r>
      <w:hyperlink r:id="rId63">
        <w:r>
          <w:rPr>
            <w:rStyle w:val="Hyperlink"/>
          </w:rPr>
          <w:t xml:space="preserve">https://doi.org/10.1016/j.eneco.2024.107332</w:t>
        </w:r>
      </w:hyperlink>
      <w:r>
        <w:t xml:space="preserve">.</w:t>
      </w:r>
    </w:p>
    <w:bookmarkEnd w:id="64"/>
    <w:bookmarkStart w:id="66" w:name="ref-demirer2018"/>
    <w:p>
      <w:pPr>
        <w:pStyle w:val="Bibliography"/>
      </w:pPr>
      <w:r>
        <w:t xml:space="preserve">Demirer, Riza, Rangan Gupta, Tahir Suleman, and Mark E. Wohar. 2018.</w:t>
      </w:r>
      <w:r>
        <w:t xml:space="preserve"> </w:t>
      </w:r>
      <w:r>
        <w:t xml:space="preserve">“Time-Varying Rare Disaster Risks, Oil Returns and Volatility.”</w:t>
      </w:r>
      <w:r>
        <w:t xml:space="preserve"> </w:t>
      </w:r>
      <w:r>
        <w:rPr>
          <w:i/>
          <w:iCs/>
        </w:rPr>
        <w:t xml:space="preserve">Energy Economics</w:t>
      </w:r>
      <w:r>
        <w:t xml:space="preserve"> </w:t>
      </w:r>
      <w:r>
        <w:t xml:space="preserve">75 (September): 239–48.</w:t>
      </w:r>
      <w:r>
        <w:t xml:space="preserve"> </w:t>
      </w:r>
      <w:hyperlink r:id="rId65">
        <w:r>
          <w:rPr>
            <w:rStyle w:val="Hyperlink"/>
          </w:rPr>
          <w:t xml:space="preserve">https://doi.org/10.1016/j.eneco.2018.08.021</w:t>
        </w:r>
      </w:hyperlink>
      <w:r>
        <w:t xml:space="preserve">.</w:t>
      </w:r>
    </w:p>
    <w:bookmarkEnd w:id="66"/>
    <w:bookmarkStart w:id="67" w:name="ref-dragomirescu-gaina2021"/>
    <w:p>
      <w:pPr>
        <w:pStyle w:val="Bibliography"/>
      </w:pPr>
      <w:r>
        <w:t xml:space="preserve">Dragomirescu-Gaina, Catalin, Emilios Galariotis, and Dionisis Philippas. 2021.</w:t>
      </w:r>
      <w:r>
        <w:t xml:space="preserve"> </w:t>
      </w:r>
      <w:r>
        <w:t xml:space="preserve">“Chasing the ‘Green Bandwagon’in Times of Uncertainty.”</w:t>
      </w:r>
      <w:r>
        <w:t xml:space="preserve"> </w:t>
      </w:r>
      <w:r>
        <w:rPr>
          <w:i/>
          <w:iCs/>
        </w:rPr>
        <w:t xml:space="preserve">Energy Policy</w:t>
      </w:r>
      <w:r>
        <w:t xml:space="preserve"> </w:t>
      </w:r>
      <w:r>
        <w:t xml:space="preserve">151: 112190.</w:t>
      </w:r>
    </w:p>
    <w:bookmarkEnd w:id="67"/>
    <w:bookmarkStart w:id="69" w:name="ref-galariotis2015"/>
    <w:p>
      <w:pPr>
        <w:pStyle w:val="Bibliography"/>
      </w:pPr>
      <w:r>
        <w:t xml:space="preserve">Galariotis, Emilios C., Wu Rong, and Spyros I. Spyrou. 2015.</w:t>
      </w:r>
      <w:r>
        <w:t xml:space="preserve"> </w:t>
      </w:r>
      <w:r>
        <w:t xml:space="preserve">“Herding on Fundamental Information:</w:t>
      </w:r>
      <w:r>
        <w:t xml:space="preserve"> </w:t>
      </w:r>
      <w:r>
        <w:t xml:space="preserve">A</w:t>
      </w:r>
      <w:r>
        <w:t xml:space="preserve"> </w:t>
      </w:r>
      <w:r>
        <w:t xml:space="preserve">Comparative Study.”</w:t>
      </w:r>
      <w:r>
        <w:t xml:space="preserve"> </w:t>
      </w:r>
      <w:r>
        <w:rPr>
          <w:i/>
          <w:iCs/>
        </w:rPr>
        <w:t xml:space="preserve">Journal of Banking &amp; Finance</w:t>
      </w:r>
      <w:r>
        <w:t xml:space="preserve"> </w:t>
      </w:r>
      <w:r>
        <w:t xml:space="preserve">50 (January): 589–98.</w:t>
      </w:r>
      <w:r>
        <w:t xml:space="preserve"> </w:t>
      </w:r>
      <w:hyperlink r:id="rId68">
        <w:r>
          <w:rPr>
            <w:rStyle w:val="Hyperlink"/>
          </w:rPr>
          <w:t xml:space="preserve">https://doi.org/10.1016/j.jbankfin.2014.03.014</w:t>
        </w:r>
      </w:hyperlink>
      <w:r>
        <w:t xml:space="preserve">.</w:t>
      </w:r>
    </w:p>
    <w:bookmarkEnd w:id="69"/>
    <w:bookmarkStart w:id="71" w:name="ref-gavrilakis2023"/>
    <w:p>
      <w:pPr>
        <w:pStyle w:val="Bibliography"/>
      </w:pPr>
      <w:r>
        <w:t xml:space="preserve">Gavrilakis, Nektarios, and Christos Floros. 2023.</w:t>
      </w:r>
      <w:r>
        <w:t xml:space="preserve"> </w:t>
      </w:r>
      <w:r>
        <w:t xml:space="preserve">“</w:t>
      </w:r>
      <w:r>
        <w:t xml:space="preserve">ESG</w:t>
      </w:r>
      <w:r>
        <w:t xml:space="preserve"> </w:t>
      </w:r>
      <w:r>
        <w:t xml:space="preserve">Performance, Herding Behavior and Stock Market Returns: Evidence from</w:t>
      </w:r>
      <w:r>
        <w:t xml:space="preserve"> </w:t>
      </w:r>
      <w:r>
        <w:t xml:space="preserve">Europe</w:t>
      </w:r>
      <w:r>
        <w:t xml:space="preserve">.”</w:t>
      </w:r>
      <w:r>
        <w:t xml:space="preserve"> </w:t>
      </w:r>
      <w:r>
        <w:rPr>
          <w:i/>
          <w:iCs/>
        </w:rPr>
        <w:t xml:space="preserve">Operational Research</w:t>
      </w:r>
      <w:r>
        <w:t xml:space="preserve"> </w:t>
      </w:r>
      <w:r>
        <w:t xml:space="preserve">23 (1): 3.</w:t>
      </w:r>
      <w:r>
        <w:t xml:space="preserve"> </w:t>
      </w:r>
      <w:hyperlink r:id="rId70">
        <w:r>
          <w:rPr>
            <w:rStyle w:val="Hyperlink"/>
          </w:rPr>
          <w:t xml:space="preserve">https://doi.org/10.1007/s12351-023-00745-1</w:t>
        </w:r>
      </w:hyperlink>
      <w:r>
        <w:t xml:space="preserve">.</w:t>
      </w:r>
    </w:p>
    <w:bookmarkEnd w:id="71"/>
    <w:bookmarkStart w:id="73" w:name="ref-geert2000"/>
    <w:p>
      <w:pPr>
        <w:pStyle w:val="Bibliography"/>
      </w:pPr>
      <w:r>
        <w:t xml:space="preserve">Geert, Bekaert, and Wu Guojun. 2000.</w:t>
      </w:r>
      <w:r>
        <w:t xml:space="preserve"> </w:t>
      </w:r>
      <w:r>
        <w:t xml:space="preserve">“Asymmetric</w:t>
      </w:r>
      <w:r>
        <w:t xml:space="preserve"> </w:t>
      </w:r>
      <w:r>
        <w:t xml:space="preserve">Volatility</w:t>
      </w:r>
      <w:r>
        <w:t xml:space="preserve"> </w:t>
      </w:r>
      <w:r>
        <w:t xml:space="preserve">and</w:t>
      </w:r>
      <w:r>
        <w:t xml:space="preserve"> </w:t>
      </w:r>
      <w:r>
        <w:t xml:space="preserve">Risk</w:t>
      </w:r>
      <w:r>
        <w:t xml:space="preserve"> </w:t>
      </w:r>
      <w:r>
        <w:t xml:space="preserve">in</w:t>
      </w:r>
      <w:r>
        <w:t xml:space="preserve"> </w:t>
      </w:r>
      <w:r>
        <w:t xml:space="preserve">Equity Markets</w:t>
      </w:r>
      <w:r>
        <w:t xml:space="preserve">.”</w:t>
      </w:r>
      <w:r>
        <w:t xml:space="preserve"> </w:t>
      </w:r>
      <w:r>
        <w:rPr>
          <w:i/>
          <w:iCs/>
        </w:rPr>
        <w:t xml:space="preserve">Review of Financial Studies</w:t>
      </w:r>
      <w:r>
        <w:t xml:space="preserve"> </w:t>
      </w:r>
      <w:r>
        <w:t xml:space="preserve">13 (1): 1–42.</w:t>
      </w:r>
      <w:r>
        <w:t xml:space="preserve"> </w:t>
      </w:r>
      <w:hyperlink r:id="rId72">
        <w:r>
          <w:rPr>
            <w:rStyle w:val="Hyperlink"/>
          </w:rPr>
          <w:t xml:space="preserve">https://doi.org/10.1093/rfs/13.1.1</w:t>
        </w:r>
      </w:hyperlink>
      <w:r>
        <w:t xml:space="preserve">.</w:t>
      </w:r>
    </w:p>
    <w:bookmarkEnd w:id="73"/>
    <w:bookmarkStart w:id="75" w:name="ref-giglio2021a"/>
    <w:p>
      <w:pPr>
        <w:pStyle w:val="Bibliography"/>
      </w:pPr>
      <w:r>
        <w:t xml:space="preserve">Giglio, Stefano, Matteo Maggiori, Krishna Rao, Johannes Stroebel, and Andreas Weber. 2021.</w:t>
      </w:r>
      <w:r>
        <w:t xml:space="preserve"> </w:t>
      </w:r>
      <w:r>
        <w:t xml:space="preserve">“Climate</w:t>
      </w:r>
      <w:r>
        <w:t xml:space="preserve"> </w:t>
      </w:r>
      <w:r>
        <w:t xml:space="preserve">Change</w:t>
      </w:r>
      <w:r>
        <w:t xml:space="preserve"> </w:t>
      </w:r>
      <w:r>
        <w:t xml:space="preserve">and</w:t>
      </w:r>
      <w:r>
        <w:t xml:space="preserve"> </w:t>
      </w:r>
      <w:r>
        <w:t xml:space="preserve">Long-Run Discount Rates</w:t>
      </w:r>
      <w:r>
        <w:t xml:space="preserve">:</w:t>
      </w:r>
      <w:r>
        <w:t xml:space="preserve"> </w:t>
      </w:r>
      <w:r>
        <w:t xml:space="preserve">Evidence</w:t>
      </w:r>
      <w:r>
        <w:t xml:space="preserve"> </w:t>
      </w:r>
      <w:r>
        <w:t xml:space="preserve">from</w:t>
      </w:r>
      <w:r>
        <w:t xml:space="preserve"> </w:t>
      </w:r>
      <w:r>
        <w:t xml:space="preserve">Real Estate</w:t>
      </w:r>
      <w:r>
        <w:t xml:space="preserve">.”</w:t>
      </w:r>
      <w:r>
        <w:t xml:space="preserve"> </w:t>
      </w:r>
      <w:r>
        <w:t xml:space="preserve">Edited by Stijn Van Nieuwerburgh.</w:t>
      </w:r>
      <w:r>
        <w:t xml:space="preserve"> </w:t>
      </w:r>
      <w:r>
        <w:rPr>
          <w:i/>
          <w:iCs/>
        </w:rPr>
        <w:t xml:space="preserve">The Review of Financial Studies</w:t>
      </w:r>
      <w:r>
        <w:t xml:space="preserve"> </w:t>
      </w:r>
      <w:r>
        <w:t xml:space="preserve">34 (8): 3527–71.</w:t>
      </w:r>
      <w:r>
        <w:t xml:space="preserve"> </w:t>
      </w:r>
      <w:hyperlink r:id="rId74">
        <w:r>
          <w:rPr>
            <w:rStyle w:val="Hyperlink"/>
          </w:rPr>
          <w:t xml:space="preserve">https://doi.org/10.1093/rfs/hhab032</w:t>
        </w:r>
      </w:hyperlink>
      <w:r>
        <w:t xml:space="preserve">.</w:t>
      </w:r>
    </w:p>
    <w:bookmarkEnd w:id="75"/>
    <w:bookmarkStart w:id="76" w:name="ref-gilbert2010"/>
    <w:p>
      <w:pPr>
        <w:pStyle w:val="Bibliography"/>
      </w:pPr>
      <w:r>
        <w:t xml:space="preserve">Gilbert, Christopher L. 2010.</w:t>
      </w:r>
      <w:r>
        <w:t xml:space="preserve"> </w:t>
      </w:r>
      <w:r>
        <w:t xml:space="preserve">“Commodity Speculation and Commodity Investment.”</w:t>
      </w:r>
      <w:r>
        <w:t xml:space="preserve"> </w:t>
      </w:r>
      <w:r>
        <w:rPr>
          <w:i/>
          <w:iCs/>
        </w:rPr>
        <w:t xml:space="preserve">Market Review</w:t>
      </w:r>
      <w:r>
        <w:t xml:space="preserve"> </w:t>
      </w:r>
      <w:r>
        <w:t xml:space="preserve">28: 26–46.</w:t>
      </w:r>
    </w:p>
    <w:bookmarkEnd w:id="76"/>
    <w:bookmarkStart w:id="78" w:name="ref-klein2013"/>
    <w:p>
      <w:pPr>
        <w:pStyle w:val="Bibliography"/>
      </w:pPr>
      <w:r>
        <w:t xml:space="preserve">Klein, Arne C. 2013.</w:t>
      </w:r>
      <w:r>
        <w:t xml:space="preserve"> </w:t>
      </w:r>
      <w:r>
        <w:t xml:space="preserve">“Time-Variations in Herding Behavior:</w:t>
      </w:r>
      <w:r>
        <w:t xml:space="preserve"> </w:t>
      </w:r>
      <w:r>
        <w:t xml:space="preserve">Evidence</w:t>
      </w:r>
      <w:r>
        <w:t xml:space="preserve"> </w:t>
      </w:r>
      <w:r>
        <w:t xml:space="preserve">from a</w:t>
      </w:r>
      <w:r>
        <w:t xml:space="preserve"> </w:t>
      </w:r>
      <w:r>
        <w:t xml:space="preserve">Markov</w:t>
      </w:r>
      <w:r>
        <w:t xml:space="preserve"> </w:t>
      </w:r>
      <w:r>
        <w:t xml:space="preserve">Switching</w:t>
      </w:r>
      <w:r>
        <w:t xml:space="preserve"> </w:t>
      </w:r>
      <w:r>
        <w:t xml:space="preserve">SUR</w:t>
      </w:r>
      <w:r>
        <w:t xml:space="preserve"> </w:t>
      </w:r>
      <w:r>
        <w:t xml:space="preserve">Model.”</w:t>
      </w:r>
      <w:r>
        <w:t xml:space="preserve"> </w:t>
      </w:r>
      <w:r>
        <w:rPr>
          <w:i/>
          <w:iCs/>
        </w:rPr>
        <w:t xml:space="preserve">Journal of International Financial Markets, Institutions and Money</w:t>
      </w:r>
      <w:r>
        <w:t xml:space="preserve"> </w:t>
      </w:r>
      <w:r>
        <w:t xml:space="preserve">26 (October): 291–304.</w:t>
      </w:r>
      <w:r>
        <w:t xml:space="preserve"> </w:t>
      </w:r>
      <w:hyperlink r:id="rId77">
        <w:r>
          <w:rPr>
            <w:rStyle w:val="Hyperlink"/>
          </w:rPr>
          <w:t xml:space="preserve">https://doi.org/10.1016/j.intfin.2013.06.006</w:t>
        </w:r>
      </w:hyperlink>
      <w:r>
        <w:t xml:space="preserve">.</w:t>
      </w:r>
    </w:p>
    <w:bookmarkEnd w:id="78"/>
    <w:bookmarkStart w:id="80" w:name="ref-koenker1978"/>
    <w:p>
      <w:pPr>
        <w:pStyle w:val="Bibliography"/>
      </w:pPr>
      <w:r>
        <w:t xml:space="preserve">Koenker, Roger, and Gilbert Bassett. 1978.</w:t>
      </w:r>
      <w:r>
        <w:t xml:space="preserve"> </w:t>
      </w:r>
      <w:r>
        <w:t xml:space="preserve">“Regression</w:t>
      </w:r>
      <w:r>
        <w:t xml:space="preserve"> </w:t>
      </w:r>
      <w:r>
        <w:t xml:space="preserve">Quantiles</w:t>
      </w:r>
      <w:r>
        <w:t xml:space="preserve">.”</w:t>
      </w:r>
      <w:r>
        <w:t xml:space="preserve"> </w:t>
      </w:r>
      <w:r>
        <w:rPr>
          <w:i/>
          <w:iCs/>
        </w:rPr>
        <w:t xml:space="preserve">Econometrica</w:t>
      </w:r>
      <w:r>
        <w:t xml:space="preserve"> </w:t>
      </w:r>
      <w:r>
        <w:t xml:space="preserve">46 (1): 33–50.</w:t>
      </w:r>
      <w:r>
        <w:t xml:space="preserve"> </w:t>
      </w:r>
      <w:hyperlink r:id="rId79">
        <w:r>
          <w:rPr>
            <w:rStyle w:val="Hyperlink"/>
          </w:rPr>
          <w:t xml:space="preserve">https://doi.org/10.2307/1913643</w:t>
        </w:r>
      </w:hyperlink>
      <w:r>
        <w:t xml:space="preserve">.</w:t>
      </w:r>
    </w:p>
    <w:bookmarkEnd w:id="80"/>
    <w:bookmarkStart w:id="82" w:name="ref-koutmos2024"/>
    <w:p>
      <w:pPr>
        <w:pStyle w:val="Bibliography"/>
      </w:pPr>
      <w:r>
        <w:t xml:space="preserve">Koutmos, Dimitrios. 2024.</w:t>
      </w:r>
      <w:r>
        <w:t xml:space="preserve"> </w:t>
      </w:r>
      <w:r>
        <w:t xml:space="preserve">“Twitter</w:t>
      </w:r>
      <w:r>
        <w:t xml:space="preserve"> </w:t>
      </w:r>
      <w:r>
        <w:t xml:space="preserve">Economic Uncertainty</w:t>
      </w:r>
      <w:r>
        <w:t xml:space="preserve"> </w:t>
      </w:r>
      <w:r>
        <w:t xml:space="preserve">and</w:t>
      </w:r>
      <w:r>
        <w:t xml:space="preserve"> </w:t>
      </w:r>
      <w:r>
        <w:t xml:space="preserve">Herding Behavior</w:t>
      </w:r>
      <w:r>
        <w:t xml:space="preserve"> </w:t>
      </w:r>
      <w:r>
        <w:t xml:space="preserve">in</w:t>
      </w:r>
      <w:r>
        <w:t xml:space="preserve"> </w:t>
      </w:r>
      <w:r>
        <w:t xml:space="preserve">ESG Markets</w:t>
      </w:r>
      <w:r>
        <w:t xml:space="preserve">.”</w:t>
      </w:r>
      <w:r>
        <w:t xml:space="preserve"> </w:t>
      </w:r>
      <w:r>
        <w:rPr>
          <w:i/>
          <w:iCs/>
        </w:rPr>
        <w:t xml:space="preserve">Journal of Risk and Financial Management</w:t>
      </w:r>
      <w:r>
        <w:t xml:space="preserve"> </w:t>
      </w:r>
      <w:r>
        <w:t xml:space="preserve">17 (11): 502.</w:t>
      </w:r>
      <w:r>
        <w:t xml:space="preserve"> </w:t>
      </w:r>
      <w:hyperlink r:id="rId81">
        <w:r>
          <w:rPr>
            <w:rStyle w:val="Hyperlink"/>
          </w:rPr>
          <w:t xml:space="preserve">https://doi.org/10.3390/jrfm17110502</w:t>
        </w:r>
      </w:hyperlink>
      <w:r>
        <w:t xml:space="preserve">.</w:t>
      </w:r>
    </w:p>
    <w:bookmarkEnd w:id="82"/>
    <w:bookmarkStart w:id="83" w:name="ref-loang2023"/>
    <w:p>
      <w:pPr>
        <w:pStyle w:val="Bibliography"/>
      </w:pPr>
      <w:r>
        <w:t xml:space="preserve">Loang, Ooi Kok. 2023.</w:t>
      </w:r>
      <w:r>
        <w:t xml:space="preserve"> </w:t>
      </w:r>
      <w:r>
        <w:t xml:space="preserve">“Sustainable Development Goals, Herding, and Risk-Averse Behavior in</w:t>
      </w:r>
      <w:r>
        <w:t xml:space="preserve"> </w:t>
      </w:r>
      <w:r>
        <w:t xml:space="preserve">Muslim</w:t>
      </w:r>
      <w:r>
        <w:t xml:space="preserve"> </w:t>
      </w:r>
      <w:r>
        <w:t xml:space="preserve">Countries.”</w:t>
      </w:r>
      <w:r>
        <w:t xml:space="preserve"> </w:t>
      </w:r>
      <w:r>
        <w:rPr>
          <w:i/>
          <w:iCs/>
        </w:rPr>
        <w:t xml:space="preserve">Journal of Islamic Monetary Economics and Finance</w:t>
      </w:r>
      <w:r>
        <w:t xml:space="preserve"> </w:t>
      </w:r>
      <w:r>
        <w:t xml:space="preserve">9 (2): 313–36.</w:t>
      </w:r>
    </w:p>
    <w:bookmarkEnd w:id="83"/>
    <w:bookmarkStart w:id="85" w:name="ref-longin2001"/>
    <w:p>
      <w:pPr>
        <w:pStyle w:val="Bibliography"/>
      </w:pPr>
      <w:r>
        <w:t xml:space="preserve">Longin, François, and Bruno Solnik. 2001.</w:t>
      </w:r>
      <w:r>
        <w:t xml:space="preserve"> </w:t>
      </w:r>
      <w:r>
        <w:t xml:space="preserve">“Extreme</w:t>
      </w:r>
      <w:r>
        <w:t xml:space="preserve"> </w:t>
      </w:r>
      <w:r>
        <w:t xml:space="preserve">Correlation</w:t>
      </w:r>
      <w:r>
        <w:t xml:space="preserve"> </w:t>
      </w:r>
      <w:r>
        <w:t xml:space="preserve">of</w:t>
      </w:r>
      <w:r>
        <w:t xml:space="preserve"> </w:t>
      </w:r>
      <w:r>
        <w:t xml:space="preserve">International Equity Markets</w:t>
      </w:r>
      <w:r>
        <w:t xml:space="preserve">.”</w:t>
      </w:r>
      <w:r>
        <w:t xml:space="preserve"> </w:t>
      </w:r>
      <w:r>
        <w:rPr>
          <w:i/>
          <w:iCs/>
        </w:rPr>
        <w:t xml:space="preserve">The Journal of Finance</w:t>
      </w:r>
      <w:r>
        <w:t xml:space="preserve"> </w:t>
      </w:r>
      <w:r>
        <w:t xml:space="preserve">56 (2): 649–76.</w:t>
      </w:r>
      <w:r>
        <w:t xml:space="preserve"> </w:t>
      </w:r>
      <w:hyperlink r:id="rId84">
        <w:r>
          <w:rPr>
            <w:rStyle w:val="Hyperlink"/>
          </w:rPr>
          <w:t xml:space="preserve">https://doi.org/10.1111/0022-1082.00340</w:t>
        </w:r>
      </w:hyperlink>
      <w:r>
        <w:t xml:space="preserve">.</w:t>
      </w:r>
    </w:p>
    <w:bookmarkEnd w:id="85"/>
    <w:bookmarkStart w:id="87" w:name="ref-naqvi2022"/>
    <w:p>
      <w:pPr>
        <w:pStyle w:val="Bibliography"/>
      </w:pPr>
      <w:r>
        <w:t xml:space="preserve">Naqvi, Bushra, Syed Kumail Abbas Rizvi, Amir Hasnaoui, and Xuefeng Shao. 2022.</w:t>
      </w:r>
      <w:r>
        <w:t xml:space="preserve"> </w:t>
      </w:r>
      <w:r>
        <w:t xml:space="preserve">“Going Beyond Sustainability:</w:t>
      </w:r>
      <w:r>
        <w:t xml:space="preserve"> </w:t>
      </w:r>
      <w:r>
        <w:t xml:space="preserve">The</w:t>
      </w:r>
      <w:r>
        <w:t xml:space="preserve"> </w:t>
      </w:r>
      <w:r>
        <w:t xml:space="preserve">Diversification Benefits of Green Energy Financial Products.”</w:t>
      </w:r>
      <w:r>
        <w:t xml:space="preserve"> </w:t>
      </w:r>
      <w:r>
        <w:rPr>
          <w:i/>
          <w:iCs/>
        </w:rPr>
        <w:t xml:space="preserve">Energy Economics</w:t>
      </w:r>
      <w:r>
        <w:t xml:space="preserve"> </w:t>
      </w:r>
      <w:r>
        <w:t xml:space="preserve">111 (July): 106111.</w:t>
      </w:r>
      <w:r>
        <w:t xml:space="preserve"> </w:t>
      </w:r>
      <w:hyperlink r:id="rId86">
        <w:r>
          <w:rPr>
            <w:rStyle w:val="Hyperlink"/>
          </w:rPr>
          <w:t xml:space="preserve">https://doi.org/10.1016/j.eneco.2022.106111</w:t>
        </w:r>
      </w:hyperlink>
      <w:r>
        <w:t xml:space="preserve">.</w:t>
      </w:r>
    </w:p>
    <w:bookmarkEnd w:id="87"/>
    <w:bookmarkStart w:id="89" w:name="ref-newey1987"/>
    <w:p>
      <w:pPr>
        <w:pStyle w:val="Bibliography"/>
      </w:pPr>
      <w:r>
        <w:t xml:space="preserve">Newey, Whitney K., and Kenneth D. West. 1987.</w:t>
      </w:r>
      <w:r>
        <w:t xml:space="preserve"> </w:t>
      </w:r>
      <w:r>
        <w:t xml:space="preserve">“A</w:t>
      </w:r>
      <w:r>
        <w:t xml:space="preserve"> </w:t>
      </w:r>
      <w:r>
        <w:t xml:space="preserve">Simple</w:t>
      </w:r>
      <w:r>
        <w:t xml:space="preserve">,</w:t>
      </w:r>
      <w:r>
        <w:t xml:space="preserve"> </w:t>
      </w:r>
      <w:r>
        <w:t xml:space="preserve">Positive Semi-Definite</w:t>
      </w:r>
      <w:r>
        <w:t xml:space="preserve">,</w:t>
      </w:r>
      <w:r>
        <w:t xml:space="preserve"> </w:t>
      </w:r>
      <w:r>
        <w:t xml:space="preserve">Heteroskedasticity</w:t>
      </w:r>
      <w:r>
        <w:t xml:space="preserve"> </w:t>
      </w:r>
      <w:r>
        <w:t xml:space="preserve">and</w:t>
      </w:r>
      <w:r>
        <w:t xml:space="preserve"> </w:t>
      </w:r>
      <w:r>
        <w:t xml:space="preserve">Autocorrelation Consistent Covariance Matrix</w:t>
      </w:r>
      <w:r>
        <w:t xml:space="preserve">.”</w:t>
      </w:r>
      <w:r>
        <w:t xml:space="preserve"> </w:t>
      </w:r>
      <w:r>
        <w:rPr>
          <w:i/>
          <w:iCs/>
        </w:rPr>
        <w:t xml:space="preserve">Econometrica: Journal of the Econometric Society</w:t>
      </w:r>
      <w:r>
        <w:t xml:space="preserve">, 703–8.</w:t>
      </w:r>
      <w:r>
        <w:t xml:space="preserve"> </w:t>
      </w:r>
      <w:hyperlink r:id="rId88">
        <w:r>
          <w:rPr>
            <w:rStyle w:val="Hyperlink"/>
          </w:rPr>
          <w:t xml:space="preserve">https://www.jstor.org/stable/1913610</w:t>
        </w:r>
      </w:hyperlink>
      <w:r>
        <w:t xml:space="preserve">.</w:t>
      </w:r>
    </w:p>
    <w:bookmarkEnd w:id="89"/>
    <w:bookmarkStart w:id="91" w:name="ref-nguyen2025"/>
    <w:p>
      <w:pPr>
        <w:pStyle w:val="Bibliography"/>
      </w:pPr>
      <w:r>
        <w:t xml:space="preserve">Nguyen, Minh Nhat, Ruipeng Liu, and Youwei Li. 2025.</w:t>
      </w:r>
      <w:r>
        <w:t xml:space="preserve"> </w:t>
      </w:r>
      <w:r>
        <w:t xml:space="preserve">“Performance of Energy</w:t>
      </w:r>
      <w:r>
        <w:t xml:space="preserve"> </w:t>
      </w:r>
      <w:r>
        <w:t xml:space="preserve">ETFs</w:t>
      </w:r>
      <w:r>
        <w:t xml:space="preserve"> </w:t>
      </w:r>
      <w:r>
        <w:t xml:space="preserve">and Climate Risks.”</w:t>
      </w:r>
      <w:r>
        <w:t xml:space="preserve"> </w:t>
      </w:r>
      <w:r>
        <w:rPr>
          <w:i/>
          <w:iCs/>
        </w:rPr>
        <w:t xml:space="preserve">Energy Economics</w:t>
      </w:r>
      <w:r>
        <w:t xml:space="preserve"> </w:t>
      </w:r>
      <w:r>
        <w:t xml:space="preserve">141 (January): 108031.</w:t>
      </w:r>
      <w:r>
        <w:t xml:space="preserve"> </w:t>
      </w:r>
      <w:hyperlink r:id="rId90">
        <w:r>
          <w:rPr>
            <w:rStyle w:val="Hyperlink"/>
          </w:rPr>
          <w:t xml:space="preserve">https://doi.org/10.1016/j.eneco.2024.108031</w:t>
        </w:r>
      </w:hyperlink>
      <w:r>
        <w:t xml:space="preserve">.</w:t>
      </w:r>
    </w:p>
    <w:bookmarkEnd w:id="91"/>
    <w:bookmarkStart w:id="93" w:name="ref-pastor2022"/>
    <w:p>
      <w:pPr>
        <w:pStyle w:val="Bibliography"/>
      </w:pPr>
      <w:r>
        <w:t xml:space="preserve">Pástor, Ľuboš, Robert F. Stambaugh, and Lucian A. Taylor. 2022.</w:t>
      </w:r>
      <w:r>
        <w:t xml:space="preserve"> </w:t>
      </w:r>
      <w:r>
        <w:t xml:space="preserve">“Dissecting Green Returns.”</w:t>
      </w:r>
      <w:r>
        <w:t xml:space="preserve"> </w:t>
      </w:r>
      <w:r>
        <w:rPr>
          <w:i/>
          <w:iCs/>
        </w:rPr>
        <w:t xml:space="preserve">Journal of Financial Economics</w:t>
      </w:r>
      <w:r>
        <w:t xml:space="preserve"> </w:t>
      </w:r>
      <w:r>
        <w:t xml:space="preserve">146 (2): 403–24.</w:t>
      </w:r>
      <w:r>
        <w:t xml:space="preserve"> </w:t>
      </w:r>
      <w:hyperlink r:id="rId92">
        <w:r>
          <w:rPr>
            <w:rStyle w:val="Hyperlink"/>
          </w:rPr>
          <w:t xml:space="preserve">https://doi.org/10.1016/j.jfineco.2022.07.007</w:t>
        </w:r>
      </w:hyperlink>
      <w:r>
        <w:t xml:space="preserve">.</w:t>
      </w:r>
    </w:p>
    <w:bookmarkEnd w:id="93"/>
    <w:bookmarkStart w:id="94" w:name="ref-pierdzioch2010"/>
    <w:p>
      <w:pPr>
        <w:pStyle w:val="Bibliography"/>
      </w:pPr>
      <w:r>
        <w:t xml:space="preserve">Pierdzioch, Christian, Jan Christoph Rülke, and Georg Stadtmann. 2010.</w:t>
      </w:r>
      <w:r>
        <w:t xml:space="preserve"> </w:t>
      </w:r>
      <w:r>
        <w:t xml:space="preserve">“New Evidence of Anti-Herding of Oil-Price Forecasters.”</w:t>
      </w:r>
      <w:r>
        <w:t xml:space="preserve"> </w:t>
      </w:r>
      <w:r>
        <w:rPr>
          <w:i/>
          <w:iCs/>
        </w:rPr>
        <w:t xml:space="preserve">Energy Economics</w:t>
      </w:r>
      <w:r>
        <w:t xml:space="preserve"> </w:t>
      </w:r>
      <w:r>
        <w:t xml:space="preserve">32 (6): 1456–59.</w:t>
      </w:r>
    </w:p>
    <w:bookmarkEnd w:id="94"/>
    <w:bookmarkStart w:id="95" w:name="ref-pochea2017"/>
    <w:p>
      <w:pPr>
        <w:pStyle w:val="Bibliography"/>
      </w:pPr>
      <w:r>
        <w:t xml:space="preserve">Pochea, Maria-Miruna, Angela-Maria Filip, and Andreea-Maria Pece. 2017.</w:t>
      </w:r>
      <w:r>
        <w:t xml:space="preserve"> </w:t>
      </w:r>
      <w:r>
        <w:t xml:space="preserve">“Herding</w:t>
      </w:r>
      <w:r>
        <w:t xml:space="preserve"> </w:t>
      </w:r>
      <w:r>
        <w:t xml:space="preserve">Behavior</w:t>
      </w:r>
      <w:r>
        <w:t xml:space="preserve"> </w:t>
      </w:r>
      <w:r>
        <w:t xml:space="preserve">in</w:t>
      </w:r>
      <w:r>
        <w:t xml:space="preserve"> </w:t>
      </w:r>
      <w:r>
        <w:t xml:space="preserve">CEE Stock Markets Under Asymmetric Conditions</w:t>
      </w:r>
      <w:r>
        <w:t xml:space="preserve">:</w:t>
      </w:r>
      <w:r>
        <w:t xml:space="preserve"> </w:t>
      </w:r>
      <w:r>
        <w:t xml:space="preserve">A Quantile Regression Analysis</w:t>
      </w:r>
      <w:r>
        <w:t xml:space="preserve">.”</w:t>
      </w:r>
      <w:r>
        <w:t xml:space="preserve"> </w:t>
      </w:r>
      <w:r>
        <w:rPr>
          <w:i/>
          <w:iCs/>
        </w:rPr>
        <w:t xml:space="preserve">Journal of Behavioral Finance</w:t>
      </w:r>
      <w:r>
        <w:t xml:space="preserve"> </w:t>
      </w:r>
      <w:r>
        <w:t xml:space="preserve">18 (4): 400–416.</w:t>
      </w:r>
    </w:p>
    <w:bookmarkEnd w:id="95"/>
    <w:bookmarkStart w:id="96" w:name="ref-przychodzen2016"/>
    <w:p>
      <w:pPr>
        <w:pStyle w:val="Bibliography"/>
      </w:pPr>
      <w:r>
        <w:t xml:space="preserve">Przychodzen, Justyna, Fernando Gómez-Bezares, Wojciech Przychodzen, and Mikel Larreina. 2016.</w:t>
      </w:r>
      <w:r>
        <w:t xml:space="preserve"> </w:t>
      </w:r>
      <w:r>
        <w:t xml:space="preserve">“</w:t>
      </w:r>
      <w:r>
        <w:t xml:space="preserve">ESG Issues</w:t>
      </w:r>
      <w:r>
        <w:t xml:space="preserve"> </w:t>
      </w:r>
      <w:r>
        <w:t xml:space="preserve">Among Fund Managers—</w:t>
      </w:r>
      <w:r>
        <w:t xml:space="preserve">Factors</w:t>
      </w:r>
      <w:r>
        <w:t xml:space="preserve"> </w:t>
      </w:r>
      <w:r>
        <w:t xml:space="preserve">and Motives.”</w:t>
      </w:r>
      <w:r>
        <w:t xml:space="preserve"> </w:t>
      </w:r>
      <w:r>
        <w:rPr>
          <w:i/>
          <w:iCs/>
        </w:rPr>
        <w:t xml:space="preserve">Sustainability</w:t>
      </w:r>
      <w:r>
        <w:t xml:space="preserve"> </w:t>
      </w:r>
      <w:r>
        <w:t xml:space="preserve">8 (10): 1078.</w:t>
      </w:r>
    </w:p>
    <w:bookmarkEnd w:id="96"/>
    <w:bookmarkStart w:id="97" w:name="ref-rubbaniy2021"/>
    <w:p>
      <w:pPr>
        <w:pStyle w:val="Bibliography"/>
      </w:pPr>
      <w:r>
        <w:t xml:space="preserve">Rubbaniy, Ghulame, Shoaib Ali, Costas Siriopoulos, and Aristeidis Samitas. 2021.</w:t>
      </w:r>
      <w:r>
        <w:t xml:space="preserve"> </w:t>
      </w:r>
      <w:r>
        <w:t xml:space="preserve">“Global</w:t>
      </w:r>
      <w:r>
        <w:t xml:space="preserve"> </w:t>
      </w:r>
      <w:r>
        <w:t xml:space="preserve">Financial Crisis</w:t>
      </w:r>
      <w:r>
        <w:t xml:space="preserve">,</w:t>
      </w:r>
      <w:r>
        <w:t xml:space="preserve"> </w:t>
      </w:r>
      <w:r>
        <w:t xml:space="preserve">COVID-19</w:t>
      </w:r>
      <w:r>
        <w:t xml:space="preserve">,</w:t>
      </w:r>
      <w:r>
        <w:t xml:space="preserve"> </w:t>
      </w:r>
      <w:r>
        <w:t xml:space="preserve">Lockdown</w:t>
      </w:r>
      <w:r>
        <w:t xml:space="preserve">, and</w:t>
      </w:r>
      <w:r>
        <w:t xml:space="preserve"> </w:t>
      </w:r>
      <w:r>
        <w:t xml:space="preserve">Herd Behavior</w:t>
      </w:r>
      <w:r>
        <w:t xml:space="preserve"> </w:t>
      </w:r>
      <w:r>
        <w:t xml:space="preserve">in the</w:t>
      </w:r>
      <w:r>
        <w:t xml:space="preserve"> </w:t>
      </w:r>
      <w:r>
        <w:t xml:space="preserve">US ESG Leader Stocks</w:t>
      </w:r>
      <w:r>
        <w:t xml:space="preserve">.”</w:t>
      </w:r>
      <w:r>
        <w:t xml:space="preserve"> </w:t>
      </w:r>
      <w:r>
        <w:rPr>
          <w:i/>
          <w:iCs/>
        </w:rPr>
        <w:t xml:space="preserve">COVID-19, Lockdown, and Herd Behavior in the US ESG Leader Stocks (June 16, 2021)</w:t>
      </w:r>
      <w:r>
        <w:t xml:space="preserve">.</w:t>
      </w:r>
    </w:p>
    <w:bookmarkEnd w:id="97"/>
    <w:bookmarkStart w:id="99" w:name="ref-stavroyiannis2019"/>
    <w:p>
      <w:pPr>
        <w:pStyle w:val="Bibliography"/>
      </w:pPr>
      <w:r>
        <w:t xml:space="preserve">Stavroyiannis, Stavros, and Vassilios Babalos. 2019.</w:t>
      </w:r>
      <w:r>
        <w:t xml:space="preserve"> </w:t>
      </w:r>
      <w:r>
        <w:t xml:space="preserve">“Herding Behavior in Cryptocurrencies Revisited:</w:t>
      </w:r>
      <w:r>
        <w:t xml:space="preserve"> </w:t>
      </w:r>
      <w:r>
        <w:t xml:space="preserve">Novel</w:t>
      </w:r>
      <w:r>
        <w:t xml:space="preserve"> </w:t>
      </w:r>
      <w:r>
        <w:t xml:space="preserve">Evidence from a</w:t>
      </w:r>
      <w:r>
        <w:t xml:space="preserve"> </w:t>
      </w:r>
      <w:r>
        <w:t xml:space="preserve">TVP</w:t>
      </w:r>
      <w:r>
        <w:t xml:space="preserve"> </w:t>
      </w:r>
      <w:r>
        <w:t xml:space="preserve">Model.”</w:t>
      </w:r>
      <w:r>
        <w:t xml:space="preserve"> </w:t>
      </w:r>
      <w:r>
        <w:rPr>
          <w:i/>
          <w:iCs/>
        </w:rPr>
        <w:t xml:space="preserve">Journal of Behavioral and Experimental Finance</w:t>
      </w:r>
      <w:r>
        <w:t xml:space="preserve"> </w:t>
      </w:r>
      <w:r>
        <w:t xml:space="preserve">22 (June): 57–63.</w:t>
      </w:r>
      <w:r>
        <w:t xml:space="preserve"> </w:t>
      </w:r>
      <w:hyperlink r:id="rId98">
        <w:r>
          <w:rPr>
            <w:rStyle w:val="Hyperlink"/>
          </w:rPr>
          <w:t xml:space="preserve">https://doi.org/10.1016/j.jbef.2019.02.007</w:t>
        </w:r>
      </w:hyperlink>
      <w:r>
        <w:t xml:space="preserve">.</w:t>
      </w:r>
    </w:p>
    <w:bookmarkEnd w:id="99"/>
    <w:bookmarkStart w:id="101" w:name="ref-steen2013"/>
    <w:p>
      <w:pPr>
        <w:pStyle w:val="Bibliography"/>
      </w:pPr>
      <w:r>
        <w:t xml:space="preserve">Steen, Marie, and Ole Gjolberg. 2013.</w:t>
      </w:r>
      <w:r>
        <w:t xml:space="preserve"> </w:t>
      </w:r>
      <w:r>
        <w:t xml:space="preserve">“Are Commodity Markets Characterized by Herd Behaviour?”</w:t>
      </w:r>
      <w:r>
        <w:t xml:space="preserve"> </w:t>
      </w:r>
      <w:r>
        <w:rPr>
          <w:i/>
          <w:iCs/>
        </w:rPr>
        <w:t xml:space="preserve">Applied Financial Economics</w:t>
      </w:r>
      <w:r>
        <w:t xml:space="preserve"> </w:t>
      </w:r>
      <w:r>
        <w:t xml:space="preserve">23 (1): 79–90.</w:t>
      </w:r>
      <w:r>
        <w:t xml:space="preserve"> </w:t>
      </w:r>
      <w:hyperlink r:id="rId100">
        <w:r>
          <w:rPr>
            <w:rStyle w:val="Hyperlink"/>
          </w:rPr>
          <w:t xml:space="preserve">https://doi.org/10.1080/09603107.2012.707770</w:t>
        </w:r>
      </w:hyperlink>
      <w:r>
        <w:t xml:space="preserve">.</w:t>
      </w:r>
    </w:p>
    <w:bookmarkEnd w:id="101"/>
    <w:bookmarkStart w:id="103" w:name="ref-zhou2013"/>
    <w:p>
      <w:pPr>
        <w:pStyle w:val="Bibliography"/>
      </w:pPr>
      <w:r>
        <w:t xml:space="preserve">Zhou, Jian, and Randy I. Anderson. 2013.</w:t>
      </w:r>
      <w:r>
        <w:t xml:space="preserve"> </w:t>
      </w:r>
      <w:r>
        <w:t xml:space="preserve">“An</w:t>
      </w:r>
      <w:r>
        <w:t xml:space="preserve"> </w:t>
      </w:r>
      <w:r>
        <w:t xml:space="preserve">Empirical Investigation</w:t>
      </w:r>
      <w:r>
        <w:t xml:space="preserve"> </w:t>
      </w:r>
      <w:r>
        <w:t xml:space="preserve">of</w:t>
      </w:r>
      <w:r>
        <w:t xml:space="preserve"> </w:t>
      </w:r>
      <w:r>
        <w:t xml:space="preserve">Herding Behavior</w:t>
      </w:r>
      <w:r>
        <w:t xml:space="preserve"> </w:t>
      </w:r>
      <w:r>
        <w:t xml:space="preserve">in the</w:t>
      </w:r>
      <w:r>
        <w:t xml:space="preserve"> </w:t>
      </w:r>
      <w:r>
        <w:t xml:space="preserve">U</w:t>
      </w:r>
      <w:r>
        <w:t xml:space="preserve">.</w:t>
      </w:r>
      <w:r>
        <w:t xml:space="preserve">S</w:t>
      </w:r>
      <w:r>
        <w:t xml:space="preserve">.</w:t>
      </w:r>
      <w:r>
        <w:t xml:space="preserve"> </w:t>
      </w:r>
      <w:r>
        <w:t xml:space="preserve">REIT Market</w:t>
      </w:r>
      <w:r>
        <w:t xml:space="preserve">.”</w:t>
      </w:r>
      <w:r>
        <w:t xml:space="preserve"> </w:t>
      </w:r>
      <w:r>
        <w:rPr>
          <w:i/>
          <w:iCs/>
        </w:rPr>
        <w:t xml:space="preserve">The Journal of Real Estate Finance and Economics</w:t>
      </w:r>
      <w:r>
        <w:t xml:space="preserve"> </w:t>
      </w:r>
      <w:r>
        <w:t xml:space="preserve">47 (1): 83–108.</w:t>
      </w:r>
      <w:r>
        <w:t xml:space="preserve"> </w:t>
      </w:r>
      <w:hyperlink r:id="rId102">
        <w:r>
          <w:rPr>
            <w:rStyle w:val="Hyperlink"/>
          </w:rPr>
          <w:t xml:space="preserve">https://doi.org/10.1007/s11146-011-9352-x</w:t>
        </w:r>
      </w:hyperlink>
      <w:r>
        <w:t xml:space="preserve">.</w:t>
      </w:r>
    </w:p>
    <w:bookmarkEnd w:id="103"/>
    <w:bookmarkEnd w:id="104"/>
    <w:p>
      <w:r>
        <w:br w:type="page"/>
      </w:r>
    </w:p>
    <w:bookmarkEnd w:id="105"/>
    <w:bookmarkStart w:id="113" w:name="appendix"/>
    <w:p>
      <w:pPr>
        <w:pStyle w:val="Heading1"/>
      </w:pPr>
      <w:r>
        <w:t xml:space="preserve">Appendix</w:t>
      </w:r>
    </w:p>
    <w:bookmarkStart w:id="110" w:name="cross-sectional-average-deviations"/>
    <w:p>
      <w:pPr>
        <w:pStyle w:val="Heading2"/>
      </w:pPr>
      <w:r>
        <w:t xml:space="preserve">Cross-sectional average deviations</w:t>
      </w:r>
    </w:p>
    <w:tbl>
      <w:tblPr>
        <w:tblStyle w:val="Table"/>
        <w:tblW w:type="pct" w:w="5000"/>
        <w:tblLayout w:type="fixed"/>
        <w:tblLook w:firstRow="0" w:lastRow="0" w:firstColumn="0" w:lastColumn="0" w:noHBand="0" w:noVBand="0" w:val="0000"/>
      </w:tblPr>
      <w:tblGrid>
        <w:gridCol w:w="7920"/>
      </w:tblGrid>
      <w:tr>
        <w:tc>
          <w:tcPr/>
          <w:bookmarkStart w:id="109" w:name="fig-csad"/>
          <w:p>
            <w:pPr>
              <w:pStyle w:val="Compact"/>
              <w:jc w:val="center"/>
            </w:pPr>
            <w:r>
              <w:drawing>
                <wp:inline>
                  <wp:extent cx="5753100" cy="2157412"/>
                  <wp:effectExtent b="0" l="0" r="0" t="0"/>
                  <wp:docPr descr="" title="" id="107" name="Picture"/>
                  <a:graphic>
                    <a:graphicData uri="http://schemas.openxmlformats.org/drawingml/2006/picture">
                      <pic:pic>
                        <pic:nvPicPr>
                          <pic:cNvPr descr="alt_energy_herding_files/figure-docx/fig-csad-1.png" id="108" name="Picture"/>
                          <pic:cNvPicPr>
                            <a:picLocks noChangeArrowheads="1" noChangeAspect="1"/>
                          </pic:cNvPicPr>
                        </pic:nvPicPr>
                        <pic:blipFill>
                          <a:blip r:embed="rId106"/>
                          <a:stretch>
                            <a:fillRect/>
                          </a:stretch>
                        </pic:blipFill>
                        <pic:spPr bwMode="auto">
                          <a:xfrm>
                            <a:off x="0" y="0"/>
                            <a:ext cx="5753100" cy="21574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Cross Sectional Absolute Deviation (CSAD) for US Alternative Energy ETFs</w:t>
            </w:r>
          </w:p>
          <w:bookmarkEnd w:id="109"/>
        </w:tc>
      </w:tr>
    </w:tbl>
    <w:bookmarkEnd w:id="110"/>
    <w:bookmarkStart w:id="112" w:name="etfs-used-in-the-study"/>
    <w:p>
      <w:pPr>
        <w:pStyle w:val="Heading2"/>
      </w:pPr>
      <w:r>
        <w:t xml:space="preserve">ETFs used in the study</w:t>
      </w:r>
    </w:p>
    <w:tbl>
      <w:tblPr>
        <w:tblStyle w:val="Table"/>
        <w:tblW w:type="pct" w:w="5000"/>
        <w:tblLayout w:type="fixed"/>
        <w:tblLook w:firstRow="0" w:lastRow="0" w:firstColumn="0" w:lastColumn="0" w:noHBand="0" w:noVBand="0" w:val="0000"/>
      </w:tblPr>
      <w:tblGrid>
        <w:gridCol w:w="7920"/>
      </w:tblGrid>
      <w:tr>
        <w:tc>
          <w:tcPr/>
          <w:bookmarkStart w:id="111" w:name="tbl-data"/>
          <w:p>
            <w:pPr>
              <w:jc w:val="center"/>
            </w:pPr>
            <w:pPr>
              <w:jc w:val="start"/>
              <w:spacing w:before="200"/>
              <w:pStyle w:val="ImageCaption"/>
            </w:pPr>
            <w:r>
              <w:t xml:space="preserve">Table 6: List of green ETFs used in the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761"/>
            </w:tblGrid>
            <w:tr>
              <w:trPr>
                <w:trHeight w:val="511" w:hRule="auto"/>
                <w:tblHeader/>
              </w:trPr>
              header 1
              <w:tc>
                <w:tcPr>
                  <w:tcBorders>
                    <w:bottom w:val="single" w:sz="8" w:space="0" w:color="000000"/>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ETF</w:t>
                  </w:r>
                </w:p>
              </w:tc>
            </w:tr>
            <w:tr>
              <w:trPr>
                <w:trHeight w:val="514" w:hRule="auto"/>
              </w:trPr>
              body 1
              <w:tc>
                <w:tcPr>
                  <w:tcBorders>
                    <w:bottom w:val="single" w:sz="8" w:space="0" w:color="FFFFFF"/>
                    <w:top w:val="single" w:sz="8" w:space="0" w:color="000000"/>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ALPS CLEAN ENERGY ETF</w:t>
                  </w:r>
                </w:p>
              </w:tc>
            </w:tr>
            <w:tr>
              <w:trPr>
                <w:trHeight w:val="514"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BLUE HORIZON BNE ETF</w:t>
                  </w:r>
                </w:p>
              </w:tc>
            </w:tr>
            <w:tr>
              <w:trPr>
                <w:trHeight w:val="515"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SPDR S&amp;P KENSHO CLEAN POWER ETF</w:t>
                  </w:r>
                </w:p>
              </w:tc>
            </w:tr>
            <w:tr>
              <w:trPr>
                <w:trHeight w:val="514"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CLEANTECH ETF</w:t>
                  </w:r>
                </w:p>
              </w:tc>
            </w:tr>
            <w:tr>
              <w:trPr>
                <w:trHeight w:val="515"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PROSHARES S&amp;P KENSHO CLEANTECH ETF</w:t>
                  </w:r>
                </w:p>
              </w:tc>
            </w:tr>
            <w:tr>
              <w:trPr>
                <w:trHeight w:val="514"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MSCI SUSTAINABLE FUTURE ETF</w:t>
                  </w:r>
                </w:p>
              </w:tc>
            </w:tr>
            <w:tr>
              <w:trPr>
                <w:trHeight w:val="514"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FIRST TRUST GLOBAL WIND ENERGY ETF</w:t>
                  </w:r>
                </w:p>
              </w:tc>
            </w:tr>
            <w:tr>
              <w:trPr>
                <w:trHeight w:val="514"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FIDELITY CLEAN ENERGY ETF</w:t>
                  </w:r>
                </w:p>
              </w:tc>
            </w:tr>
            <w:tr>
              <w:trPr>
                <w:trHeight w:val="520"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GLDS.BLOOMBERG CN. EN. EQ.ETF</w:t>
                  </w:r>
                </w:p>
              </w:tc>
            </w:tr>
            <w:tr>
              <w:trPr>
                <w:trHeight w:val="520"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FST.NQ.CN.EDGE SMRT.GRID INFRA IDX ETF</w:t>
                  </w:r>
                </w:p>
              </w:tc>
            </w:tr>
            <w:tr>
              <w:trPr>
                <w:trHeight w:val="514"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DEFIANCE NEXT GEN H2 ETF</w:t>
                  </w:r>
                </w:p>
              </w:tc>
            </w:tr>
            <w:tr>
              <w:trPr>
                <w:trHeight w:val="514"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DIREXION HYDROGEN ETF</w:t>
                  </w:r>
                </w:p>
              </w:tc>
            </w:tr>
            <w:tr>
              <w:trPr>
                <w:trHeight w:val="514"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HYDROGEN ETF</w:t>
                  </w:r>
                </w:p>
              </w:tc>
            </w:tr>
            <w:tr>
              <w:trPr>
                <w:trHeight w:val="514"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ISHARES GLOBAL CLEAN EN. ETF</w:t>
                  </w:r>
                </w:p>
              </w:tc>
            </w:tr>
            <w:tr>
              <w:trPr>
                <w:trHeight w:val="514"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BLACKR.WLD.EXUS CRBN TSTN.READINESS</w:t>
                  </w:r>
                </w:p>
              </w:tc>
            </w:tr>
            <w:tr>
              <w:trPr>
                <w:trHeight w:val="515"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NUB.CBN.TSTN.&amp; INFRA</w:t>
                  </w:r>
                </w:p>
              </w:tc>
            </w:tr>
            <w:tr>
              <w:trPr>
                <w:trHeight w:val="514"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TCW TRANSFORM SYSTEMS ETF</w:t>
                  </w:r>
                </w:p>
              </w:tc>
            </w:tr>
            <w:tr>
              <w:trPr>
                <w:trHeight w:val="514"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VANECK URANIUM AND NUCLEAR ENERGY</w:t>
                  </w:r>
                </w:p>
              </w:tc>
            </w:tr>
            <w:tr>
              <w:trPr>
                <w:trHeight w:val="514"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NUVEEN GLOBAL NET ZERO TRANSITION ETF</w:t>
                  </w:r>
                </w:p>
              </w:tc>
            </w:tr>
            <w:tr>
              <w:trPr>
                <w:trHeight w:val="514"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SPDR MSCI USA CIM. PA. ALIGNED ETF</w:t>
                  </w:r>
                </w:p>
              </w:tc>
            </w:tr>
            <w:tr>
              <w:trPr>
                <w:trHeight w:val="514"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GLOBAL CLEAN ENERGY ETF</w:t>
                  </w:r>
                </w:p>
              </w:tc>
            </w:tr>
            <w:tr>
              <w:trPr>
                <w:trHeight w:val="520"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FST.NQ.CN.EDGE GREY.ETF</w:t>
                  </w:r>
                </w:p>
              </w:tc>
            </w:tr>
            <w:tr>
              <w:trPr>
                <w:trHeight w:val="514"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SOLAR ETF</w:t>
                  </w:r>
                </w:p>
              </w:tc>
            </w:tr>
            <w:tr>
              <w:trPr>
                <w:trHeight w:val="514"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RENEWABLE ENERGY PRODUCERS</w:t>
                  </w:r>
                </w:p>
              </w:tc>
            </w:tr>
            <w:tr>
              <w:trPr>
                <w:trHeight w:val="514"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TRUESHARES EAG.GLB. RENWEN.ETF</w:t>
                  </w:r>
                </w:p>
              </w:tc>
            </w:tr>
            <w:tr>
              <w:trPr>
                <w:trHeight w:val="514"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VANECK LOW CARBON ENERGY ETF</w:t>
                  </w:r>
                </w:p>
              </w:tc>
            </w:tr>
            <w:tr>
              <w:trPr>
                <w:trHeight w:val="514"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SMARTETFS SUST.EN. II ETF</w:t>
                  </w:r>
                </w:p>
              </w:tc>
            </w:tr>
            <w:tr>
              <w:trPr>
                <w:trHeight w:val="514"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INVESCO SOLAR ETF</w:t>
                  </w:r>
                </w:p>
              </w:tc>
            </w:tr>
            <w:tr>
              <w:trPr>
                <w:trHeight w:val="515"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VIRTUS DUFF &amp; PHELPS CLEAN ENERGY ETF</w:t>
                  </w:r>
                </w:p>
              </w:tc>
            </w:tr>
            <w:tr>
              <w:trPr>
                <w:trHeight w:val="514" w:hRule="auto"/>
              </w:trPr>
              body30
              <w:tc>
                <w:tcPr>
                  <w:tcBorders>
                    <w:bottom w:val="single" w:sz="8" w:space="0" w:color="000000"/>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GLOBAL X WIND ENERGY ETF</w:t>
                  </w:r>
                </w:p>
              </w:tc>
            </w:tr>
            <w:tr>
              <w:trPr>
                <w:trHeight w:val="360" w:hRule="auto"/>
              </w:trPr>
              footer 1
              <w:tc>
                <w:tcPr>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Helvetica" w:eastAsia="Helvetica" w:cs="Helvetica"/>
                      <w:i w:val="false"/>
                      <w:b w:val="false"/>
                      <w:u w:val="none"/>
                      <w:sz w:val="14"/>
                      <w:szCs w:val="1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4"/>
                      <w:szCs w:val="14"/>
                      <w:color w:val="000000"/>
                    </w:rPr>
                    <w:t xml:space="preserve">Note: Details on this funds can be found on Yahoo Finance.</w:t>
                  </w:r>
                </w:p>
              </w:tc>
            </w:tr>
          </w:tbl>
          <w:bookmarkEnd w:id="111"/>
        </w:tc>
      </w:tr>
    </w:tbl>
    <w:bookmarkEnd w:id="112"/>
    <w:bookmarkEnd w:id="113"/>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These pressures notwithstanding the possible contribution that financial markets can play in mitigating and reducing the negative effects of climate change</w:t>
      </w:r>
      <w:r>
        <w:t xml:space="preserve"> </w:t>
      </w:r>
      <w:r>
        <w:t xml:space="preserve">(</w:t>
      </w:r>
      <w:hyperlink w:anchor="ref-giglio2021a">
        <w:r>
          <w:rPr>
            <w:rStyle w:val="Hyperlink"/>
          </w:rPr>
          <w:t xml:space="preserve">Giglio et al. 2021</w:t>
        </w:r>
      </w:hyperlink>
      <w:r>
        <w:t xml:space="preserve">)</w:t>
      </w:r>
    </w:p>
  </w:footnote>
  <w:footnote w:id="22">
    <w:p>
      <w:pPr>
        <w:pStyle w:val="FootnoteText"/>
      </w:pPr>
      <w:r>
        <w:rPr>
          <w:rStyle w:val="FootnoteReference"/>
        </w:rPr>
        <w:footnoteRef/>
      </w:r>
      <w:r>
        <w:t xml:space="preserve"> </w:t>
      </w:r>
      <w:r>
        <w:t xml:space="preserve">The data were sourced from</w:t>
      </w:r>
      <w:r>
        <w:t xml:space="preserve"> </w:t>
      </w:r>
    </w:p>
  </w:footnote>
  <w:footnote w:id="40">
    <w:p>
      <w:pPr>
        <w:pStyle w:val="FootnoteText"/>
      </w:pPr>
      <w:r>
        <w:rPr>
          <w:rStyle w:val="FootnoteReference"/>
        </w:rPr>
        <w:footnoteRef/>
      </w:r>
      <w:r>
        <w:t xml:space="preserve"> </w:t>
      </w:r>
      <w:r>
        <w:t xml:space="preserve">It should be noted that due to availability issues the probit analysis ends in December of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2"/>
  <w:embedSystemFonts/>
  <w:proofState w:grammar="clean" w:spelling="clean"/>
  <w:stylePaneFormatFilter w:val="0004"/>
  <w:doNotTrackMoves/>
  <w:defaultTabStop w:val="1134"/>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xd5ap5a7ezaxoevxsk555pbtsredva5w900&quot;&gt;My EndNote Library-Converted&lt;record-ids&gt;&lt;item&gt;49&lt;/item&gt;&lt;item&gt;50&lt;/item&gt;&lt;item&gt;51&lt;/item&gt;&lt;item&gt;58&lt;/item&gt;&lt;item&gt;59&lt;/item&gt;&lt;item&gt;60&lt;/item&gt;&lt;item&gt;61&lt;/item&gt;&lt;item&gt;62&lt;/item&gt;&lt;item&gt;76&lt;/item&gt;&lt;item&gt;77&lt;/item&gt;&lt;item&gt;120&lt;/item&gt;&lt;item&gt;130&lt;/item&gt;&lt;item&gt;136&lt;/item&gt;&lt;item&gt;140&lt;/item&gt;&lt;item&gt;142&lt;/item&gt;&lt;item&gt;145&lt;/item&gt;&lt;item&gt;200&lt;/item&gt;&lt;item&gt;230&lt;/item&gt;&lt;item&gt;255&lt;/item&gt;&lt;item&gt;257&lt;/item&gt;&lt;item&gt;300&lt;/item&gt;&lt;item&gt;306&lt;/item&gt;&lt;item&gt;307&lt;/item&gt;&lt;item&gt;354&lt;/item&gt;&lt;item&gt;375&lt;/item&gt;&lt;item&gt;416&lt;/item&gt;&lt;item&gt;424&lt;/item&gt;&lt;item&gt;499&lt;/item&gt;&lt;item&gt;500&lt;/item&gt;&lt;item&gt;505&lt;/item&gt;&lt;item&gt;515&lt;/item&gt;&lt;item&gt;519&lt;/item&gt;&lt;item&gt;521&lt;/item&gt;&lt;item&gt;523&lt;/item&gt;&lt;item&gt;535&lt;/item&gt;&lt;item&gt;536&lt;/item&gt;&lt;item&gt;537&lt;/item&gt;&lt;item&gt;544&lt;/item&gt;&lt;item&gt;552&lt;/item&gt;&lt;item&gt;566&lt;/item&gt;&lt;item&gt;568&lt;/item&gt;&lt;item&gt;611&lt;/item&gt;&lt;item&gt;649&lt;/item&gt;&lt;item&gt;655&lt;/item&gt;&lt;item&gt;657&lt;/item&gt;&lt;item&gt;658&lt;/item&gt;&lt;item&gt;670&lt;/item&gt;&lt;item&gt;678&lt;/item&gt;&lt;item&gt;682&lt;/item&gt;&lt;item&gt;683&lt;/item&gt;&lt;item&gt;686&lt;/item&gt;&lt;item&gt;703&lt;/item&gt;&lt;item&gt;747&lt;/item&gt;&lt;item&gt;749&lt;/item&gt;&lt;item&gt;767&lt;/item&gt;&lt;item&gt;769&lt;/item&gt;&lt;item&gt;776&lt;/item&gt;&lt;item&gt;777&lt;/item&gt;&lt;item&gt;793&lt;/item&gt;&lt;item&gt;804&lt;/item&gt;&lt;item&gt;806&lt;/item&gt;&lt;item&gt;807&lt;/item&gt;&lt;item&gt;810&lt;/item&gt;&lt;item&gt;811&lt;/item&gt;&lt;item&gt;812&lt;/item&gt;&lt;item&gt;817&lt;/item&gt;&lt;item&gt;819&lt;/item&gt;&lt;item&gt;820&lt;/item&gt;&lt;item&gt;821&lt;/item&gt;&lt;item&gt;822&lt;/item&gt;&lt;item&gt;825&lt;/item&gt;&lt;item&gt;826&lt;/item&gt;&lt;item&gt;827&lt;/item&gt;&lt;item&gt;828&lt;/item&gt;&lt;item&gt;830&lt;/item&gt;&lt;item&gt;831&lt;/item&gt;&lt;item&gt;833&lt;/item&gt;&lt;item&gt;834&lt;/item&gt;&lt;item&gt;835&lt;/item&gt;&lt;item&gt;836&lt;/item&gt;&lt;item&gt;838&lt;/item&gt;&lt;item&gt;839&lt;/item&gt;&lt;item&gt;840&lt;/item&gt;&lt;item&gt;841&lt;/item&gt;&lt;item&gt;842&lt;/item&gt;&lt;item&gt;843&lt;/item&gt;&lt;item&gt;845&lt;/item&gt;&lt;item&gt;846&lt;/item&gt;&lt;item&gt;849&lt;/item&gt;&lt;item&gt;858&lt;/item&gt;&lt;item&gt;859&lt;/item&gt;&lt;item&gt;862&lt;/item&gt;&lt;item&gt;864&lt;/item&gt;&lt;/record-ids&gt;&lt;/item&gt;&lt;/Libraries&gt;"/>
  </w:docVars>
  <w:rsids>
    <w:rsidRoot w:val="00A73CCA"/>
    <w:rsid w:val="000001B8"/>
    <w:rsid w:val="00002DF3"/>
    <w:rsid w:val="00005542"/>
    <w:rsid w:val="00006603"/>
    <w:rsid w:val="00006D12"/>
    <w:rsid w:val="00007233"/>
    <w:rsid w:val="000114C1"/>
    <w:rsid w:val="00013DC4"/>
    <w:rsid w:val="00014C7D"/>
    <w:rsid w:val="00016B34"/>
    <w:rsid w:val="000215FC"/>
    <w:rsid w:val="000322F5"/>
    <w:rsid w:val="00033B0B"/>
    <w:rsid w:val="000374E7"/>
    <w:rsid w:val="00045C69"/>
    <w:rsid w:val="000460D9"/>
    <w:rsid w:val="000461A0"/>
    <w:rsid w:val="000463EF"/>
    <w:rsid w:val="00056E21"/>
    <w:rsid w:val="000643DE"/>
    <w:rsid w:val="0006499C"/>
    <w:rsid w:val="0006534D"/>
    <w:rsid w:val="000667BE"/>
    <w:rsid w:val="0007479D"/>
    <w:rsid w:val="0007593F"/>
    <w:rsid w:val="00086021"/>
    <w:rsid w:val="00092604"/>
    <w:rsid w:val="00093DA7"/>
    <w:rsid w:val="00094893"/>
    <w:rsid w:val="000950CB"/>
    <w:rsid w:val="000A0DAF"/>
    <w:rsid w:val="000A5A80"/>
    <w:rsid w:val="000B069F"/>
    <w:rsid w:val="000B4A5B"/>
    <w:rsid w:val="000B732D"/>
    <w:rsid w:val="000C2E4B"/>
    <w:rsid w:val="000C3C39"/>
    <w:rsid w:val="000C496E"/>
    <w:rsid w:val="000E30FE"/>
    <w:rsid w:val="000E4E9F"/>
    <w:rsid w:val="000E50A4"/>
    <w:rsid w:val="000E65E5"/>
    <w:rsid w:val="000E6F96"/>
    <w:rsid w:val="000E7116"/>
    <w:rsid w:val="000E73B0"/>
    <w:rsid w:val="000F239A"/>
    <w:rsid w:val="000F24A3"/>
    <w:rsid w:val="000F316C"/>
    <w:rsid w:val="000F6DBB"/>
    <w:rsid w:val="000F7AB0"/>
    <w:rsid w:val="00100C0E"/>
    <w:rsid w:val="00101895"/>
    <w:rsid w:val="00104122"/>
    <w:rsid w:val="001149CC"/>
    <w:rsid w:val="001201A7"/>
    <w:rsid w:val="0013430E"/>
    <w:rsid w:val="00141414"/>
    <w:rsid w:val="0014416F"/>
    <w:rsid w:val="0014477C"/>
    <w:rsid w:val="00144F58"/>
    <w:rsid w:val="001476FE"/>
    <w:rsid w:val="00147C05"/>
    <w:rsid w:val="001519B5"/>
    <w:rsid w:val="001536FB"/>
    <w:rsid w:val="001540C7"/>
    <w:rsid w:val="001545EF"/>
    <w:rsid w:val="001575D3"/>
    <w:rsid w:val="00165CE1"/>
    <w:rsid w:val="00170908"/>
    <w:rsid w:val="001730C0"/>
    <w:rsid w:val="00177C43"/>
    <w:rsid w:val="00180C18"/>
    <w:rsid w:val="00183FF9"/>
    <w:rsid w:val="00196675"/>
    <w:rsid w:val="001A02A0"/>
    <w:rsid w:val="001B025B"/>
    <w:rsid w:val="001B0ED7"/>
    <w:rsid w:val="001B124E"/>
    <w:rsid w:val="001B13AF"/>
    <w:rsid w:val="001B247C"/>
    <w:rsid w:val="001B77E1"/>
    <w:rsid w:val="001C0A38"/>
    <w:rsid w:val="001C0B62"/>
    <w:rsid w:val="001C3EB2"/>
    <w:rsid w:val="001C75FE"/>
    <w:rsid w:val="001C797E"/>
    <w:rsid w:val="001D47C7"/>
    <w:rsid w:val="001E2503"/>
    <w:rsid w:val="001E4EA8"/>
    <w:rsid w:val="001E5316"/>
    <w:rsid w:val="001E5A8A"/>
    <w:rsid w:val="001E6C7F"/>
    <w:rsid w:val="001F0715"/>
    <w:rsid w:val="001F2F47"/>
    <w:rsid w:val="0020542F"/>
    <w:rsid w:val="00215914"/>
    <w:rsid w:val="00223FFD"/>
    <w:rsid w:val="00230BF9"/>
    <w:rsid w:val="0023779F"/>
    <w:rsid w:val="00241707"/>
    <w:rsid w:val="00242FBF"/>
    <w:rsid w:val="00243684"/>
    <w:rsid w:val="00260336"/>
    <w:rsid w:val="00267162"/>
    <w:rsid w:val="002750B0"/>
    <w:rsid w:val="002920EB"/>
    <w:rsid w:val="00294215"/>
    <w:rsid w:val="0029432B"/>
    <w:rsid w:val="0029637A"/>
    <w:rsid w:val="002A15C4"/>
    <w:rsid w:val="002A40B3"/>
    <w:rsid w:val="002A7C9E"/>
    <w:rsid w:val="002C2F4C"/>
    <w:rsid w:val="002D3FA9"/>
    <w:rsid w:val="002E36AF"/>
    <w:rsid w:val="002E4CCF"/>
    <w:rsid w:val="002E7506"/>
    <w:rsid w:val="002F115A"/>
    <w:rsid w:val="002F1E5C"/>
    <w:rsid w:val="002F229C"/>
    <w:rsid w:val="002F47DC"/>
    <w:rsid w:val="002F6705"/>
    <w:rsid w:val="0030033A"/>
    <w:rsid w:val="00300885"/>
    <w:rsid w:val="00301DDD"/>
    <w:rsid w:val="0030385A"/>
    <w:rsid w:val="00303C86"/>
    <w:rsid w:val="00314AB3"/>
    <w:rsid w:val="00314F7B"/>
    <w:rsid w:val="003157F8"/>
    <w:rsid w:val="00321382"/>
    <w:rsid w:val="00322633"/>
    <w:rsid w:val="00323B75"/>
    <w:rsid w:val="00324DEC"/>
    <w:rsid w:val="00325B37"/>
    <w:rsid w:val="00331CE2"/>
    <w:rsid w:val="00335C65"/>
    <w:rsid w:val="00336BCC"/>
    <w:rsid w:val="0033727E"/>
    <w:rsid w:val="003409E3"/>
    <w:rsid w:val="00346769"/>
    <w:rsid w:val="00356832"/>
    <w:rsid w:val="00361993"/>
    <w:rsid w:val="003621FD"/>
    <w:rsid w:val="00363A07"/>
    <w:rsid w:val="003666EB"/>
    <w:rsid w:val="0036779D"/>
    <w:rsid w:val="00367B6A"/>
    <w:rsid w:val="00372BB2"/>
    <w:rsid w:val="00375513"/>
    <w:rsid w:val="00381843"/>
    <w:rsid w:val="0038715C"/>
    <w:rsid w:val="00391859"/>
    <w:rsid w:val="003A58E7"/>
    <w:rsid w:val="003B2189"/>
    <w:rsid w:val="003B26E8"/>
    <w:rsid w:val="003C12C4"/>
    <w:rsid w:val="003C39B9"/>
    <w:rsid w:val="003E2D6B"/>
    <w:rsid w:val="003E6C9A"/>
    <w:rsid w:val="003E7538"/>
    <w:rsid w:val="003F00E5"/>
    <w:rsid w:val="003F05F8"/>
    <w:rsid w:val="003F068F"/>
    <w:rsid w:val="003F1D1F"/>
    <w:rsid w:val="004005AD"/>
    <w:rsid w:val="0040343C"/>
    <w:rsid w:val="004038AF"/>
    <w:rsid w:val="00412D5D"/>
    <w:rsid w:val="00442AF7"/>
    <w:rsid w:val="00443ADD"/>
    <w:rsid w:val="004473D0"/>
    <w:rsid w:val="0044750B"/>
    <w:rsid w:val="00453B09"/>
    <w:rsid w:val="00455C0E"/>
    <w:rsid w:val="004603E0"/>
    <w:rsid w:val="0046344B"/>
    <w:rsid w:val="00466D2C"/>
    <w:rsid w:val="00467241"/>
    <w:rsid w:val="00470404"/>
    <w:rsid w:val="004711B6"/>
    <w:rsid w:val="00480E11"/>
    <w:rsid w:val="00485321"/>
    <w:rsid w:val="004A1C1F"/>
    <w:rsid w:val="004B0684"/>
    <w:rsid w:val="004B24D5"/>
    <w:rsid w:val="004B7304"/>
    <w:rsid w:val="004B7E05"/>
    <w:rsid w:val="004C15AB"/>
    <w:rsid w:val="004C3BD6"/>
    <w:rsid w:val="004C5B07"/>
    <w:rsid w:val="004D1286"/>
    <w:rsid w:val="004D3F0C"/>
    <w:rsid w:val="004D67B6"/>
    <w:rsid w:val="004F3F54"/>
    <w:rsid w:val="004F59EE"/>
    <w:rsid w:val="00507D44"/>
    <w:rsid w:val="00507D8A"/>
    <w:rsid w:val="00522703"/>
    <w:rsid w:val="00526700"/>
    <w:rsid w:val="005419C7"/>
    <w:rsid w:val="00541E44"/>
    <w:rsid w:val="00542F2A"/>
    <w:rsid w:val="00543B7C"/>
    <w:rsid w:val="0054688D"/>
    <w:rsid w:val="0055030B"/>
    <w:rsid w:val="00555089"/>
    <w:rsid w:val="00556917"/>
    <w:rsid w:val="00560033"/>
    <w:rsid w:val="00565838"/>
    <w:rsid w:val="00576D97"/>
    <w:rsid w:val="0058123C"/>
    <w:rsid w:val="00581CC6"/>
    <w:rsid w:val="00585268"/>
    <w:rsid w:val="00586328"/>
    <w:rsid w:val="00590791"/>
    <w:rsid w:val="005B474E"/>
    <w:rsid w:val="005C6FB7"/>
    <w:rsid w:val="005D0B35"/>
    <w:rsid w:val="005D18D3"/>
    <w:rsid w:val="005D1DFF"/>
    <w:rsid w:val="005E1957"/>
    <w:rsid w:val="005E6E50"/>
    <w:rsid w:val="005F1788"/>
    <w:rsid w:val="005F1E65"/>
    <w:rsid w:val="005F5EC1"/>
    <w:rsid w:val="005F6814"/>
    <w:rsid w:val="005F79D5"/>
    <w:rsid w:val="00603059"/>
    <w:rsid w:val="00613266"/>
    <w:rsid w:val="00614D67"/>
    <w:rsid w:val="00616B43"/>
    <w:rsid w:val="00620E12"/>
    <w:rsid w:val="0063476D"/>
    <w:rsid w:val="006446F5"/>
    <w:rsid w:val="00656A1C"/>
    <w:rsid w:val="0066548E"/>
    <w:rsid w:val="006659C3"/>
    <w:rsid w:val="006671D2"/>
    <w:rsid w:val="00667F3E"/>
    <w:rsid w:val="00676209"/>
    <w:rsid w:val="00677160"/>
    <w:rsid w:val="006845AF"/>
    <w:rsid w:val="0068505A"/>
    <w:rsid w:val="0069050B"/>
    <w:rsid w:val="00690C20"/>
    <w:rsid w:val="00696671"/>
    <w:rsid w:val="00697848"/>
    <w:rsid w:val="006A2B16"/>
    <w:rsid w:val="006A3301"/>
    <w:rsid w:val="006A5528"/>
    <w:rsid w:val="006A6C69"/>
    <w:rsid w:val="006B6F27"/>
    <w:rsid w:val="006D0747"/>
    <w:rsid w:val="006D1894"/>
    <w:rsid w:val="006D2854"/>
    <w:rsid w:val="006D4146"/>
    <w:rsid w:val="006E08B8"/>
    <w:rsid w:val="006E0EB2"/>
    <w:rsid w:val="006E67D1"/>
    <w:rsid w:val="006E6EA8"/>
    <w:rsid w:val="006F055C"/>
    <w:rsid w:val="006F0B41"/>
    <w:rsid w:val="006F2FAE"/>
    <w:rsid w:val="006F6576"/>
    <w:rsid w:val="00722562"/>
    <w:rsid w:val="00723A5A"/>
    <w:rsid w:val="00725731"/>
    <w:rsid w:val="007302F3"/>
    <w:rsid w:val="00742571"/>
    <w:rsid w:val="00755A0B"/>
    <w:rsid w:val="00762444"/>
    <w:rsid w:val="00762563"/>
    <w:rsid w:val="00763793"/>
    <w:rsid w:val="007650A2"/>
    <w:rsid w:val="00765D57"/>
    <w:rsid w:val="007700E1"/>
    <w:rsid w:val="00770BE5"/>
    <w:rsid w:val="00771E5E"/>
    <w:rsid w:val="007738F9"/>
    <w:rsid w:val="0077421C"/>
    <w:rsid w:val="00775AEE"/>
    <w:rsid w:val="00776877"/>
    <w:rsid w:val="00780188"/>
    <w:rsid w:val="00784C9C"/>
    <w:rsid w:val="007865B1"/>
    <w:rsid w:val="00792219"/>
    <w:rsid w:val="00792B2D"/>
    <w:rsid w:val="007A014B"/>
    <w:rsid w:val="007A6061"/>
    <w:rsid w:val="007B2802"/>
    <w:rsid w:val="007B6404"/>
    <w:rsid w:val="007D1216"/>
    <w:rsid w:val="007D3AE0"/>
    <w:rsid w:val="007D3C95"/>
    <w:rsid w:val="007E0988"/>
    <w:rsid w:val="007E35C5"/>
    <w:rsid w:val="007E39D1"/>
    <w:rsid w:val="007E5901"/>
    <w:rsid w:val="007E6F48"/>
    <w:rsid w:val="007F47C4"/>
    <w:rsid w:val="00806F4A"/>
    <w:rsid w:val="00807CF5"/>
    <w:rsid w:val="008261ED"/>
    <w:rsid w:val="008345F1"/>
    <w:rsid w:val="0084349F"/>
    <w:rsid w:val="00843F90"/>
    <w:rsid w:val="00846529"/>
    <w:rsid w:val="008467C5"/>
    <w:rsid w:val="008506A3"/>
    <w:rsid w:val="00852D2C"/>
    <w:rsid w:val="00864FCD"/>
    <w:rsid w:val="00873A3D"/>
    <w:rsid w:val="00874F9F"/>
    <w:rsid w:val="00884C8B"/>
    <w:rsid w:val="00887F19"/>
    <w:rsid w:val="008938BF"/>
    <w:rsid w:val="00896363"/>
    <w:rsid w:val="00896EC1"/>
    <w:rsid w:val="008A2BCD"/>
    <w:rsid w:val="008B202E"/>
    <w:rsid w:val="008B28F7"/>
    <w:rsid w:val="008B5A80"/>
    <w:rsid w:val="008B647C"/>
    <w:rsid w:val="008B6E96"/>
    <w:rsid w:val="008C0D77"/>
    <w:rsid w:val="008C5237"/>
    <w:rsid w:val="008C621A"/>
    <w:rsid w:val="008D0F73"/>
    <w:rsid w:val="008D51F4"/>
    <w:rsid w:val="008D717A"/>
    <w:rsid w:val="008E1AC0"/>
    <w:rsid w:val="008E7312"/>
    <w:rsid w:val="008F0D62"/>
    <w:rsid w:val="008F3312"/>
    <w:rsid w:val="008F5102"/>
    <w:rsid w:val="008F771D"/>
    <w:rsid w:val="008F7D6A"/>
    <w:rsid w:val="008F7ED6"/>
    <w:rsid w:val="00902D51"/>
    <w:rsid w:val="00914C99"/>
    <w:rsid w:val="00916F21"/>
    <w:rsid w:val="00917449"/>
    <w:rsid w:val="00920835"/>
    <w:rsid w:val="00937633"/>
    <w:rsid w:val="009427D0"/>
    <w:rsid w:val="0094494A"/>
    <w:rsid w:val="00945D52"/>
    <w:rsid w:val="00957AEC"/>
    <w:rsid w:val="00960D63"/>
    <w:rsid w:val="00963530"/>
    <w:rsid w:val="00966014"/>
    <w:rsid w:val="00976C9B"/>
    <w:rsid w:val="00976E20"/>
    <w:rsid w:val="0099646F"/>
    <w:rsid w:val="009974E5"/>
    <w:rsid w:val="009B290D"/>
    <w:rsid w:val="009B4053"/>
    <w:rsid w:val="009C12F5"/>
    <w:rsid w:val="009C161D"/>
    <w:rsid w:val="009C2606"/>
    <w:rsid w:val="009C4E1F"/>
    <w:rsid w:val="009D12F5"/>
    <w:rsid w:val="009D249A"/>
    <w:rsid w:val="009D31B9"/>
    <w:rsid w:val="009D35A8"/>
    <w:rsid w:val="009D63A5"/>
    <w:rsid w:val="009D6DE8"/>
    <w:rsid w:val="009D76A2"/>
    <w:rsid w:val="009F390C"/>
    <w:rsid w:val="009F418B"/>
    <w:rsid w:val="009F76F5"/>
    <w:rsid w:val="009F7EAE"/>
    <w:rsid w:val="00A0049E"/>
    <w:rsid w:val="00A02B8E"/>
    <w:rsid w:val="00A06899"/>
    <w:rsid w:val="00A15396"/>
    <w:rsid w:val="00A15D81"/>
    <w:rsid w:val="00A30B17"/>
    <w:rsid w:val="00A33497"/>
    <w:rsid w:val="00A4072A"/>
    <w:rsid w:val="00A4088D"/>
    <w:rsid w:val="00A42572"/>
    <w:rsid w:val="00A42AA9"/>
    <w:rsid w:val="00A52E7D"/>
    <w:rsid w:val="00A542AD"/>
    <w:rsid w:val="00A623FE"/>
    <w:rsid w:val="00A66D50"/>
    <w:rsid w:val="00A67DC9"/>
    <w:rsid w:val="00A73CCA"/>
    <w:rsid w:val="00A824C9"/>
    <w:rsid w:val="00A85C0F"/>
    <w:rsid w:val="00A900C0"/>
    <w:rsid w:val="00A93DFF"/>
    <w:rsid w:val="00AA034E"/>
    <w:rsid w:val="00AB54F0"/>
    <w:rsid w:val="00AB59FF"/>
    <w:rsid w:val="00AC1E99"/>
    <w:rsid w:val="00AD265B"/>
    <w:rsid w:val="00AE3146"/>
    <w:rsid w:val="00AE6A88"/>
    <w:rsid w:val="00AF13F8"/>
    <w:rsid w:val="00AF1CFA"/>
    <w:rsid w:val="00AF4428"/>
    <w:rsid w:val="00AF7717"/>
    <w:rsid w:val="00B06F6B"/>
    <w:rsid w:val="00B16664"/>
    <w:rsid w:val="00B1768A"/>
    <w:rsid w:val="00B20DAA"/>
    <w:rsid w:val="00B24C59"/>
    <w:rsid w:val="00B31D2B"/>
    <w:rsid w:val="00B32DD1"/>
    <w:rsid w:val="00B352B8"/>
    <w:rsid w:val="00B47503"/>
    <w:rsid w:val="00B508E4"/>
    <w:rsid w:val="00B64DB1"/>
    <w:rsid w:val="00B66CCE"/>
    <w:rsid w:val="00B66FB4"/>
    <w:rsid w:val="00B70B96"/>
    <w:rsid w:val="00B746E4"/>
    <w:rsid w:val="00B74CC1"/>
    <w:rsid w:val="00B807D5"/>
    <w:rsid w:val="00B835FF"/>
    <w:rsid w:val="00B84726"/>
    <w:rsid w:val="00B8787E"/>
    <w:rsid w:val="00B93233"/>
    <w:rsid w:val="00B952C8"/>
    <w:rsid w:val="00B96462"/>
    <w:rsid w:val="00BA3A19"/>
    <w:rsid w:val="00BC2F96"/>
    <w:rsid w:val="00BC4B96"/>
    <w:rsid w:val="00BD171A"/>
    <w:rsid w:val="00BD6C8A"/>
    <w:rsid w:val="00BD706C"/>
    <w:rsid w:val="00BE316D"/>
    <w:rsid w:val="00BE4187"/>
    <w:rsid w:val="00BE4209"/>
    <w:rsid w:val="00BF021C"/>
    <w:rsid w:val="00BF4663"/>
    <w:rsid w:val="00BF50EB"/>
    <w:rsid w:val="00C01B6E"/>
    <w:rsid w:val="00C02770"/>
    <w:rsid w:val="00C05C1F"/>
    <w:rsid w:val="00C15F25"/>
    <w:rsid w:val="00C16416"/>
    <w:rsid w:val="00C21A64"/>
    <w:rsid w:val="00C23B8F"/>
    <w:rsid w:val="00C34062"/>
    <w:rsid w:val="00C407D9"/>
    <w:rsid w:val="00C42441"/>
    <w:rsid w:val="00C43324"/>
    <w:rsid w:val="00C474D1"/>
    <w:rsid w:val="00C54234"/>
    <w:rsid w:val="00C62ADF"/>
    <w:rsid w:val="00C63F72"/>
    <w:rsid w:val="00C727F5"/>
    <w:rsid w:val="00C72A59"/>
    <w:rsid w:val="00C8255B"/>
    <w:rsid w:val="00C844D9"/>
    <w:rsid w:val="00C8598E"/>
    <w:rsid w:val="00C92F00"/>
    <w:rsid w:val="00C949D2"/>
    <w:rsid w:val="00C97BE7"/>
    <w:rsid w:val="00CA00B0"/>
    <w:rsid w:val="00CA0313"/>
    <w:rsid w:val="00CA5769"/>
    <w:rsid w:val="00CB0AE6"/>
    <w:rsid w:val="00CC01B0"/>
    <w:rsid w:val="00CC060E"/>
    <w:rsid w:val="00CC5ECB"/>
    <w:rsid w:val="00CC6D3A"/>
    <w:rsid w:val="00CD06CC"/>
    <w:rsid w:val="00CD2FC6"/>
    <w:rsid w:val="00CD3CEC"/>
    <w:rsid w:val="00CD40D2"/>
    <w:rsid w:val="00CD4A37"/>
    <w:rsid w:val="00CE02B2"/>
    <w:rsid w:val="00CF5817"/>
    <w:rsid w:val="00D002CF"/>
    <w:rsid w:val="00D03F75"/>
    <w:rsid w:val="00D0621E"/>
    <w:rsid w:val="00D06B54"/>
    <w:rsid w:val="00D10FE7"/>
    <w:rsid w:val="00D1125C"/>
    <w:rsid w:val="00D13D56"/>
    <w:rsid w:val="00D15F3F"/>
    <w:rsid w:val="00D1723A"/>
    <w:rsid w:val="00D172B6"/>
    <w:rsid w:val="00D233A5"/>
    <w:rsid w:val="00D26079"/>
    <w:rsid w:val="00D27E50"/>
    <w:rsid w:val="00D32EAF"/>
    <w:rsid w:val="00D33A21"/>
    <w:rsid w:val="00D36ACA"/>
    <w:rsid w:val="00D36ACF"/>
    <w:rsid w:val="00D44436"/>
    <w:rsid w:val="00D473CA"/>
    <w:rsid w:val="00D57BD9"/>
    <w:rsid w:val="00D602CE"/>
    <w:rsid w:val="00D61595"/>
    <w:rsid w:val="00D63994"/>
    <w:rsid w:val="00D71095"/>
    <w:rsid w:val="00D75E0B"/>
    <w:rsid w:val="00D87985"/>
    <w:rsid w:val="00D87C94"/>
    <w:rsid w:val="00D87D72"/>
    <w:rsid w:val="00D9118A"/>
    <w:rsid w:val="00D914E0"/>
    <w:rsid w:val="00D9380A"/>
    <w:rsid w:val="00DA257E"/>
    <w:rsid w:val="00DA2F60"/>
    <w:rsid w:val="00DA5479"/>
    <w:rsid w:val="00DB5658"/>
    <w:rsid w:val="00DC0B52"/>
    <w:rsid w:val="00DC1361"/>
    <w:rsid w:val="00DC4AD8"/>
    <w:rsid w:val="00DC531B"/>
    <w:rsid w:val="00DC560C"/>
    <w:rsid w:val="00DE1228"/>
    <w:rsid w:val="00DE2767"/>
    <w:rsid w:val="00DE2904"/>
    <w:rsid w:val="00DE78DF"/>
    <w:rsid w:val="00DF078A"/>
    <w:rsid w:val="00E002FE"/>
    <w:rsid w:val="00E121A8"/>
    <w:rsid w:val="00E20A09"/>
    <w:rsid w:val="00E21AA3"/>
    <w:rsid w:val="00E24D18"/>
    <w:rsid w:val="00E417B5"/>
    <w:rsid w:val="00E41AC3"/>
    <w:rsid w:val="00E4395B"/>
    <w:rsid w:val="00E4415D"/>
    <w:rsid w:val="00E61A25"/>
    <w:rsid w:val="00E752F9"/>
    <w:rsid w:val="00E77466"/>
    <w:rsid w:val="00E80806"/>
    <w:rsid w:val="00E81167"/>
    <w:rsid w:val="00E86FFC"/>
    <w:rsid w:val="00E90978"/>
    <w:rsid w:val="00E911AC"/>
    <w:rsid w:val="00E924E7"/>
    <w:rsid w:val="00E94A7E"/>
    <w:rsid w:val="00E95916"/>
    <w:rsid w:val="00E96368"/>
    <w:rsid w:val="00EA08EE"/>
    <w:rsid w:val="00EA0EF2"/>
    <w:rsid w:val="00EB2286"/>
    <w:rsid w:val="00EB6751"/>
    <w:rsid w:val="00EC0193"/>
    <w:rsid w:val="00EC432C"/>
    <w:rsid w:val="00EC5B28"/>
    <w:rsid w:val="00EC7EE2"/>
    <w:rsid w:val="00ED74AA"/>
    <w:rsid w:val="00EE11B9"/>
    <w:rsid w:val="00EE56F2"/>
    <w:rsid w:val="00EF1656"/>
    <w:rsid w:val="00EF5E6F"/>
    <w:rsid w:val="00F061E2"/>
    <w:rsid w:val="00F07060"/>
    <w:rsid w:val="00F1410C"/>
    <w:rsid w:val="00F170C3"/>
    <w:rsid w:val="00F20247"/>
    <w:rsid w:val="00F253AA"/>
    <w:rsid w:val="00F30E82"/>
    <w:rsid w:val="00F33BE4"/>
    <w:rsid w:val="00F44D54"/>
    <w:rsid w:val="00F46505"/>
    <w:rsid w:val="00F4721E"/>
    <w:rsid w:val="00F51004"/>
    <w:rsid w:val="00F5763C"/>
    <w:rsid w:val="00F721C1"/>
    <w:rsid w:val="00F7564E"/>
    <w:rsid w:val="00F80374"/>
    <w:rsid w:val="00F858DE"/>
    <w:rsid w:val="00F95E2F"/>
    <w:rsid w:val="00F963FE"/>
    <w:rsid w:val="00F97AD5"/>
    <w:rsid w:val="00FA74D5"/>
    <w:rsid w:val="00FC4040"/>
    <w:rsid w:val="00FC54C2"/>
    <w:rsid w:val="00FD2CE4"/>
    <w:rsid w:val="00FD3152"/>
    <w:rsid w:val="00FE5488"/>
    <w:rsid w:val="00FE55EC"/>
    <w:rsid w:val="00FE5B9F"/>
    <w:rsid w:val="00FF3D9E"/>
  </w:rsids>
  <w:themeFontLang w:val="en-ZA"/>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106" Target="media/rId106.png" /><Relationship Type="http://schemas.openxmlformats.org/officeDocument/2006/relationships/image" Id="rId34" Target="media/rId34.png" /><Relationship Type="http://schemas.openxmlformats.org/officeDocument/2006/relationships/hyperlink" Id="rId102" Target="https://doi.org/10.1007/s11146-011-9352-x" TargetMode="External" /><Relationship Type="http://schemas.openxmlformats.org/officeDocument/2006/relationships/hyperlink" Id="rId70" Target="https://doi.org/10.1007/s12351-023-00745-1" TargetMode="External" /><Relationship Type="http://schemas.openxmlformats.org/officeDocument/2006/relationships/hyperlink" Id="rId58" Target="https://doi.org/10.1016/S0378-4266(99)00096-5" TargetMode="External" /><Relationship Type="http://schemas.openxmlformats.org/officeDocument/2006/relationships/hyperlink" Id="rId65" Target="https://doi.org/10.1016/j.eneco.2018.08.021" TargetMode="External" /><Relationship Type="http://schemas.openxmlformats.org/officeDocument/2006/relationships/hyperlink" Id="rId86" Target="https://doi.org/10.1016/j.eneco.2022.106111" TargetMode="External" /><Relationship Type="http://schemas.openxmlformats.org/officeDocument/2006/relationships/hyperlink" Id="rId63" Target="https://doi.org/10.1016/j.eneco.2024.107332" TargetMode="External" /><Relationship Type="http://schemas.openxmlformats.org/officeDocument/2006/relationships/hyperlink" Id="rId90" Target="https://doi.org/10.1016/j.eneco.2024.108031" TargetMode="External" /><Relationship Type="http://schemas.openxmlformats.org/officeDocument/2006/relationships/hyperlink" Id="rId53" Target="https://doi.org/10.1016/j.frl.2018.07.008" TargetMode="External" /><Relationship Type="http://schemas.openxmlformats.org/officeDocument/2006/relationships/hyperlink" Id="rId77" Target="https://doi.org/10.1016/j.intfin.2013.06.006" TargetMode="External" /><Relationship Type="http://schemas.openxmlformats.org/officeDocument/2006/relationships/hyperlink" Id="rId68" Target="https://doi.org/10.1016/j.jbankfin.2014.03.014" TargetMode="External" /><Relationship Type="http://schemas.openxmlformats.org/officeDocument/2006/relationships/hyperlink" Id="rId98" Target="https://doi.org/10.1016/j.jbef.2019.02.007" TargetMode="External" /><Relationship Type="http://schemas.openxmlformats.org/officeDocument/2006/relationships/hyperlink" Id="rId92" Target="https://doi.org/10.1016/j.jfineco.2022.07.007" TargetMode="External" /><Relationship Type="http://schemas.openxmlformats.org/officeDocument/2006/relationships/hyperlink" Id="rId49" Target="https://doi.org/10.1016/j.resourpol.2015.10.011" TargetMode="External" /><Relationship Type="http://schemas.openxmlformats.org/officeDocument/2006/relationships/hyperlink" Id="rId100" Target="https://doi.org/10.1080/09603107.2012.707770" TargetMode="External" /><Relationship Type="http://schemas.openxmlformats.org/officeDocument/2006/relationships/hyperlink" Id="rId56" Target="https://doi.org/10.1080/1351847X.2024.2355103" TargetMode="External" /><Relationship Type="http://schemas.openxmlformats.org/officeDocument/2006/relationships/hyperlink" Id="rId72" Target="https://doi.org/10.1093/rfs/13.1.1" TargetMode="External" /><Relationship Type="http://schemas.openxmlformats.org/officeDocument/2006/relationships/hyperlink" Id="rId74" Target="https://doi.org/10.1093/rfs/hhab032" TargetMode="External" /><Relationship Type="http://schemas.openxmlformats.org/officeDocument/2006/relationships/hyperlink" Id="rId84" Target="https://doi.org/10.1111/0022-1082.00340" TargetMode="External" /><Relationship Type="http://schemas.openxmlformats.org/officeDocument/2006/relationships/hyperlink" Id="rId79" Target="https://doi.org/10.2307/1913643" TargetMode="External" /><Relationship Type="http://schemas.openxmlformats.org/officeDocument/2006/relationships/hyperlink" Id="rId60" Target="https://doi.org/10.2469/faj.v51.n4.1918" TargetMode="External" /><Relationship Type="http://schemas.openxmlformats.org/officeDocument/2006/relationships/hyperlink" Id="rId81" Target="https://doi.org/10.3390/jrfm17110502" TargetMode="External" /><Relationship Type="http://schemas.openxmlformats.org/officeDocument/2006/relationships/hyperlink" Id="rId88" Target="https://www.jstor.org/stable/1913610" TargetMode="External" /><Relationship Type="http://schemas.openxmlformats.org/officeDocument/2006/relationships/hyperlink" Id="rId51" Target="https://www.jstor.org/stable/2351499"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07/s11146-011-9352-x" TargetMode="External" /><Relationship Type="http://schemas.openxmlformats.org/officeDocument/2006/relationships/hyperlink" Id="rId70" Target="https://doi.org/10.1007/s12351-023-00745-1" TargetMode="External" /><Relationship Type="http://schemas.openxmlformats.org/officeDocument/2006/relationships/hyperlink" Id="rId58" Target="https://doi.org/10.1016/S0378-4266(99)00096-5" TargetMode="External" /><Relationship Type="http://schemas.openxmlformats.org/officeDocument/2006/relationships/hyperlink" Id="rId65" Target="https://doi.org/10.1016/j.eneco.2018.08.021" TargetMode="External" /><Relationship Type="http://schemas.openxmlformats.org/officeDocument/2006/relationships/hyperlink" Id="rId86" Target="https://doi.org/10.1016/j.eneco.2022.106111" TargetMode="External" /><Relationship Type="http://schemas.openxmlformats.org/officeDocument/2006/relationships/hyperlink" Id="rId63" Target="https://doi.org/10.1016/j.eneco.2024.107332" TargetMode="External" /><Relationship Type="http://schemas.openxmlformats.org/officeDocument/2006/relationships/hyperlink" Id="rId90" Target="https://doi.org/10.1016/j.eneco.2024.108031" TargetMode="External" /><Relationship Type="http://schemas.openxmlformats.org/officeDocument/2006/relationships/hyperlink" Id="rId53" Target="https://doi.org/10.1016/j.frl.2018.07.008" TargetMode="External" /><Relationship Type="http://schemas.openxmlformats.org/officeDocument/2006/relationships/hyperlink" Id="rId77" Target="https://doi.org/10.1016/j.intfin.2013.06.006" TargetMode="External" /><Relationship Type="http://schemas.openxmlformats.org/officeDocument/2006/relationships/hyperlink" Id="rId68" Target="https://doi.org/10.1016/j.jbankfin.2014.03.014" TargetMode="External" /><Relationship Type="http://schemas.openxmlformats.org/officeDocument/2006/relationships/hyperlink" Id="rId98" Target="https://doi.org/10.1016/j.jbef.2019.02.007" TargetMode="External" /><Relationship Type="http://schemas.openxmlformats.org/officeDocument/2006/relationships/hyperlink" Id="rId92" Target="https://doi.org/10.1016/j.jfineco.2022.07.007" TargetMode="External" /><Relationship Type="http://schemas.openxmlformats.org/officeDocument/2006/relationships/hyperlink" Id="rId49" Target="https://doi.org/10.1016/j.resourpol.2015.10.011" TargetMode="External" /><Relationship Type="http://schemas.openxmlformats.org/officeDocument/2006/relationships/hyperlink" Id="rId100" Target="https://doi.org/10.1080/09603107.2012.707770" TargetMode="External" /><Relationship Type="http://schemas.openxmlformats.org/officeDocument/2006/relationships/hyperlink" Id="rId56" Target="https://doi.org/10.1080/1351847X.2024.2355103" TargetMode="External" /><Relationship Type="http://schemas.openxmlformats.org/officeDocument/2006/relationships/hyperlink" Id="rId72" Target="https://doi.org/10.1093/rfs/13.1.1" TargetMode="External" /><Relationship Type="http://schemas.openxmlformats.org/officeDocument/2006/relationships/hyperlink" Id="rId74" Target="https://doi.org/10.1093/rfs/hhab032" TargetMode="External" /><Relationship Type="http://schemas.openxmlformats.org/officeDocument/2006/relationships/hyperlink" Id="rId84" Target="https://doi.org/10.1111/0022-1082.00340" TargetMode="External" /><Relationship Type="http://schemas.openxmlformats.org/officeDocument/2006/relationships/hyperlink" Id="rId79" Target="https://doi.org/10.2307/1913643" TargetMode="External" /><Relationship Type="http://schemas.openxmlformats.org/officeDocument/2006/relationships/hyperlink" Id="rId60" Target="https://doi.org/10.2469/faj.v51.n4.1918" TargetMode="External" /><Relationship Type="http://schemas.openxmlformats.org/officeDocument/2006/relationships/hyperlink" Id="rId81" Target="https://doi.org/10.3390/jrfm17110502" TargetMode="External" /><Relationship Type="http://schemas.openxmlformats.org/officeDocument/2006/relationships/hyperlink" Id="rId88" Target="https://www.jstor.org/stable/1913610" TargetMode="External" /><Relationship Type="http://schemas.openxmlformats.org/officeDocument/2006/relationships/hyperlink" Id="rId51" Target="https://www.jstor.org/stable/2351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2025-02-20T07:32:28Z</dcterms:created>
  <dcterms:modified xsi:type="dcterms:W3CDTF">2025-02-20T07:32:28Z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energy_herding.bib</vt:lpwstr>
  </property>
  <property fmtid="{D5CDD505-2E9C-101B-9397-08002B2CF9AE}" pid="5" name="citecolor">
    <vt:lpwstr>blue!100!black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blue!100!black</vt:lpwstr>
  </property>
  <property fmtid="{D5CDD505-2E9C-101B-9397-08002B2CF9AE}" pid="16" name="natbiboptions">
    <vt:lpwstr>round</vt:lpwstr>
  </property>
  <property fmtid="{D5CDD505-2E9C-101B-9397-08002B2CF9AE}" pid="17" name="render-on-save">
    <vt:lpwstr>True</vt:lpwstr>
  </property>
  <property fmtid="{D5CDD505-2E9C-101B-9397-08002B2CF9AE}" pid="18" name="title-block-banner">
    <vt:lpwstr>False</vt:lpwstr>
  </property>
  <property fmtid="{D5CDD505-2E9C-101B-9397-08002B2CF9AE}" pid="19" name="title-block-style">
    <vt:lpwstr>none</vt:lpwstr>
  </property>
  <property fmtid="{D5CDD505-2E9C-101B-9397-08002B2CF9AE}" pid="20" name="toc-title">
    <vt:lpwstr>Table of contents</vt:lpwstr>
  </property>
  <property fmtid="{D5CDD505-2E9C-101B-9397-08002B2CF9AE}" pid="21" name="urlcolor">
    <vt:lpwstr>blue!100!black</vt:lpwstr>
  </property>
</Properties>
</file>