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5.xml" ContentType="application/vnd.openxmlformats-officedocument.wordprocessingml.header+xml"/>
  <Override PartName="/word/header4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ank-capital-and-lending-in-south-africa"/>
    <w:p>
      <w:pPr>
        <w:pStyle w:val="Heading1"/>
      </w:pPr>
      <w:r>
        <w:t xml:space="preserve">Bank capital and lending in South Africa</w:t>
      </w:r>
    </w:p>
    <w:bookmarkEnd w:id="20"/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Osborne, Fuertes and Milne (2017)</w:t>
      </w:r>
    </w:p>
    <w:p>
      <w:pPr>
        <w:pStyle w:val="BodyText"/>
      </w:pPr>
      <w:r>
        <w:t xml:space="preserve">Jokipii and Milne (2008)</w:t>
      </w:r>
    </w:p>
    <w:p>
      <w:pPr>
        <w:pStyle w:val="BodyText"/>
      </w:pPr>
      <w:r>
        <w:t xml:space="preserve">Gambacorta and Mistrulli (2004)</w:t>
      </w:r>
    </w:p>
    <w:p>
      <w:pPr>
        <w:pStyle w:val="BodyText"/>
      </w:pPr>
      <w:r>
        <w:t xml:space="preserve">Schwert (2018)</w:t>
      </w:r>
    </w:p>
    <w:p>
      <w:pPr>
        <w:pStyle w:val="BodyText"/>
      </w:pPr>
      <w:r>
        <w:t xml:space="preserve">Kim and Sohn (2017)</w:t>
      </w:r>
    </w:p>
    <w:p>
      <w:pPr>
        <w:pStyle w:val="BodyText"/>
      </w:pPr>
      <w:r>
        <w:t xml:space="preserve">Carlson, Shan and Warusawitharana (2013)</w:t>
      </w:r>
    </w:p>
    <w:p>
      <w:pPr>
        <w:pStyle w:val="BodyText"/>
      </w:pPr>
      <w:r>
        <w:t xml:space="preserve">Tabak, Noronha and Cajueiro (2011)</w:t>
      </w:r>
    </w:p>
    <w:p>
      <w:pPr>
        <w:pStyle w:val="BodyText"/>
      </w:pPr>
      <w:r>
        <w:t xml:space="preserve">Altunbas, De Bondt and Marques-Ibanez (2004)</w:t>
      </w:r>
    </w:p>
    <w:p>
      <w:pPr>
        <w:pStyle w:val="BodyText"/>
      </w:pPr>
      <w:r>
        <w:t xml:space="preserve">Gambacorta and Shin (2018)</w:t>
      </w:r>
    </w:p>
    <w:p>
      <w:pPr>
        <w:pStyle w:val="BodyText"/>
      </w:pPr>
      <w:r>
        <w:t xml:space="preserve">Berrospide and Edge (2010)</w:t>
      </w:r>
    </w:p>
    <w:bookmarkEnd w:id="21"/>
    <w:bookmarkStart w:id="22" w:name="literatur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Literature</w:t>
      </w:r>
    </w:p>
    <w:bookmarkEnd w:id="22"/>
    <w:bookmarkStart w:id="23" w:name="methodology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Methodology</w:t>
      </w:r>
    </w:p>
    <w:bookmarkEnd w:id="23"/>
    <w:bookmarkStart w:id="24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bookmarkEnd w:id="24"/>
    <w:bookmarkStart w:id="25" w:name="conclu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Conclusion</w:t>
      </w:r>
    </w:p>
    <w:p>
      <w:r>
        <w:br w:type="page"/>
      </w:r>
    </w:p>
    <w:bookmarkEnd w:id="25"/>
    <w:bookmarkStart w:id="37" w:name="references"/>
    <w:p>
      <w:pPr>
        <w:pStyle w:val="Heading1"/>
      </w:pPr>
      <w:r>
        <w:t xml:space="preserve">References</w:t>
      </w:r>
    </w:p>
    <w:bookmarkStart w:id="36" w:name="refs"/>
    <w:bookmarkStart w:id="26" w:name="ref-altunbas2004bank"/>
    <w:p>
      <w:pPr>
        <w:pStyle w:val="Bibliography"/>
      </w:pPr>
      <w:r>
        <w:t xml:space="preserve">Altunbas, Y., De Bondt, G. and Marques-Ibanez, D. (2004).</w:t>
      </w:r>
      <w:r>
        <w:t xml:space="preserve"> </w:t>
      </w:r>
      <w:r>
        <w:t xml:space="preserve">‘Bank capital, bank lending, and monetary policy in the euro area’</w:t>
      </w:r>
      <w:r>
        <w:t xml:space="preserve">.</w:t>
      </w:r>
      <w:r>
        <w:t xml:space="preserve"> </w:t>
      </w:r>
      <w:r>
        <w:rPr>
          <w:iCs/>
          <w:i/>
        </w:rPr>
        <w:t xml:space="preserve">Kredit und Kapital</w:t>
      </w:r>
      <w:r>
        <w:t xml:space="preserve">.</w:t>
      </w:r>
    </w:p>
    <w:bookmarkEnd w:id="26"/>
    <w:bookmarkStart w:id="27" w:name="ref-berrospide2010effects"/>
    <w:p>
      <w:pPr>
        <w:pStyle w:val="Bibliography"/>
      </w:pPr>
      <w:r>
        <w:t xml:space="preserve">Berrospide, J. M. and Edge, R. M. (2010).</w:t>
      </w:r>
      <w:r>
        <w:t xml:space="preserve"> </w:t>
      </w:r>
      <w:r>
        <w:t xml:space="preserve">‘The effects of bank capital on lending: What do we know, and what does it mean?’</w:t>
      </w:r>
      <w:r>
        <w:t xml:space="preserve"> CAMA Working Paper Series 26/2010.</w:t>
      </w:r>
    </w:p>
    <w:bookmarkEnd w:id="27"/>
    <w:bookmarkStart w:id="28" w:name="ref-carlson2013capital"/>
    <w:p>
      <w:pPr>
        <w:pStyle w:val="Bibliography"/>
      </w:pPr>
      <w:r>
        <w:t xml:space="preserve">Carlson, M., Shan, H. and Warusawitharana, M. (2013).</w:t>
      </w:r>
      <w:r>
        <w:t xml:space="preserve"> </w:t>
      </w:r>
      <w:r>
        <w:t xml:space="preserve">‘Capital ratios and bank lending: A matched bank approach’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Financial Intermediation</w:t>
      </w:r>
      <w:r>
        <w:t xml:space="preserve">. Elsevier, 22 (4), pp. 663–687.</w:t>
      </w:r>
    </w:p>
    <w:bookmarkEnd w:id="28"/>
    <w:bookmarkStart w:id="29" w:name="ref-gambacorta2004does"/>
    <w:p>
      <w:pPr>
        <w:pStyle w:val="Bibliography"/>
      </w:pPr>
      <w:r>
        <w:t xml:space="preserve">Gambacorta, L. and Mistrulli, P. E. (2004).</w:t>
      </w:r>
      <w:r>
        <w:t xml:space="preserve"> </w:t>
      </w:r>
      <w:r>
        <w:t xml:space="preserve">‘Does bank capital affect lending behavior?’</w:t>
      </w:r>
      <w:r>
        <w:t xml:space="preserve"> </w:t>
      </w:r>
      <w:r>
        <w:rPr>
          <w:iCs/>
          <w:i/>
        </w:rPr>
        <w:t xml:space="preserve">Journal of Financial intermediation</w:t>
      </w:r>
      <w:r>
        <w:t xml:space="preserve">. Elsevier, 13 (4), pp. 436–457.</w:t>
      </w:r>
    </w:p>
    <w:bookmarkEnd w:id="29"/>
    <w:bookmarkStart w:id="30" w:name="ref-gambacorta2018bank"/>
    <w:p>
      <w:pPr>
        <w:pStyle w:val="Bibliography"/>
      </w:pPr>
      <w:r>
        <w:t xml:space="preserve">Gambacorta, L. and Shin, H. S. (2018).</w:t>
      </w:r>
      <w:r>
        <w:t xml:space="preserve"> </w:t>
      </w:r>
      <w:r>
        <w:t xml:space="preserve">‘Why bank capital matters for monetary policy’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Financial Intermediation</w:t>
      </w:r>
      <w:r>
        <w:t xml:space="preserve">. Elsevier, 35, pp. 17–29.</w:t>
      </w:r>
    </w:p>
    <w:bookmarkEnd w:id="30"/>
    <w:bookmarkStart w:id="31" w:name="ref-jokipii2008cyclical"/>
    <w:p>
      <w:pPr>
        <w:pStyle w:val="Bibliography"/>
      </w:pPr>
      <w:r>
        <w:t xml:space="preserve">Jokipii, T. and Milne, A. (2008).</w:t>
      </w:r>
      <w:r>
        <w:t xml:space="preserve"> </w:t>
      </w:r>
      <w:r>
        <w:t xml:space="preserve">‘The cyclical behaviour of european bank capital buffers’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banking &amp; finance</w:t>
      </w:r>
      <w:r>
        <w:t xml:space="preserve">. Elsevier, 32 (8), pp. 1440–1451.</w:t>
      </w:r>
    </w:p>
    <w:bookmarkEnd w:id="31"/>
    <w:bookmarkStart w:id="32" w:name="ref-kim2017effect"/>
    <w:p>
      <w:pPr>
        <w:pStyle w:val="Bibliography"/>
      </w:pPr>
      <w:r>
        <w:t xml:space="preserve">Kim, D. and Sohn, W. (2017).</w:t>
      </w:r>
      <w:r>
        <w:t xml:space="preserve"> </w:t>
      </w:r>
      <w:r>
        <w:t xml:space="preserve">‘The effect of bank capital on lending: Does liquidity matter?’</w:t>
      </w:r>
      <w:r>
        <w:t xml:space="preserve"> </w:t>
      </w:r>
      <w:r>
        <w:rPr>
          <w:iCs/>
          <w:i/>
        </w:rPr>
        <w:t xml:space="preserve">Journal of Banking &amp; Finance</w:t>
      </w:r>
      <w:r>
        <w:t xml:space="preserve">. Elsevier, 77, pp. 95–107.</w:t>
      </w:r>
    </w:p>
    <w:bookmarkEnd w:id="32"/>
    <w:bookmarkStart w:id="33" w:name="ref-osborne2017good"/>
    <w:p>
      <w:pPr>
        <w:pStyle w:val="Bibliography"/>
      </w:pPr>
      <w:r>
        <w:t xml:space="preserve">Osborne, M., Fuertes, A.-M. and Milne, A. (2017).</w:t>
      </w:r>
      <w:r>
        <w:t xml:space="preserve"> </w:t>
      </w:r>
      <w:r>
        <w:t xml:space="preserve">‘In good times and in bad: Bank capital ratios and lending rates’</w:t>
      </w:r>
      <w:r>
        <w:t xml:space="preserve">.</w:t>
      </w:r>
      <w:r>
        <w:t xml:space="preserve"> </w:t>
      </w:r>
      <w:r>
        <w:rPr>
          <w:iCs/>
          <w:i/>
        </w:rPr>
        <w:t xml:space="preserve">International Review of Financial Analysis</w:t>
      </w:r>
      <w:r>
        <w:t xml:space="preserve">. Elsevier, 51, pp. 102–112.</w:t>
      </w:r>
    </w:p>
    <w:bookmarkEnd w:id="33"/>
    <w:bookmarkStart w:id="34" w:name="ref-schwert2018bank"/>
    <w:p>
      <w:pPr>
        <w:pStyle w:val="Bibliography"/>
      </w:pPr>
      <w:r>
        <w:t xml:space="preserve">Schwert, M. (2018).</w:t>
      </w:r>
      <w:r>
        <w:t xml:space="preserve"> </w:t>
      </w:r>
      <w:r>
        <w:t xml:space="preserve">‘Bank capital and lending relationships’</w:t>
      </w:r>
      <w:r>
        <w:t xml:space="preserve">.</w:t>
      </w:r>
      <w:r>
        <w:t xml:space="preserve"> </w:t>
      </w:r>
      <w:r>
        <w:rPr>
          <w:iCs/>
          <w:i/>
        </w:rPr>
        <w:t xml:space="preserve">The Journal of Finance</w:t>
      </w:r>
      <w:r>
        <w:t xml:space="preserve">. Wiley Online Library, 73 (2), pp. 787–830.</w:t>
      </w:r>
    </w:p>
    <w:bookmarkEnd w:id="34"/>
    <w:bookmarkStart w:id="35" w:name="ref-tabak2011bank"/>
    <w:p>
      <w:pPr>
        <w:pStyle w:val="Bibliography"/>
      </w:pPr>
      <w:r>
        <w:t xml:space="preserve">Tabak, B. M., Noronha, A. C. and Cajueiro, D. (2011).</w:t>
      </w:r>
      <w:r>
        <w:t xml:space="preserve"> </w:t>
      </w:r>
      <w:r>
        <w:t xml:space="preserve">‘Bank capital buffers, lending growth and economic cycle: Empirical evidence for brazil’</w:t>
      </w:r>
      <w:r>
        <w:t xml:space="preserve">. in</w:t>
      </w:r>
      <w:r>
        <w:t xml:space="preserve"> </w:t>
      </w:r>
      <w:r>
        <w:rPr>
          <w:iCs/>
          <w:i/>
        </w:rPr>
        <w:t xml:space="preserve">2nd BIS CCA conference on “monetary policy, financial stability and the business cycle</w:t>
      </w:r>
      <w:r>
        <w:t xml:space="preserve">. Citeseer, pp. 12–13.</w:t>
      </w:r>
    </w:p>
    <w:bookmarkEnd w:id="35"/>
    <w:bookmarkEnd w:id="36"/>
    <w:bookmarkEnd w:id="37"/>
    <w:sectPr w:rsidR="0066548E" w:rsidSect="00322633">
      <w:headerReference r:id="rId13" w:type="even"/>
      <w:headerReference r:id="rId12" w:type="default"/>
      <w:footerReference r:id="rId15" w:type="even"/>
      <w:footerReference r:id="rId14" w:type="default"/>
      <w:headerReference r:id="rId9" w:type="first"/>
      <w:footerReference r:id="rId17" w:type="first"/>
      <w:footnotePr>
        <w:numFmt w:val="chicago"/>
        <w:numRestart w:val="eachSect"/>
      </w:footnotePr>
      <w:type w:val="continuous"/>
      <w:pgSz w:code="9" w:h="16840" w:w="11907"/>
      <w:pgMar w:bottom="1418" w:footer="720" w:gutter="0" w:header="720" w:left="1418" w:right="1418" w:top="1418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venir Next">
    <w:altName w:val="﷽﷽﷽﷽﷽﷽﷽﷽묱耍ĝ䳰Ľ怀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8E3BE" w14:textId="77777777" w:rsidR="00442AF7" w:rsidRDefault="00442A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0878" w14:textId="77777777" w:rsidR="0066548E" w:rsidRDefault="0066548E">
    <w:pPr>
      <w:pStyle w:val="Footer"/>
      <w:jc w:val="center"/>
    </w:pPr>
  </w:p>
  <w:p w14:paraId="02A6D3C4" w14:textId="77777777" w:rsidR="00690C20" w:rsidRDefault="00690C20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B49B2" w14:textId="77777777" w:rsidR="00442AF7" w:rsidRDefault="00442AF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6245503"/>
      <w:docPartObj>
        <w:docPartGallery w:val="Page Numbers (Bottom of Page)"/>
        <w:docPartUnique/>
      </w:docPartObj>
    </w:sdtPr>
    <w:sdtEndPr>
      <w:rPr>
        <w:noProof/>
        <w:highlight w:val="yellow"/>
      </w:rPr>
    </w:sdtEndPr>
    <w:sdtContent>
      <w:p w14:paraId="63627F72" w14:textId="4D1BB53A" w:rsidR="0066548E" w:rsidRPr="0044750B" w:rsidRDefault="0066548E" w:rsidP="006E0EB2">
        <w:pPr>
          <w:pStyle w:val="Footer"/>
          <w:spacing w:line="240" w:lineRule="auto"/>
          <w:jc w:val="center"/>
        </w:pPr>
        <w:r w:rsidRPr="00002DF3">
          <w:fldChar w:fldCharType="begin"/>
        </w:r>
        <w:r w:rsidRPr="00002DF3">
          <w:instrText xml:space="preserve"> PAGE   \* MERGEFORMAT </w:instrText>
        </w:r>
        <w:r w:rsidRPr="00002DF3">
          <w:fldChar w:fldCharType="separate"/>
        </w:r>
        <w:r w:rsidR="008C0D77">
          <w:rPr>
            <w:noProof/>
          </w:rPr>
          <w:t>2</w:t>
        </w:r>
        <w:r w:rsidRPr="00002DF3">
          <w:rPr>
            <w:noProof/>
          </w:rPr>
          <w:fldChar w:fldCharType="end"/>
        </w:r>
      </w:p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E9108" w14:textId="77777777" w:rsidR="00442AF7" w:rsidRDefault="00442A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31C3C" w14:textId="77777777" w:rsidR="00442AF7" w:rsidRDefault="00442A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663D2" w14:textId="77777777" w:rsidR="00442AF7" w:rsidRDefault="00442AF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9CB93" w14:textId="77777777" w:rsidR="00690C20" w:rsidRDefault="00690C20">
    <w:pPr>
      <w:pStyle w:val="BodyText"/>
      <w:spacing w:line="14" w:lineRule="auto"/>
    </w:pP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3FC63C6E" wp14:editId="330921CD">
              <wp:simplePos x="0" y="0"/>
              <wp:positionH relativeFrom="page">
                <wp:posOffset>2265680</wp:posOffset>
              </wp:positionH>
              <wp:positionV relativeFrom="page">
                <wp:posOffset>497840</wp:posOffset>
              </wp:positionV>
              <wp:extent cx="3259455" cy="169545"/>
              <wp:effectExtent l="0" t="2540" r="0" b="0"/>
              <wp:wrapNone/>
              <wp:docPr id="46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9455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876D58" w14:textId="77777777" w:rsidR="00690C20" w:rsidRDefault="00690C20">
                          <w:pPr>
                            <w:tabs>
                              <w:tab w:val="left" w:pos="4831"/>
                            </w:tabs>
                            <w:spacing w:before="18"/>
                            <w:ind w:left="20"/>
                            <w:rPr>
                              <w:rFonts w:ascii="Verdana"/>
                              <w:sz w:val="18"/>
                            </w:rPr>
                          </w:pP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Macroeconomic</w:t>
                          </w:r>
                          <w:r>
                            <w:rPr>
                              <w:rFonts w:ascii="Verdana"/>
                              <w:color w:val="231F20"/>
                              <w:spacing w:val="-31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Policy</w:t>
                          </w:r>
                          <w:r>
                            <w:rPr>
                              <w:rFonts w:ascii="Verdana"/>
                              <w:color w:val="231F20"/>
                              <w:spacing w:val="-30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Options</w:t>
                          </w:r>
                          <w:r>
                            <w:rPr>
                              <w:rFonts w:ascii="Verdana"/>
                              <w:color w:val="231F20"/>
                              <w:spacing w:val="-30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Verdana"/>
                              <w:color w:val="231F20"/>
                              <w:spacing w:val="-30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Verdana"/>
                              <w:color w:val="231F20"/>
                              <w:spacing w:val="-30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Savings</w:t>
                          </w:r>
                          <w:r>
                            <w:rPr>
                              <w:rFonts w:ascii="Verdana"/>
                              <w:color w:val="231F20"/>
                              <w:spacing w:val="-31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Constrained</w:t>
                          </w:r>
                          <w:r>
                            <w:rPr>
                              <w:rFonts w:ascii="Verdana"/>
                              <w:color w:val="231F20"/>
                              <w:spacing w:val="-30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Economy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ab/>
                            <w:t>241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C63C6E"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26" type="#_x0000_t202" style="position:absolute;left:0;text-align:left;margin-left:178.4pt;margin-top:39.2pt;width:256.65pt;height:13.3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" filled="f" stroked="f">
              <v:textbox inset="0,0,0,0">
                <w:txbxContent>
                  <w:p w14:paraId="0C876D58" w14:textId="77777777" w:rsidR="00690C20" w:rsidRDefault="00690C20">
                    <w:pPr>
                      <w:tabs>
                        <w:tab w:val="left" w:pos="4831"/>
                      </w:tabs>
                      <w:spacing w:before="18"/>
                      <w:ind w:left="20"/>
                      <w:rPr>
                        <w:rFonts w:ascii="Verdana"/>
                        <w:sz w:val="18"/>
                      </w:rPr>
                    </w:pP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Macroeconomic</w:t>
                    </w:r>
                    <w:r>
                      <w:rPr>
                        <w:rFonts w:ascii="Verdana"/>
                        <w:color w:val="231F20"/>
                        <w:spacing w:val="-31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Policy</w:t>
                    </w:r>
                    <w:r>
                      <w:rPr>
                        <w:rFonts w:ascii="Verdana"/>
                        <w:color w:val="231F20"/>
                        <w:spacing w:val="-30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Options</w:t>
                    </w:r>
                    <w:r>
                      <w:rPr>
                        <w:rFonts w:ascii="Verdana"/>
                        <w:color w:val="231F20"/>
                        <w:spacing w:val="-30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for</w:t>
                    </w:r>
                    <w:r>
                      <w:rPr>
                        <w:rFonts w:ascii="Verdana"/>
                        <w:color w:val="231F20"/>
                        <w:spacing w:val="-30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a</w:t>
                    </w:r>
                    <w:r>
                      <w:rPr>
                        <w:rFonts w:ascii="Verdana"/>
                        <w:color w:val="231F20"/>
                        <w:spacing w:val="-30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Savings</w:t>
                    </w:r>
                    <w:r>
                      <w:rPr>
                        <w:rFonts w:ascii="Verdana"/>
                        <w:color w:val="231F20"/>
                        <w:spacing w:val="-31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Constrained</w:t>
                    </w:r>
                    <w:r>
                      <w:rPr>
                        <w:rFonts w:ascii="Verdana"/>
                        <w:color w:val="231F20"/>
                        <w:spacing w:val="-30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Economy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ab/>
                      <w:t>241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C945E" w14:textId="77777777" w:rsidR="00690C20" w:rsidRPr="002E4CCF" w:rsidRDefault="00690C20" w:rsidP="002E4CCF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40E328C"/>
    <w:multiLevelType w:val="hybridMultilevel"/>
    <w:tmpl w:val="DEA4CBE8"/>
    <w:lvl w:ilvl="0" w:tplc="19E48E48">
      <w:start w:val="8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w w:val="93"/>
        <w:sz w:val="18"/>
        <w:szCs w:val="18"/>
        <w:lang w:bidi="ar-SA" w:eastAsia="en-US" w:val="en-US"/>
      </w:rPr>
    </w:lvl>
    <w:lvl w:ilvl="1" w:tplc="C3E4873E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C83AE142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47E4724C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362CB408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1340E1C0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08D880C2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FC98141C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F44A8586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1">
    <w:nsid w:val="08AC64A2"/>
    <w:multiLevelType w:val="hybridMultilevel"/>
    <w:tmpl w:val="BFEC42DC"/>
    <w:lvl w:ilvl="0" w:tplc="86D8949A">
      <w:start w:val="25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spacing w:val="0"/>
        <w:w w:val="90"/>
        <w:sz w:val="18"/>
        <w:szCs w:val="18"/>
        <w:lang w:bidi="ar-SA" w:eastAsia="en-US" w:val="en-US"/>
      </w:rPr>
    </w:lvl>
    <w:lvl w:ilvl="1" w:tplc="6CF8C498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A3509E14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DA72ED20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90F0ADFC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3134FC8C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40DA4308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1E1C59A4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614E7348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2">
    <w:nsid w:val="19783F87"/>
    <w:multiLevelType w:val="hybridMultilevel"/>
    <w:tmpl w:val="BB0C5D72"/>
    <w:lvl w:ilvl="0" w:tplc="5B94B0C6">
      <w:start w:val="20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w w:val="93"/>
        <w:sz w:val="18"/>
        <w:szCs w:val="18"/>
        <w:lang w:bidi="ar-SA" w:eastAsia="en-US" w:val="en-US"/>
      </w:rPr>
    </w:lvl>
    <w:lvl w:ilvl="1" w:tplc="071AEA36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B1DE3F62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0B4CBB1C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D0783AD6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785495FE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CA989FCA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A9A804A2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FE3A9CE6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3">
    <w:nsid w:val="25630202"/>
    <w:multiLevelType w:val="multilevel"/>
    <w:tmpl w:val="A9B0426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4">
    <w:nsid w:val="3267451E"/>
    <w:multiLevelType w:val="hybridMultilevel"/>
    <w:tmpl w:val="89B211AE"/>
    <w:lvl w:ilvl="0" w:tplc="8062AE06">
      <w:start w:val="1"/>
      <w:numFmt w:val="decimal"/>
      <w:lvlText w:val="%1"/>
      <w:lvlJc w:val="left"/>
      <w:pPr>
        <w:ind w:hanging="480" w:left="599"/>
      </w:pPr>
      <w:rPr>
        <w:rFonts w:hint="default"/>
        <w:b/>
        <w:bCs/>
        <w:w w:val="67"/>
        <w:lang w:bidi="ar-SA" w:eastAsia="en-US" w:val="en-US"/>
      </w:rPr>
    </w:lvl>
    <w:lvl w:ilvl="1" w:tplc="ACA4C584">
      <w:numFmt w:val="bullet"/>
      <w:lvlText w:val="•"/>
      <w:lvlJc w:val="left"/>
      <w:pPr>
        <w:ind w:hanging="480" w:left="1083"/>
      </w:pPr>
      <w:rPr>
        <w:rFonts w:hint="default"/>
        <w:lang w:bidi="ar-SA" w:eastAsia="en-US" w:val="en-US"/>
      </w:rPr>
    </w:lvl>
    <w:lvl w:ilvl="2" w:tplc="0BBC98C4">
      <w:numFmt w:val="bullet"/>
      <w:lvlText w:val="•"/>
      <w:lvlJc w:val="left"/>
      <w:pPr>
        <w:ind w:hanging="480" w:left="1567"/>
      </w:pPr>
      <w:rPr>
        <w:rFonts w:hint="default"/>
        <w:lang w:bidi="ar-SA" w:eastAsia="en-US" w:val="en-US"/>
      </w:rPr>
    </w:lvl>
    <w:lvl w:ilvl="3" w:tplc="03A064EA">
      <w:numFmt w:val="bullet"/>
      <w:lvlText w:val="•"/>
      <w:lvlJc w:val="left"/>
      <w:pPr>
        <w:ind w:hanging="480" w:left="2051"/>
      </w:pPr>
      <w:rPr>
        <w:rFonts w:hint="default"/>
        <w:lang w:bidi="ar-SA" w:eastAsia="en-US" w:val="en-US"/>
      </w:rPr>
    </w:lvl>
    <w:lvl w:ilvl="4" w:tplc="02A4A092">
      <w:numFmt w:val="bullet"/>
      <w:lvlText w:val="•"/>
      <w:lvlJc w:val="left"/>
      <w:pPr>
        <w:ind w:hanging="480" w:left="2535"/>
      </w:pPr>
      <w:rPr>
        <w:rFonts w:hint="default"/>
        <w:lang w:bidi="ar-SA" w:eastAsia="en-US" w:val="en-US"/>
      </w:rPr>
    </w:lvl>
    <w:lvl w:ilvl="5" w:tplc="90580C6A">
      <w:numFmt w:val="bullet"/>
      <w:lvlText w:val="•"/>
      <w:lvlJc w:val="left"/>
      <w:pPr>
        <w:ind w:hanging="480" w:left="3019"/>
      </w:pPr>
      <w:rPr>
        <w:rFonts w:hint="default"/>
        <w:lang w:bidi="ar-SA" w:eastAsia="en-US" w:val="en-US"/>
      </w:rPr>
    </w:lvl>
    <w:lvl w:ilvl="6" w:tplc="82162DF8">
      <w:numFmt w:val="bullet"/>
      <w:lvlText w:val="•"/>
      <w:lvlJc w:val="left"/>
      <w:pPr>
        <w:ind w:hanging="480" w:left="3503"/>
      </w:pPr>
      <w:rPr>
        <w:rFonts w:hint="default"/>
        <w:lang w:bidi="ar-SA" w:eastAsia="en-US" w:val="en-US"/>
      </w:rPr>
    </w:lvl>
    <w:lvl w:ilvl="7" w:tplc="EF986290">
      <w:numFmt w:val="bullet"/>
      <w:lvlText w:val="•"/>
      <w:lvlJc w:val="left"/>
      <w:pPr>
        <w:ind w:hanging="480" w:left="3987"/>
      </w:pPr>
      <w:rPr>
        <w:rFonts w:hint="default"/>
        <w:lang w:bidi="ar-SA" w:eastAsia="en-US" w:val="en-US"/>
      </w:rPr>
    </w:lvl>
    <w:lvl w:ilvl="8" w:tplc="AEA46BFA">
      <w:numFmt w:val="bullet"/>
      <w:lvlText w:val="•"/>
      <w:lvlJc w:val="left"/>
      <w:pPr>
        <w:ind w:hanging="480" w:left="4471"/>
      </w:pPr>
      <w:rPr>
        <w:rFonts w:hint="default"/>
        <w:lang w:bidi="ar-SA" w:eastAsia="en-US" w:val="en-US"/>
      </w:rPr>
    </w:lvl>
  </w:abstractNum>
  <w:abstractNum w15:restartNumberingAfterBreak="0" w:abstractNumId="5">
    <w:nsid w:val="34835332"/>
    <w:multiLevelType w:val="hybridMultilevel"/>
    <w:tmpl w:val="F3B05E94"/>
    <w:lvl w:ilvl="0" w:tplc="7D98CD52">
      <w:start w:val="1"/>
      <w:numFmt w:val="decimal"/>
      <w:lvlText w:val="%1."/>
      <w:lvlJc w:val="left"/>
      <w:pPr>
        <w:ind w:hanging="360" w:left="530"/>
      </w:pPr>
    </w:lvl>
    <w:lvl w:ilvl="1" w:tentative="1" w:tplc="1C090019">
      <w:start w:val="1"/>
      <w:numFmt w:val="lowerLetter"/>
      <w:lvlText w:val="%2."/>
      <w:lvlJc w:val="left"/>
      <w:pPr>
        <w:ind w:hanging="360" w:left="1250"/>
      </w:pPr>
    </w:lvl>
    <w:lvl w:ilvl="2" w:tentative="1" w:tplc="1C09001B">
      <w:start w:val="1"/>
      <w:numFmt w:val="lowerRoman"/>
      <w:lvlText w:val="%3."/>
      <w:lvlJc w:val="right"/>
      <w:pPr>
        <w:ind w:hanging="180" w:left="1970"/>
      </w:pPr>
    </w:lvl>
    <w:lvl w:ilvl="3" w:tentative="1" w:tplc="1C09000F">
      <w:start w:val="1"/>
      <w:numFmt w:val="decimal"/>
      <w:lvlText w:val="%4."/>
      <w:lvlJc w:val="left"/>
      <w:pPr>
        <w:ind w:hanging="360" w:left="2690"/>
      </w:pPr>
    </w:lvl>
    <w:lvl w:ilvl="4" w:tentative="1" w:tplc="1C090019">
      <w:start w:val="1"/>
      <w:numFmt w:val="lowerLetter"/>
      <w:lvlText w:val="%5."/>
      <w:lvlJc w:val="left"/>
      <w:pPr>
        <w:ind w:hanging="360" w:left="3410"/>
      </w:pPr>
    </w:lvl>
    <w:lvl w:ilvl="5" w:tentative="1" w:tplc="1C09001B">
      <w:start w:val="1"/>
      <w:numFmt w:val="lowerRoman"/>
      <w:lvlText w:val="%6."/>
      <w:lvlJc w:val="right"/>
      <w:pPr>
        <w:ind w:hanging="180" w:left="4130"/>
      </w:pPr>
    </w:lvl>
    <w:lvl w:ilvl="6" w:tentative="1" w:tplc="1C09000F">
      <w:start w:val="1"/>
      <w:numFmt w:val="decimal"/>
      <w:lvlText w:val="%7."/>
      <w:lvlJc w:val="left"/>
      <w:pPr>
        <w:ind w:hanging="360" w:left="4850"/>
      </w:pPr>
    </w:lvl>
    <w:lvl w:ilvl="7" w:tentative="1" w:tplc="1C090019">
      <w:start w:val="1"/>
      <w:numFmt w:val="lowerLetter"/>
      <w:lvlText w:val="%8."/>
      <w:lvlJc w:val="left"/>
      <w:pPr>
        <w:ind w:hanging="360" w:left="5570"/>
      </w:pPr>
    </w:lvl>
    <w:lvl w:ilvl="8" w:tentative="1" w:tplc="1C09001B">
      <w:start w:val="1"/>
      <w:numFmt w:val="lowerRoman"/>
      <w:lvlText w:val="%9."/>
      <w:lvlJc w:val="right"/>
      <w:pPr>
        <w:ind w:hanging="180" w:left="6290"/>
      </w:pPr>
    </w:lvl>
  </w:abstractNum>
  <w:abstractNum w15:restartNumberingAfterBreak="0" w:abstractNumId="6">
    <w:nsid w:val="35F94D4D"/>
    <w:multiLevelType w:val="hybridMultilevel"/>
    <w:tmpl w:val="730E513C"/>
    <w:lvl w:ilvl="0" w:tplc="DE62DAE0">
      <w:start w:val="38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spacing w:val="0"/>
        <w:w w:val="90"/>
        <w:sz w:val="18"/>
        <w:szCs w:val="18"/>
        <w:lang w:bidi="ar-SA" w:eastAsia="en-US" w:val="en-US"/>
      </w:rPr>
    </w:lvl>
    <w:lvl w:ilvl="1" w:tplc="5944FCC8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1892EDC6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84ECF1F2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7CB4619E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6C3EE6F4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B57A9EDC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E5DEF972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571C4C4E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7">
    <w:nsid w:val="548B298F"/>
    <w:multiLevelType w:val="hybridMultilevel"/>
    <w:tmpl w:val="18EA27CA"/>
    <w:lvl w:ilvl="0" w:tplc="1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1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65105DD1"/>
    <w:multiLevelType w:val="hybridMultilevel"/>
    <w:tmpl w:val="CDF0F3B6"/>
    <w:lvl w:ilvl="0" w:tplc="3B1E4E5A">
      <w:start w:val="33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spacing w:val="-3"/>
        <w:w w:val="90"/>
        <w:sz w:val="18"/>
        <w:szCs w:val="18"/>
        <w:lang w:bidi="ar-SA" w:eastAsia="en-US" w:val="en-US"/>
      </w:rPr>
    </w:lvl>
    <w:lvl w:ilvl="1" w:tplc="3D58CD36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5074DDC2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039E1F4A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BABAEFBA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71B6D9C8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7FCC5372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D3A0598C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BA76DED4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9">
    <w:nsid w:val="66AF218F"/>
    <w:multiLevelType w:val="hybridMultilevel"/>
    <w:tmpl w:val="24261D34"/>
    <w:lvl w:ilvl="0" w:tplc="C84CBFD6">
      <w:start w:val="17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spacing w:val="-2"/>
        <w:w w:val="80"/>
        <w:sz w:val="18"/>
        <w:szCs w:val="18"/>
        <w:lang w:bidi="ar-SA" w:eastAsia="en-US" w:val="en-US"/>
      </w:rPr>
    </w:lvl>
    <w:lvl w:ilvl="1" w:tplc="2E40AE92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9222A39C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13645A64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225C6860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B296A9FA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8B20DAB2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9AD432EC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07BAD506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10">
    <w:nsid w:val="68B238FE"/>
    <w:multiLevelType w:val="hybridMultilevel"/>
    <w:tmpl w:val="3200B046"/>
    <w:lvl w:ilvl="0" w:tplc="E7846922">
      <w:start w:val="14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spacing w:val="-3"/>
        <w:w w:val="83"/>
        <w:sz w:val="18"/>
        <w:szCs w:val="18"/>
        <w:lang w:bidi="ar-SA" w:eastAsia="en-US" w:val="en-US"/>
      </w:rPr>
    </w:lvl>
    <w:lvl w:ilvl="1" w:tplc="99749048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A7FE3066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3D3A404C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32A088C0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C4C8AFDE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7D50F4B8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C5C0CCC4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1400C8BA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11">
    <w:nsid w:val="6C717698"/>
    <w:multiLevelType w:val="hybridMultilevel"/>
    <w:tmpl w:val="13F640C2"/>
    <w:lvl w:ilvl="0" w:tplc="AEF46D7C">
      <w:start w:val="3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w w:val="90"/>
        <w:sz w:val="18"/>
        <w:szCs w:val="18"/>
        <w:lang w:bidi="ar-SA" w:eastAsia="en-US" w:val="en-US"/>
      </w:rPr>
    </w:lvl>
    <w:lvl w:ilvl="1" w:tplc="B980EE52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48FC723A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89E80606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94C0F876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4BC2A3D2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5D726FBC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E0CC94C6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10CA9A8C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12">
    <w:nsid w:val="71550ECC"/>
    <w:multiLevelType w:val="multilevel"/>
    <w:tmpl w:val="1C09001F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3">
    <w:nsid w:val="73886B48"/>
    <w:multiLevelType w:val="multilevel"/>
    <w:tmpl w:val="E264BB02"/>
    <w:lvl w:ilvl="0">
      <w:start w:val="1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 w:left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10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5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7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229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24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299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3160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959605741" w:numId="1">
    <w:abstractNumId w:val="6"/>
  </w:num>
  <w:num w16cid:durableId="1538660461" w:numId="2">
    <w:abstractNumId w:val="8"/>
  </w:num>
  <w:num w16cid:durableId="85733380" w:numId="3">
    <w:abstractNumId w:val="1"/>
  </w:num>
  <w:num w16cid:durableId="1381171823" w:numId="4">
    <w:abstractNumId w:val="2"/>
  </w:num>
  <w:num w16cid:durableId="1105732855" w:numId="5">
    <w:abstractNumId w:val="9"/>
  </w:num>
  <w:num w16cid:durableId="2123842053" w:numId="6">
    <w:abstractNumId w:val="10"/>
  </w:num>
  <w:num w16cid:durableId="1359963147" w:numId="7">
    <w:abstractNumId w:val="0"/>
  </w:num>
  <w:num w16cid:durableId="1854957730" w:numId="8">
    <w:abstractNumId w:val="11"/>
  </w:num>
  <w:num w16cid:durableId="841625367" w:numId="9">
    <w:abstractNumId w:val="4"/>
  </w:num>
  <w:num w16cid:durableId="1289968773" w:numId="10">
    <w:abstractNumId w:val="7"/>
  </w:num>
  <w:num w16cid:durableId="626816976" w:numId="11">
    <w:abstractNumId w:val="12"/>
  </w:num>
  <w:num w16cid:durableId="606011983" w:numId="12">
    <w:abstractNumId w:val="3"/>
  </w:num>
  <w:num w16cid:durableId="1696733201" w:numId="13">
    <w:abstractNumId w:val="5"/>
  </w:num>
  <w:num w16cid:durableId="1175148616" w:numId="14">
    <w:abstractNumId w:val="13"/>
  </w:num>
  <w:num w16cid:durableId="1942492237" w:numId="15">
    <w:abstractNumId w:val="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6"/>
  <w:proofState w:grammar="clean" w:spelling="clean"/>
  <w:defaultTabStop w:val="113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ZA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1"/>
    <w:lsdException w:name="heading 1" w:qFormat="1" w:uiPriority="1"/>
    <w:lsdException w:name="heading 2" w:qFormat="1" w:semiHidden="1" w:uiPriority="1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uiPriority w:val="1"/>
    <w:qFormat/>
    <w:rsid w:val="00F44D54"/>
    <w:pPr>
      <w:widowControl w:val="0"/>
      <w:tabs>
        <w:tab w:pos="170" w:val="left"/>
      </w:tabs>
      <w:autoSpaceDE w:val="0"/>
      <w:autoSpaceDN w:val="0"/>
      <w:spacing w:after="240" w:line="360" w:lineRule="auto"/>
      <w:jc w:val="both"/>
    </w:pPr>
    <w:rPr>
      <w:rFonts w:ascii="Arial" w:cs="Times New Roman" w:eastAsia="Times New Roman" w:hAnsi="Arial"/>
      <w:sz w:val="24"/>
      <w:lang w:val="en-GB"/>
    </w:rPr>
  </w:style>
  <w:style w:styleId="Heading1" w:type="paragraph">
    <w:name w:val="heading 1"/>
    <w:basedOn w:val="Normal"/>
    <w:link w:val="Heading1Char"/>
    <w:autoRedefine/>
    <w:uiPriority w:val="1"/>
    <w:qFormat/>
    <w:rsid w:val="001B247C"/>
    <w:pPr>
      <w:tabs>
        <w:tab w:pos="170" w:val="clear"/>
      </w:tabs>
      <w:spacing w:after="120"/>
      <w:ind w:hanging="737" w:left="737"/>
      <w:outlineLvl w:val="0"/>
    </w:pPr>
    <w:rPr>
      <w:rFonts w:cs="Arial" w:eastAsia="Arial"/>
      <w:b/>
      <w:bCs/>
      <w:szCs w:val="24"/>
    </w:rPr>
  </w:style>
  <w:style w:styleId="Heading2" w:type="paragraph">
    <w:name w:val="heading 2"/>
    <w:basedOn w:val="Normal"/>
    <w:link w:val="Heading2Char"/>
    <w:uiPriority w:val="1"/>
    <w:qFormat/>
    <w:rsid w:val="001B247C"/>
    <w:pPr>
      <w:widowControl/>
      <w:tabs>
        <w:tab w:pos="170" w:val="clear"/>
      </w:tabs>
      <w:autoSpaceDE/>
      <w:autoSpaceDN/>
      <w:spacing w:after="120"/>
      <w:ind w:hanging="737" w:left="737"/>
      <w:outlineLvl w:val="1"/>
    </w:pPr>
    <w:rPr>
      <w:rFonts w:cs="Arial" w:eastAsiaTheme="minorHAnsi"/>
      <w:b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1B247C"/>
    <w:pPr>
      <w:widowControl/>
      <w:tabs>
        <w:tab w:pos="170" w:val="clear"/>
      </w:tabs>
      <w:autoSpaceDE/>
      <w:autoSpaceDN/>
      <w:spacing w:after="120"/>
      <w:ind w:hanging="737" w:left="737"/>
      <w:outlineLvl w:val="2"/>
    </w:pPr>
    <w:rPr>
      <w:rFonts w:cs="Arial" w:eastAsiaTheme="minorHAnsi"/>
      <w:b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9D31B9"/>
    <w:pPr>
      <w:keepNext/>
      <w:adjustRightInd w:val="0"/>
      <w:spacing w:line="240" w:lineRule="auto"/>
      <w:outlineLvl w:val="3"/>
    </w:pPr>
    <w:rPr>
      <w:rFonts w:cs="Arial"/>
      <w:b/>
      <w:bCs/>
      <w:color w:themeColor="text1" w:val="000000"/>
      <w:sz w:val="52"/>
      <w:szCs w:val="5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9D31B9"/>
    <w:pPr>
      <w:keepNext/>
      <w:spacing w:line="240" w:lineRule="auto"/>
      <w:outlineLvl w:val="4"/>
    </w:pPr>
    <w:rPr>
      <w:rFonts w:cs="Arial"/>
      <w:b/>
      <w:bCs/>
      <w:color w:themeColor="text1" w:val="000000"/>
      <w:sz w:val="30"/>
      <w:szCs w:val="3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1"/>
    <w:rsid w:val="001B247C"/>
    <w:rPr>
      <w:rFonts w:ascii="Arial" w:cs="Arial" w:eastAsia="Arial" w:hAnsi="Arial"/>
      <w:b/>
      <w:bCs/>
      <w:sz w:val="24"/>
      <w:szCs w:val="24"/>
      <w:lang w:val="en-GB"/>
    </w:rPr>
  </w:style>
  <w:style w:customStyle="1" w:styleId="Heading2Char" w:type="character">
    <w:name w:val="Heading 2 Char"/>
    <w:basedOn w:val="DefaultParagraphFont"/>
    <w:link w:val="Heading2"/>
    <w:uiPriority w:val="1"/>
    <w:rsid w:val="001B247C"/>
    <w:rPr>
      <w:rFonts w:ascii="Arial" w:cs="Arial" w:hAnsi="Arial"/>
      <w:b/>
      <w:sz w:val="24"/>
      <w:lang w:val="en-GB"/>
    </w:rPr>
  </w:style>
  <w:style w:styleId="BodyText" w:type="paragraph">
    <w:name w:val="Body Text"/>
    <w:basedOn w:val="Normal"/>
    <w:link w:val="BodyTextChar"/>
    <w:uiPriority w:val="1"/>
    <w:qFormat/>
    <w:rsid w:val="00A73CCA"/>
    <w:rPr>
      <w:szCs w:val="20"/>
    </w:rPr>
  </w:style>
  <w:style w:customStyle="1" w:styleId="BodyTextChar" w:type="character">
    <w:name w:val="Body Text Char"/>
    <w:basedOn w:val="DefaultParagraphFont"/>
    <w:link w:val="BodyText"/>
    <w:uiPriority w:val="1"/>
    <w:rsid w:val="00A73CCA"/>
    <w:rPr>
      <w:rFonts w:ascii="Times New Roman" w:cs="Times New Roman" w:eastAsia="Times New Roman" w:hAnsi="Times New Roman"/>
      <w:sz w:val="20"/>
      <w:szCs w:val="20"/>
      <w:lang w:val="en-US"/>
    </w:rPr>
  </w:style>
  <w:style w:styleId="Title" w:type="paragraph">
    <w:name w:val="Title"/>
    <w:basedOn w:val="Normal"/>
    <w:link w:val="TitleChar"/>
    <w:uiPriority w:val="1"/>
    <w:qFormat/>
    <w:rsid w:val="00A73CCA"/>
    <w:pPr>
      <w:spacing w:before="268"/>
      <w:ind w:left="120" w:right="1408"/>
    </w:pPr>
    <w:rPr>
      <w:rFonts w:ascii="Verdana" w:cs="Verdana" w:eastAsia="Verdana" w:hAnsi="Verdana"/>
      <w:sz w:val="30"/>
      <w:szCs w:val="30"/>
    </w:rPr>
  </w:style>
  <w:style w:customStyle="1" w:styleId="TitleChar" w:type="character">
    <w:name w:val="Title Char"/>
    <w:basedOn w:val="DefaultParagraphFont"/>
    <w:link w:val="Title"/>
    <w:uiPriority w:val="1"/>
    <w:rsid w:val="00A73CCA"/>
    <w:rPr>
      <w:rFonts w:ascii="Verdana" w:cs="Verdana" w:eastAsia="Verdana" w:hAnsi="Verdana"/>
      <w:sz w:val="30"/>
      <w:szCs w:val="30"/>
      <w:lang w:val="en-US"/>
    </w:rPr>
  </w:style>
  <w:style w:styleId="ListParagraph" w:type="paragraph">
    <w:name w:val="List Paragraph"/>
    <w:basedOn w:val="Normal"/>
    <w:uiPriority w:val="1"/>
    <w:qFormat/>
    <w:rsid w:val="00A73CCA"/>
    <w:pPr>
      <w:spacing w:before="1"/>
      <w:ind w:hanging="240" w:left="359" w:right="797"/>
    </w:pPr>
  </w:style>
  <w:style w:customStyle="1" w:styleId="TableParagraph" w:type="paragraph">
    <w:name w:val="Table Paragraph"/>
    <w:basedOn w:val="Normal"/>
    <w:uiPriority w:val="1"/>
    <w:qFormat/>
    <w:rsid w:val="00A73CCA"/>
  </w:style>
  <w:style w:styleId="Header" w:type="paragraph">
    <w:name w:val="header"/>
    <w:basedOn w:val="Normal"/>
    <w:link w:val="HeaderChar"/>
    <w:uiPriority w:val="99"/>
    <w:unhideWhenUsed/>
    <w:rsid w:val="00A73CCA"/>
    <w:pPr>
      <w:tabs>
        <w:tab w:pos="4513" w:val="center"/>
        <w:tab w:pos="9026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A73CCA"/>
    <w:rPr>
      <w:rFonts w:ascii="Times New Roman" w:cs="Times New Roman" w:eastAsia="Times New Roman" w:hAnsi="Times New Roman"/>
      <w:lang w:val="en-US"/>
    </w:rPr>
  </w:style>
  <w:style w:styleId="Footer" w:type="paragraph">
    <w:name w:val="footer"/>
    <w:basedOn w:val="Normal"/>
    <w:link w:val="FooterChar"/>
    <w:uiPriority w:val="99"/>
    <w:unhideWhenUsed/>
    <w:rsid w:val="00A73CCA"/>
    <w:pPr>
      <w:tabs>
        <w:tab w:pos="4513" w:val="center"/>
        <w:tab w:pos="9026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A73CCA"/>
    <w:rPr>
      <w:rFonts w:ascii="Times New Roman" w:cs="Times New Roman" w:eastAsia="Times New Roman" w:hAnsi="Times New Roman"/>
      <w:lang w:val="en-US"/>
    </w:rPr>
  </w:style>
  <w:style w:styleId="FootnoteText" w:type="paragraph">
    <w:name w:val="footnote text"/>
    <w:basedOn w:val="Normal"/>
    <w:link w:val="FootnoteTextChar"/>
    <w:autoRedefine/>
    <w:uiPriority w:val="99"/>
    <w:unhideWhenUsed/>
    <w:qFormat/>
    <w:rsid w:val="00A52E7D"/>
    <w:pPr>
      <w:tabs>
        <w:tab w:pos="170" w:val="clear"/>
        <w:tab w:pos="567" w:val="left"/>
      </w:tabs>
      <w:spacing w:after="60" w:line="240" w:lineRule="auto"/>
      <w:ind w:hanging="567" w:left="567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A52E7D"/>
    <w:rPr>
      <w:rFonts w:ascii="Arial" w:cs="Times New Roman" w:eastAsia="Times New Roman" w:hAnsi="Arial"/>
      <w:sz w:val="20"/>
      <w:szCs w:val="20"/>
      <w:lang w:val="en-GB"/>
    </w:rPr>
  </w:style>
  <w:style w:styleId="FootnoteReference" w:type="character">
    <w:name w:val="footnote reference"/>
    <w:basedOn w:val="DefaultParagraphFont"/>
    <w:uiPriority w:val="99"/>
    <w:unhideWhenUsed/>
    <w:rsid w:val="004F3F54"/>
    <w:rPr>
      <w:vertAlign w:val="superscript"/>
    </w:rPr>
  </w:style>
  <w:style w:customStyle="1" w:styleId="EndNoteBibliographyTitle" w:type="paragraph">
    <w:name w:val="EndNote Bibliography Title"/>
    <w:basedOn w:val="Normal"/>
    <w:link w:val="EndNoteBibliographyTitleChar"/>
    <w:rsid w:val="004F3F54"/>
    <w:pPr>
      <w:jc w:val="center"/>
    </w:pPr>
    <w:rPr>
      <w:rFonts w:ascii="Times New Roman" w:hAnsi="Times New Roman"/>
      <w:noProof/>
    </w:rPr>
  </w:style>
  <w:style w:customStyle="1" w:styleId="EndNoteBibliographyTitleChar" w:type="character">
    <w:name w:val="EndNote Bibliography Title Char"/>
    <w:basedOn w:val="FootnoteTextChar"/>
    <w:link w:val="EndNoteBibliographyTitle"/>
    <w:rsid w:val="004F3F54"/>
    <w:rPr>
      <w:rFonts w:ascii="Times New Roman" w:cs="Times New Roman" w:eastAsia="Times New Roman" w:hAnsi="Times New Roman"/>
      <w:noProof/>
      <w:sz w:val="18"/>
      <w:szCs w:val="20"/>
      <w:lang w:val="en-US"/>
    </w:rPr>
  </w:style>
  <w:style w:customStyle="1" w:styleId="EndNoteBibliography" w:type="paragraph">
    <w:name w:val="EndNote Bibliography"/>
    <w:basedOn w:val="Normal"/>
    <w:link w:val="EndNoteBibliographyChar"/>
    <w:rsid w:val="004F3F54"/>
    <w:rPr>
      <w:rFonts w:ascii="Times New Roman" w:hAnsi="Times New Roman"/>
      <w:noProof/>
    </w:rPr>
  </w:style>
  <w:style w:customStyle="1" w:styleId="EndNoteBibliographyChar" w:type="character">
    <w:name w:val="EndNote Bibliography Char"/>
    <w:basedOn w:val="FootnoteTextChar"/>
    <w:link w:val="EndNoteBibliography"/>
    <w:rsid w:val="004F3F54"/>
    <w:rPr>
      <w:rFonts w:ascii="Times New Roman" w:cs="Times New Roman" w:eastAsia="Times New Roman" w:hAnsi="Times New Roman"/>
      <w:noProof/>
      <w:sz w:val="18"/>
      <w:szCs w:val="20"/>
      <w:lang w:val="en-US"/>
    </w:rPr>
  </w:style>
  <w:style w:styleId="Hyperlink" w:type="character">
    <w:name w:val="Hyperlink"/>
    <w:basedOn w:val="DefaultParagraphFont"/>
    <w:uiPriority w:val="99"/>
    <w:unhideWhenUsed/>
    <w:rsid w:val="004F3F54"/>
    <w:rPr>
      <w:color w:themeColor="hyperlink" w:val="0563C1"/>
      <w:u w:val="single"/>
    </w:rPr>
  </w:style>
  <w:style w:styleId="NoSpacing" w:type="paragraph">
    <w:name w:val="No Spacing"/>
    <w:uiPriority w:val="1"/>
    <w:qFormat/>
    <w:rsid w:val="00FE5B9F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val="en-US"/>
    </w:rPr>
  </w:style>
  <w:style w:styleId="CommentReference" w:type="character">
    <w:name w:val="annotation reference"/>
    <w:basedOn w:val="DefaultParagraphFont"/>
    <w:uiPriority w:val="99"/>
    <w:semiHidden/>
    <w:unhideWhenUsed/>
    <w:rsid w:val="001E4EA8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1E4EA8"/>
    <w:rPr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1E4EA8"/>
    <w:rPr>
      <w:rFonts w:ascii="Times New Roman" w:cs="Times New Roman" w:eastAsia="Times New Roman" w:hAnsi="Times New Roman"/>
      <w:sz w:val="20"/>
      <w:szCs w:val="20"/>
      <w:lang w:val="en-US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1E4EA8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1E4EA8"/>
    <w:rPr>
      <w:rFonts w:ascii="Times New Roman" w:cs="Times New Roman" w:eastAsia="Times New Roman" w:hAnsi="Times New Roman"/>
      <w:b/>
      <w:bCs/>
      <w:sz w:val="20"/>
      <w:szCs w:val="20"/>
      <w:lang w:val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1E4EA8"/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1E4EA8"/>
    <w:rPr>
      <w:rFonts w:ascii="Segoe UI" w:cs="Segoe UI" w:eastAsia="Times New Roman" w:hAnsi="Segoe UI"/>
      <w:sz w:val="18"/>
      <w:szCs w:val="18"/>
      <w:lang w:val="en-US"/>
    </w:rPr>
  </w:style>
  <w:style w:customStyle="1" w:styleId="Style1" w:type="paragraph">
    <w:name w:val="Style1"/>
    <w:basedOn w:val="BodyText"/>
    <w:uiPriority w:val="1"/>
    <w:qFormat/>
    <w:rsid w:val="000950CB"/>
    <w:pPr>
      <w:spacing w:before="30" w:line="271" w:lineRule="auto"/>
      <w:ind w:firstLine="240"/>
    </w:pPr>
    <w:rPr>
      <w:color w:val="231F20"/>
    </w:rPr>
  </w:style>
  <w:style w:styleId="Caption" w:type="paragraph">
    <w:name w:val="caption"/>
    <w:basedOn w:val="Normal"/>
    <w:next w:val="Normal"/>
    <w:uiPriority w:val="35"/>
    <w:qFormat/>
    <w:rsid w:val="00D87D72"/>
    <w:pPr>
      <w:widowControl/>
      <w:autoSpaceDE/>
      <w:autoSpaceDN/>
      <w:spacing w:before="60"/>
    </w:pPr>
    <w:rPr>
      <w:rFonts w:cs="Arial"/>
      <w:b/>
      <w:bCs/>
      <w:iCs/>
      <w:color w:themeColor="text1" w:val="000000"/>
      <w:szCs w:val="16"/>
    </w:rPr>
  </w:style>
  <w:style w:styleId="EndnoteText" w:type="paragraph">
    <w:name w:val="endnote text"/>
    <w:basedOn w:val="Normal"/>
    <w:link w:val="EndnoteTextChar"/>
    <w:uiPriority w:val="99"/>
    <w:semiHidden/>
    <w:unhideWhenUsed/>
    <w:rsid w:val="005B474E"/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sid w:val="005B474E"/>
    <w:rPr>
      <w:rFonts w:ascii="Arial" w:cs="Times New Roman" w:eastAsia="Times New Roman" w:hAnsi="Arial"/>
      <w:sz w:val="20"/>
      <w:szCs w:val="20"/>
      <w:lang w:val="en-US"/>
    </w:rPr>
  </w:style>
  <w:style w:styleId="EndnoteReference" w:type="character">
    <w:name w:val="endnote reference"/>
    <w:basedOn w:val="DefaultParagraphFont"/>
    <w:uiPriority w:val="99"/>
    <w:semiHidden/>
    <w:unhideWhenUsed/>
    <w:rsid w:val="005B474E"/>
    <w:rPr>
      <w:vertAlign w:val="superscript"/>
    </w:rPr>
  </w:style>
  <w:style w:styleId="IntenseReference" w:type="character">
    <w:name w:val="Intense Reference"/>
    <w:basedOn w:val="DefaultParagraphFont"/>
    <w:uiPriority w:val="32"/>
    <w:qFormat/>
    <w:rsid w:val="000C3C39"/>
    <w:rPr>
      <w:b/>
      <w:bCs/>
      <w:smallCaps/>
      <w:color w:themeColor="accent1" w:val="5B9BD5"/>
      <w:spacing w:val="5"/>
    </w:rPr>
  </w:style>
  <w:style w:customStyle="1" w:styleId="ChartNormal" w:type="paragraph">
    <w:name w:val="__Chart_Normal"/>
    <w:basedOn w:val="Normal"/>
    <w:rsid w:val="001149CC"/>
    <w:pPr>
      <w:keepNext/>
      <w:framePr w:hAnchor="margin" w:hSpace="57" w:vAnchor="text" w:vSpace="57" w:wrap="around" w:x="1" w:y="1"/>
      <w:widowControl/>
      <w:tabs>
        <w:tab w:pos="170" w:val="clear"/>
      </w:tabs>
      <w:autoSpaceDE/>
      <w:autoSpaceDN/>
      <w:jc w:val="left"/>
    </w:pPr>
    <w:rPr>
      <w:rFonts w:ascii="Arial Narrow" w:cs="Arial" w:eastAsia="SimSun" w:hAnsi="Arial Narrow"/>
      <w:color w:val="000000"/>
      <w:sz w:val="14"/>
      <w:szCs w:val="20"/>
    </w:rPr>
  </w:style>
  <w:style w:customStyle="1" w:styleId="ChartObject" w:type="character">
    <w:name w:val="_Chart Object"/>
    <w:basedOn w:val="DefaultParagraphFont"/>
    <w:rsid w:val="001149CC"/>
  </w:style>
  <w:style w:customStyle="1" w:styleId="ChartSource" w:type="character">
    <w:name w:val="_Chart Source"/>
    <w:basedOn w:val="DefaultParagraphFont"/>
    <w:rsid w:val="001149CC"/>
    <w:rPr>
      <w:rFonts w:ascii="Arial Narrow" w:eastAsia="SimSun" w:hAnsi="Arial Narrow"/>
      <w:i w:val="0"/>
      <w:sz w:val="12"/>
      <w:bdr w:color="auto" w:space="0" w:sz="0" w:val="none"/>
      <w:shd w:color="auto" w:fill="F2F2F2" w:themeFill="background1" w:themeFillShade="F2" w:val="clear"/>
    </w:rPr>
  </w:style>
  <w:style w:customStyle="1" w:styleId="ChartTitle" w:type="character">
    <w:name w:val="_Chart Title"/>
    <w:basedOn w:val="DefaultParagraphFont"/>
    <w:rsid w:val="001149CC"/>
    <w:rPr>
      <w:rFonts w:ascii="Arial" w:eastAsia="SimHei" w:hAnsi="Arial"/>
      <w:b/>
      <w:sz w:val="18"/>
    </w:rPr>
  </w:style>
  <w:style w:customStyle="1" w:styleId="TableSubtitle" w:type="character">
    <w:name w:val="_Table Subtitle"/>
    <w:basedOn w:val="DefaultParagraphFont"/>
    <w:rsid w:val="00243684"/>
    <w:rPr>
      <w:rFonts w:ascii="Arial Narrow" w:eastAsia="SimSun" w:hAnsi="Arial Narrow"/>
      <w:b/>
      <w:sz w:val="14"/>
    </w:rPr>
  </w:style>
  <w:style w:styleId="Revision" w:type="paragraph">
    <w:name w:val="Revision"/>
    <w:hidden/>
    <w:uiPriority w:val="99"/>
    <w:semiHidden/>
    <w:rsid w:val="00B16664"/>
    <w:pPr>
      <w:spacing w:after="0" w:line="240" w:lineRule="auto"/>
    </w:pPr>
    <w:rPr>
      <w:rFonts w:ascii="Arial" w:cs="Times New Roman" w:eastAsia="Times New Roman" w:hAnsi="Arial"/>
      <w:lang w:val="en-US"/>
    </w:rPr>
  </w:style>
  <w:style w:styleId="FollowedHyperlink" w:type="character">
    <w:name w:val="FollowedHyperlink"/>
    <w:basedOn w:val="DefaultParagraphFont"/>
    <w:uiPriority w:val="99"/>
    <w:semiHidden/>
    <w:unhideWhenUsed/>
    <w:rsid w:val="00916F21"/>
    <w:rPr>
      <w:color w:themeColor="followedHyperlink" w:val="954F72"/>
      <w:u w:val="single"/>
    </w:rPr>
  </w:style>
  <w:style w:styleId="BodyText2" w:type="paragraph">
    <w:name w:val="Body Text 2"/>
    <w:basedOn w:val="Normal"/>
    <w:link w:val="BodyText2Char"/>
    <w:uiPriority w:val="99"/>
    <w:unhideWhenUsed/>
    <w:rsid w:val="007E5901"/>
    <w:pPr>
      <w:widowControl/>
      <w:tabs>
        <w:tab w:pos="170" w:val="clear"/>
      </w:tabs>
      <w:autoSpaceDE/>
      <w:autoSpaceDN/>
      <w:spacing w:line="288" w:lineRule="auto"/>
      <w:jc w:val="center"/>
    </w:pPr>
    <w:rPr>
      <w:rFonts w:cs="Arial" w:eastAsiaTheme="minorHAnsi"/>
      <w:b/>
      <w:sz w:val="28"/>
    </w:rPr>
  </w:style>
  <w:style w:customStyle="1" w:styleId="BodyText2Char" w:type="character">
    <w:name w:val="Body Text 2 Char"/>
    <w:basedOn w:val="DefaultParagraphFont"/>
    <w:link w:val="BodyText2"/>
    <w:uiPriority w:val="99"/>
    <w:rsid w:val="007E5901"/>
    <w:rPr>
      <w:rFonts w:ascii="Arial" w:cs="Arial" w:hAnsi="Arial"/>
      <w:b/>
      <w:sz w:val="28"/>
      <w:lang w:val="en-US"/>
    </w:rPr>
  </w:style>
  <w:style w:styleId="BodyText3" w:type="paragraph">
    <w:name w:val="Body Text 3"/>
    <w:basedOn w:val="Normal"/>
    <w:link w:val="BodyText3Char"/>
    <w:uiPriority w:val="99"/>
    <w:unhideWhenUsed/>
    <w:rsid w:val="00006603"/>
    <w:pPr>
      <w:widowControl/>
      <w:tabs>
        <w:tab w:pos="170" w:val="clear"/>
      </w:tabs>
      <w:autoSpaceDE/>
      <w:autoSpaceDN/>
      <w:spacing w:line="288" w:lineRule="auto"/>
    </w:pPr>
    <w:rPr>
      <w:rFonts w:cs="Arial" w:eastAsiaTheme="minorHAnsi"/>
    </w:rPr>
  </w:style>
  <w:style w:customStyle="1" w:styleId="BodyText3Char" w:type="character">
    <w:name w:val="Body Text 3 Char"/>
    <w:basedOn w:val="DefaultParagraphFont"/>
    <w:link w:val="BodyText3"/>
    <w:uiPriority w:val="99"/>
    <w:rsid w:val="00006603"/>
    <w:rPr>
      <w:rFonts w:ascii="Arial" w:cs="Arial" w:hAnsi="Arial"/>
      <w:lang w:val="en-US"/>
    </w:rPr>
  </w:style>
  <w:style w:customStyle="1" w:styleId="Default" w:type="paragraph">
    <w:name w:val="Default"/>
    <w:rsid w:val="003F05F8"/>
    <w:pPr>
      <w:autoSpaceDE w:val="0"/>
      <w:autoSpaceDN w:val="0"/>
      <w:adjustRightInd w:val="0"/>
      <w:spacing w:after="0" w:line="240" w:lineRule="auto"/>
    </w:pPr>
    <w:rPr>
      <w:rFonts w:ascii="Arial" w:cs="Arial" w:eastAsia="Cambria" w:hAnsi="Arial"/>
      <w:color w:val="000000"/>
      <w:sz w:val="24"/>
      <w:szCs w:val="24"/>
      <w:lang w:eastAsia="en-GB" w:val="en-US"/>
    </w:rPr>
  </w:style>
  <w:style w:customStyle="1" w:styleId="Heading3Char" w:type="character">
    <w:name w:val="Heading 3 Char"/>
    <w:basedOn w:val="DefaultParagraphFont"/>
    <w:link w:val="Heading3"/>
    <w:uiPriority w:val="9"/>
    <w:rsid w:val="001B247C"/>
    <w:rPr>
      <w:rFonts w:ascii="Arial" w:cs="Arial" w:hAnsi="Arial"/>
      <w:b/>
      <w:sz w:val="24"/>
      <w:lang w:val="en-GB"/>
    </w:rPr>
  </w:style>
  <w:style w:customStyle="1" w:styleId="Heading4Char" w:type="character">
    <w:name w:val="Heading 4 Char"/>
    <w:basedOn w:val="DefaultParagraphFont"/>
    <w:link w:val="Heading4"/>
    <w:uiPriority w:val="9"/>
    <w:rsid w:val="009D31B9"/>
    <w:rPr>
      <w:rFonts w:ascii="Arial" w:cs="Arial" w:eastAsia="Times New Roman" w:hAnsi="Arial"/>
      <w:b/>
      <w:bCs/>
      <w:color w:themeColor="text1" w:val="000000"/>
      <w:sz w:val="52"/>
      <w:szCs w:val="52"/>
      <w:lang w:val="en-GB"/>
    </w:rPr>
  </w:style>
  <w:style w:customStyle="1" w:styleId="Heading5Char" w:type="character">
    <w:name w:val="Heading 5 Char"/>
    <w:basedOn w:val="DefaultParagraphFont"/>
    <w:link w:val="Heading5"/>
    <w:uiPriority w:val="9"/>
    <w:rsid w:val="009D31B9"/>
    <w:rPr>
      <w:rFonts w:ascii="Arial" w:cs="Arial" w:eastAsia="Times New Roman" w:hAnsi="Arial"/>
      <w:b/>
      <w:bCs/>
      <w:color w:themeColor="text1" w:val="000000"/>
      <w:sz w:val="30"/>
      <w:szCs w:val="30"/>
      <w:lang w:val="en-GB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0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5.xml" Type="http://schemas.openxmlformats.org/officeDocument/2006/relationships/header" /><Relationship Id="rId11" Target="header4.xml" Type="http://schemas.openxmlformats.org/officeDocument/2006/relationships/header" /><Relationship Id="rId12" Target="header2.xml" Type="http://schemas.openxmlformats.org/officeDocument/2006/relationships/header" /><Relationship Id="rId13" Target="header1.xml" Type="http://schemas.openxmlformats.org/officeDocument/2006/relationships/header" /><Relationship Id="rId14" Target="footer2.xml" Type="http://schemas.openxmlformats.org/officeDocument/2006/relationships/footer" /><Relationship Id="rId15" Target="footer1.xml" Type="http://schemas.openxmlformats.org/officeDocument/2006/relationships/footer" /><Relationship Id="rId16" Target="footer4.xml" Type="http://schemas.openxmlformats.org/officeDocument/2006/relationships/footer" /><Relationship Id="rId17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2022-05-17T18:13:17Z</dcterms:created>
  <dcterms:modified xsi:type="dcterms:W3CDTF">2022-05-17T18:13:17Z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sarb.bst</vt:lpwstr>
  </property>
  <property fmtid="{D5CDD505-2E9C-101B-9397-08002B2CF9AE}" pid="3" name="bibliography">
    <vt:lpwstr>references.bib</vt:lpwstr>
  </property>
  <property fmtid="{D5CDD505-2E9C-101B-9397-08002B2CF9AE}" pid="4" name="csl">
    <vt:lpwstr>ucl-institute-of-education-harvard.csl</vt:lpwstr>
  </property>
  <property fmtid="{D5CDD505-2E9C-101B-9397-08002B2CF9AE}" pid="5" name="natbiboptions">
    <vt:lpwstr>round</vt:lpwstr>
  </property>
  <property fmtid="{D5CDD505-2E9C-101B-9397-08002B2CF9AE}" pid="6" name="output">
    <vt:lpwstr/>
  </property>
</Properties>
</file>