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rId31.png" ContentType="image/png"/>
  <Override PartName="/word/media/rId42.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1. Introduction</w:t>
      </w:r>
    </w:p>
    <w:p>
      <w:pPr>
        <w:pStyle w:val="FirstParagraph"/>
      </w:pPr>
      <w:r>
        <w:t xml:space="preserve">This paper investigates the impact of the higher regulatory capital requirements of the implementation of the Basel III in South Africa between 2013 and 2019. Following an established approach in the literature, the investigation reported here focuses on the impact of changes in minimum required levels of bank capital and also of changes in the</w:t>
      </w:r>
      <w:r>
        <w:t xml:space="preserve"> </w:t>
      </w:r>
      <w:r>
        <w:t xml:space="preserve">‘</w:t>
      </w:r>
      <w:r>
        <w:t xml:space="preserve">buffers</w:t>
      </w:r>
      <w:r>
        <w:t xml:space="preserve">’</w:t>
      </w:r>
      <w:r>
        <w:t xml:space="preserve"> </w:t>
      </w:r>
      <w:r>
        <w:t xml:space="preserve">of capital and liquidity above these minima. The principal data employed is monthly balance sheet data, for the four largest South African banks, which together account for more than 80% of bank assets in South Africa. This data is both higher frequency (monthly) and more detailed (distinguishing several categories of both corporate and household credit) than the accounting statement data used in other related empirical studies.</w:t>
      </w:r>
    </w:p>
    <w:p>
      <w:pPr>
        <w:pStyle w:val="BodyText"/>
      </w:pPr>
      <w:r>
        <w:t xml:space="preserve">This focus on a small set of large banks has some advantages. The business models of these banks are similar. They all use sophisticated tools of capital management and take a substantial proportion of funding as wholesale deposits from non-financial corporates and non-bank financial institutions which impacts in particular on their Basel III net stable funding ratios. It also though has the disadvantage of providing only a relative small data set, over a period in which banks faced no substantial problems of balance sheet capital.</w:t>
      </w:r>
    </w:p>
    <w:p>
      <w:pPr>
        <w:pStyle w:val="BodyText"/>
      </w:pPr>
      <w:hyperlink w:anchor="sec-literature">
        <w:r>
          <w:rPr>
            <w:rStyle w:val="Hyperlink"/>
          </w:rPr>
          <w:t xml:space="preserve">Section 2</w:t>
        </w:r>
      </w:hyperlink>
      <w:r>
        <w:t xml:space="preserve"> </w:t>
      </w:r>
      <w:r>
        <w:t xml:space="preserve">is our literature review. This summarises the findings of similar empirical studies of the impact of changes in capital and capital requirements on bank credit supply , most of which are for developed countries. An Appendix provides an intuitive review of the mechanisms through which balance sheet constraints can be expected to impact on the supply of bank credit, drawing on a substantial theoretical and empirical literature.</w:t>
      </w:r>
    </w:p>
    <w:p>
      <w:pPr>
        <w:pStyle w:val="BodyText"/>
      </w:pPr>
      <w:hyperlink w:anchor="sec-economic">
        <w:r>
          <w:rPr>
            <w:rStyle w:val="Hyperlink"/>
          </w:rPr>
          <w:t xml:space="preserve">Section 3</w:t>
        </w:r>
      </w:hyperlink>
      <w:r>
        <w:t xml:space="preserve"> </w:t>
      </w:r>
      <w:r>
        <w:t xml:space="preserve">summarise the key developments in South African banking over our sample period. These include: the recovery of the banking sector from the impact of the global financial crisis 2009-2011 and an associated rebuilding of capital buffers, and the phasing in of Basel III from 2013 to 2019.</w:t>
      </w:r>
      <w:r>
        <w:t xml:space="preserve"> </w:t>
      </w:r>
      <w:hyperlink w:anchor="sec-data">
        <w:r>
          <w:rPr>
            <w:rStyle w:val="Hyperlink"/>
          </w:rPr>
          <w:t xml:space="preserve">Section 4</w:t>
        </w:r>
      </w:hyperlink>
      <w:r>
        <w:t xml:space="preserve"> </w:t>
      </w:r>
      <w:r>
        <w:t xml:space="preserve">describes our data set and sets out our empirical specification.</w:t>
      </w:r>
      <w:r>
        <w:t xml:space="preserve"> </w:t>
      </w:r>
      <w:hyperlink w:anchor="sec-conclusion">
        <w:r>
          <w:rPr>
            <w:rStyle w:val="Hyperlink"/>
          </w:rPr>
          <w:t xml:space="preserve">Section 6</w:t>
        </w:r>
      </w:hyperlink>
      <w:r>
        <w:t xml:space="preserve"> </w:t>
      </w:r>
      <w:r>
        <w:t xml:space="preserve">concludes.</w:t>
      </w:r>
    </w:p>
    <w:bookmarkEnd w:id="20"/>
    <w:bookmarkStart w:id="21" w:name="sec-literature"/>
    <w:p>
      <w:pPr>
        <w:pStyle w:val="Heading1"/>
      </w:pPr>
      <w:r>
        <w:t xml:space="preserve">2. Existing empirical literature</w:t>
      </w:r>
    </w:p>
    <w:p>
      <w:pPr>
        <w:pStyle w:val="FirstParagraph"/>
      </w:pPr>
      <w:r>
        <w:t xml:space="preserve">An earlier branch of the literature exploits differences in capitalisation of bank holding companies and bank subsidiaries/ branches (to correct for the endogeneity of bank capital, resulting from the impact of credit demand on bank earnings and hence capital) to quantify the impact of a fall of capitalisation on the supply of bank credit.</w:t>
      </w:r>
      <w:r>
        <w:t xml:space="preserve"> </w:t>
      </w:r>
      <w:r>
        <w:t xml:space="preserve">Peek and Rosengren (1997)</w:t>
      </w:r>
      <w:r>
        <w:t xml:space="preserve"> </w:t>
      </w:r>
      <w:r>
        <w:t xml:space="preserve">find that in the period 1989H1 to 1995:H2 a 1% reduction in the Japanese bank parent risk-based capital ratio, due to the Japanese financial crisis , reduces the six-monthly growth rate of total lending by Japanese bank branches in the US by approximately 1.9% of total branch assets and C&amp;I lending by 0.8% of total assets.</w:t>
      </w:r>
    </w:p>
    <w:p>
      <w:pPr>
        <w:pStyle w:val="BodyText"/>
      </w:pPr>
      <w:r>
        <w:t xml:space="preserve">Houston, James and Marcus (1997)</w:t>
      </w:r>
      <w:r>
        <w:t xml:space="preserve"> </w:t>
      </w:r>
      <w:r>
        <w:t xml:space="preserve">find that loan growth in US bank subsidiaries increases by 2% following a 1% addition to holding company capital, but there is no statistically significant impact from an addition to subsidiary capital, a supply effected resulting from the internal allocation of bank capital</w:t>
      </w:r>
      <w:r>
        <w:t xml:space="preserve"> </w:t>
      </w:r>
      <w:r>
        <w:t xml:space="preserve">(Calomiris and Wilson, 1998 on losses in the 1930s; Calomiris and Mason, 2003)</w:t>
      </w:r>
      <w:r>
        <w:t xml:space="preserve">. Several other papers find lower rates of credit expansion for banks close the regulatory minimum level of capital</w:t>
      </w:r>
      <w:r>
        <w:t xml:space="preserve"> </w:t>
      </w:r>
      <w:r>
        <w:t xml:space="preserve">(see, Hancock and Wilcox, 1994; Berger and Udell, 1994; Gambacorta and Mistrulli, 2004; Nier and Zicchino, 2005; Van den Heuvel, 2008; Berrospide and Edge, 2010)</w:t>
      </w:r>
      <w:r>
        <w:t xml:space="preserve">.</w:t>
      </w:r>
    </w:p>
    <w:p>
      <w:pPr>
        <w:pStyle w:val="BodyText"/>
      </w:pPr>
      <w:r>
        <w:t xml:space="preserve">Another branch of the empirical literature investigates the impact of bank specific changes in regulatory capital requirements on bank credit growth. Much of this work has been undertaken using UK data, where bank regulators have set frequently adjusted individual bank</w:t>
      </w:r>
      <w:r>
        <w:t xml:space="preserve"> </w:t>
      </w:r>
      <w:r>
        <w:t xml:space="preserve">‘</w:t>
      </w:r>
      <w:r>
        <w:t xml:space="preserve">trigger ratios</w:t>
      </w:r>
      <w:r>
        <w:t xml:space="preserve">’</w:t>
      </w:r>
      <w:r>
        <w:t xml:space="preserve"> </w:t>
      </w:r>
      <w:r>
        <w:t xml:space="preserve">for minimum risk-weighted capital, higher than the Basel international minima, breach of which prompts additional supervisory intervention.</w:t>
      </w:r>
      <w:r>
        <w:t xml:space="preserve"> </w:t>
      </w:r>
      <w:r>
        <w:t xml:space="preserve">Francis and Osborne (2012)</w:t>
      </w:r>
      <w:r>
        <w:t xml:space="preserve"> </w:t>
      </w:r>
      <w:r>
        <w:t xml:space="preserve">investigate the impact of changes in buffer capital, finding that a decline of risk weighted capital relative to an estimated target of 1% reduces risk-weighted assets by 7% (but the impact is relatively small when the result of a recent change in capital requirements and has not statistically significant impact on unweighted lending or total assets).</w:t>
      </w:r>
      <w:r>
        <w:t xml:space="preserve"> </w:t>
      </w:r>
      <w:r>
        <w:t xml:space="preserve">Aiyar</w:t>
      </w:r>
      <w:r>
        <w:t xml:space="preserve"> </w:t>
      </w:r>
      <w:r>
        <w:rPr>
          <w:iCs/>
          <w:i/>
        </w:rPr>
        <w:t xml:space="preserve">et al.</w:t>
      </w:r>
      <w:r>
        <w:t xml:space="preserve"> </w:t>
      </w:r>
      <w:r>
        <w:t xml:space="preserve">(2014)</w:t>
      </w:r>
      <w:r>
        <w:t xml:space="preserve"> </w:t>
      </w:r>
      <w:r>
        <w:t xml:space="preserve">and</w:t>
      </w:r>
      <w:r>
        <w:t xml:space="preserve"> </w:t>
      </w:r>
      <w:r>
        <w:t xml:space="preserve">Aiyar, Calomiris and Wieladek (2016)</w:t>
      </w:r>
      <w:r>
        <w:t xml:space="preserve"> </w:t>
      </w:r>
      <w:r>
        <w:t xml:space="preserve">exploit the same UK data individual changes in bank capital requirements to quantify the direct impact of a change in the UK trigger ratios.</w:t>
      </w:r>
    </w:p>
    <w:p>
      <w:pPr>
        <w:pStyle w:val="BodyText"/>
      </w:pPr>
      <w:r>
        <w:t xml:space="preserve">Aiyar</w:t>
      </w:r>
      <w:r>
        <w:t xml:space="preserve"> </w:t>
      </w:r>
      <w:r>
        <w:rPr>
          <w:iCs/>
          <w:i/>
        </w:rPr>
        <w:t xml:space="preserve">et al.</w:t>
      </w:r>
      <w:r>
        <w:t xml:space="preserve"> </w:t>
      </w:r>
      <w:r>
        <w:t xml:space="preserve">(2014)</w:t>
      </w:r>
      <w:r>
        <w:t xml:space="preserve"> </w:t>
      </w:r>
      <w:r>
        <w:t xml:space="preserve">investigate the impact on credit growth, using quarterly data for the period 1998-2007, employing a the current and three lags of changes in the trigger ratio (i.e. a similar specification to that used in this paper). They report that</w:t>
      </w:r>
      <w:r>
        <w:t xml:space="preserve"> </w:t>
      </w:r>
      <w:r>
        <w:t xml:space="preserve">“</w:t>
      </w:r>
      <w:r>
        <w:t xml:space="preserve">an increase in the capital requirement ratio of 100 basis points, induces on average a cumulative fall in loan growth of 5.7 and 6 percentage points.</w:t>
      </w:r>
      <w:r>
        <w:t xml:space="preserve">”</w:t>
      </w:r>
      <w:r>
        <w:t xml:space="preserve"> </w:t>
      </w:r>
      <w:r>
        <w:t xml:space="preserve">These estimates include a bank specific credit demand proxy, based on weighted average employment growth in 14 industrial sectors and bank lending shares, but this proxy is not statistically significant.</w:t>
      </w:r>
      <w:r>
        <w:t xml:space="preserve"> </w:t>
      </w:r>
      <w:r>
        <w:t xml:space="preserve">Aiyar, Calomiris and Wieladek (2016)</w:t>
      </w:r>
      <w:r>
        <w:t xml:space="preserve"> </w:t>
      </w:r>
      <w:r>
        <w:t xml:space="preserve">extend the specification to include changes in interest rates, reporting a similar only slightly smaller loan responses to changes in the trigger ratio.</w:t>
      </w:r>
      <w:r>
        <w:t xml:space="preserve"> </w:t>
      </w:r>
      <w:r>
        <w:t xml:space="preserve">Aiyar, Calomiris and Wieladek (2016)</w:t>
      </w:r>
      <w:r>
        <w:t xml:space="preserve"> </w:t>
      </w:r>
      <w:r>
        <w:t xml:space="preserve">focus on impact on international lending by UK banks, allowing a stronger control for credit demand based on country specific time effects, reporting cumulative fall of international lending of between 5.5%.</w:t>
      </w:r>
    </w:p>
    <w:p>
      <w:pPr>
        <w:pStyle w:val="BodyText"/>
      </w:pPr>
      <w:r>
        <w:t xml:space="preserve">Related investigations for other countries obtain similar magnitude impacts:</w:t>
      </w:r>
      <w:r>
        <w:t xml:space="preserve"> </w:t>
      </w:r>
      <w:r>
        <w:t xml:space="preserve">Jiménez</w:t>
      </w:r>
      <w:r>
        <w:t xml:space="preserve"> </w:t>
      </w:r>
      <w:r>
        <w:rPr>
          <w:iCs/>
          <w:i/>
        </w:rPr>
        <w:t xml:space="preserve">et al.</w:t>
      </w:r>
      <w:r>
        <w:t xml:space="preserve"> </w:t>
      </w:r>
      <w:r>
        <w:t xml:space="preserve">(2017)</w:t>
      </w:r>
      <w:r>
        <w:t xml:space="preserve">, exploiting the dynamic forward looking loan loss provisioning in Spain combined with firm-bank level data to identify credit supply impacts, find that countercyclical reductions in capital requirements in</w:t>
      </w:r>
      <w:r>
        <w:t xml:space="preserve"> </w:t>
      </w:r>
      <w:r>
        <w:t xml:space="preserve">“</w:t>
      </w:r>
      <w:r>
        <w:t xml:space="preserve">bad times</w:t>
      </w:r>
      <w:r>
        <w:t xml:space="preserve">”</w:t>
      </w:r>
      <w:r>
        <w:t xml:space="preserve">, in the 2008Q4 and 2009Q4, help sustain credit growth (A 1 percentage point increase in capital buffers extends credit to firms by 9 percentage points).</w:t>
      </w:r>
      <w:r>
        <w:t xml:space="preserve"> </w:t>
      </w:r>
      <w:r>
        <w:t xml:space="preserve">Fraisse, Lé and Thesmar (2020)</w:t>
      </w:r>
      <w:r>
        <w:t xml:space="preserve"> </w:t>
      </w:r>
      <w:r>
        <w:t xml:space="preserve">look at the impact on French banks of the transition from Basel I to Basel II.</w:t>
      </w:r>
    </w:p>
    <w:p>
      <w:pPr>
        <w:pStyle w:val="BodyText"/>
      </w:pPr>
      <w:r>
        <w:t xml:space="preserve">There are relatively few studies for emerging markets investigating the impact of bank capital requirements on credit supply in emerging markets.</w:t>
      </w:r>
      <w:r>
        <w:t xml:space="preserve"> </w:t>
      </w:r>
      <w:r>
        <w:t xml:space="preserve">Fang</w:t>
      </w:r>
      <w:r>
        <w:t xml:space="preserve"> </w:t>
      </w:r>
      <w:r>
        <w:rPr>
          <w:iCs/>
          <w:i/>
        </w:rPr>
        <w:t xml:space="preserve">et al.</w:t>
      </w:r>
      <w:r>
        <w:t xml:space="preserve"> </w:t>
      </w:r>
      <w:r>
        <w:t xml:space="preserve">(2020)</w:t>
      </w:r>
      <w:r>
        <w:t xml:space="preserve"> </w:t>
      </w:r>
      <w:r>
        <w:t xml:space="preserve">model bank loan growth, using a specification similar to</w:t>
      </w:r>
      <w:r>
        <w:t xml:space="preserve"> </w:t>
      </w:r>
      <w:r>
        <w:t xml:space="preserve">Aiyar, Calomiris and Wieladek (2016)</w:t>
      </w:r>
      <w:r>
        <w:t xml:space="preserve">, including a similar demand proxy, and quarterly bank data 2005- 2016 for Peru, including the period 2010-2011 when Basel III was phased in together with an additional capital buffer in 2011. A one percentage increase in the capital requirement reduces lending by 4-6 percent in the same quarter.</w:t>
      </w:r>
    </w:p>
    <w:bookmarkEnd w:id="21"/>
    <w:bookmarkStart w:id="47" w:name="sec-economic"/>
    <w:p>
      <w:pPr>
        <w:pStyle w:val="Heading1"/>
      </w:pPr>
      <w:r>
        <w:t xml:space="preserve">3. Developments in South African Banking</w:t>
      </w:r>
    </w:p>
    <w:bookmarkStart w:id="27" w:name="economic-background."/>
    <w:p>
      <w:pPr>
        <w:pStyle w:val="Heading2"/>
      </w:pPr>
      <w:r>
        <w:t xml:space="preserve">3.1 Economic background.</w:t>
      </w:r>
    </w:p>
    <w:p>
      <w:pPr>
        <w:pStyle w:val="FirstParagraph"/>
      </w:pPr>
      <w:r>
        <w:t xml:space="preserve">During the first fifteen years of democracy, from 1993 to 2008, real South African GDP grew at more than 3.5% per year</w:t>
      </w:r>
      <w:r>
        <w:rPr>
          <w:rStyle w:val="FootnoteReference"/>
        </w:rPr>
        <w:footnoteReference w:id="22"/>
      </w:r>
      <w:r>
        <w:t xml:space="preserve">; supported by the post-apartheid reintegration into the global economy, trade liberalisation, a diversification of economic activity and a policy regime emphasising both fiscal and monetary discipline</w:t>
      </w:r>
      <w:r>
        <w:rPr>
          <w:rStyle w:val="FootnoteReference"/>
        </w:rPr>
        <w:footnoteReference w:id="23"/>
      </w:r>
      <w:r>
        <w:t xml:space="preserve">. Public debt was reduced from 48% of GDP in 1995 to 28% in 2007</w:t>
      </w:r>
      <w:r>
        <w:t xml:space="preserve"> </w:t>
      </w:r>
      <w:r>
        <w:rPr>
          <w:rStyle w:val="FootnoteReference"/>
        </w:rPr>
        <w:footnoteReference w:id="24"/>
      </w:r>
      <w:r>
        <w:t xml:space="preserve">. Inflation fell from 9.1% in 1993-95 to 3.2% in 2004-2005, with inflation targeting formally introduced in February 2000.</w:t>
      </w:r>
    </w:p>
    <w:p>
      <w:pPr>
        <w:pStyle w:val="BodyText"/>
      </w:pPr>
      <w:r>
        <w:t xml:space="preserve">South Africa was also financially stable with a profitable and well capitalised albeit concentrated banking sector. GDP growth slowed temporarily on occasion, triggered by capital outflows and pressure on the exchange rate, both in 1998 during the aftermath of the Asian financial crisis and in 2001 during the post-dot.com global economic slowdown. There were some small bank failures during the latter episode, but neither episode had any systemic financial impact and demand and growth recovered relatively quickly.</w:t>
      </w:r>
    </w:p>
    <w:p>
      <w:pPr>
        <w:pStyle w:val="BodyText"/>
      </w:pPr>
      <w:r>
        <w:t xml:space="preserve">There were underlying economic weaknesses: most prominently high levels of poverty, unemployment and inequality, together with relatively low levels of educational achievement and skills-shortages. There was also a reliance for growth in domestic demand, with increasing household debt to income ratios, especially from mortgage borrowing by higher income households and rising prices for property and other assets. This bias is reflected in a comparatively high private sector credit to GDP ratio and a widening current account deficit, increasing from an average of -1% in 1994-1999 to -3% in 2003-2008.</w:t>
      </w:r>
    </w:p>
    <w:p>
      <w:pPr>
        <w:pStyle w:val="BodyText"/>
      </w:pPr>
      <w:r>
        <w:t xml:space="preserve">South African economic performance has been notably weaker since 2008, when the global finance crisis (GFC) triggered the first economic recession in democratic South Africa. From 2008 to 2022 GDP growth has averaged only 1.2% per year, a reflection of the growing impact of underlying structural economic weaknesses. Output and employment fell more in South Africa than in most other emerging markets following the GFC and export and investment levels recovered relatively slowly creating comparatively few jobs</w:t>
      </w:r>
      <w:r>
        <w:rPr>
          <w:rStyle w:val="FootnoteReference"/>
        </w:rPr>
        <w:footnoteReference w:id="25"/>
      </w:r>
      <w:r>
        <w:t xml:space="preserve">. International competitiveness had been based in part on low domestic energy prices based on electricity generation from South African mined coal, some 60% below that of major economies; but maintenance problems and lack of investment in generating capacity has led to supply shortfalls and rolling blackouts, first emerging in 2007-08 and, in the absence of co-ordinated investment, continuing since</w:t>
      </w:r>
      <w:r>
        <w:rPr>
          <w:rStyle w:val="FootnoteReference"/>
        </w:rPr>
        <w:footnoteReference w:id="26"/>
      </w:r>
      <w:r>
        <w:t xml:space="preserve">.</w:t>
      </w:r>
    </w:p>
    <w:p>
      <w:pPr>
        <w:pStyle w:val="BodyText"/>
      </w:pPr>
      <w:r>
        <w:t xml:space="preserve">The global pandemic had a substantial impact on the South African economy, with a 6.4% GDP contraction in 2020, resulting in unemployment rising to 35%. Fiscal deficits, which had remained elevated since the global financial crisis, rose further to 9.7% and 8.4% in 2020 and 2021, and the ratio of public debt to GDP climbed to 70%.</w:t>
      </w:r>
    </w:p>
    <w:bookmarkEnd w:id="27"/>
    <w:bookmarkStart w:id="35" w:name="banking-sector-structure-and-regulation"/>
    <w:p>
      <w:pPr>
        <w:pStyle w:val="Heading2"/>
      </w:pPr>
      <w:r>
        <w:t xml:space="preserve">3.2 Banking sector: structure and regulation</w:t>
      </w:r>
    </w:p>
    <w:p>
      <w:pPr>
        <w:pStyle w:val="FirstParagraph"/>
      </w:pPr>
      <w:r>
        <w:t xml:space="preserve">There are 34 active licensed banks in South Africa</w:t>
      </w:r>
      <w:r>
        <w:rPr>
          <w:rStyle w:val="FootnoteReference"/>
        </w:rPr>
        <w:footnoteReference w:id="28"/>
      </w:r>
      <w:r>
        <w:t xml:space="preserve">; but of these five domestically controlled commercial banks together account for around 90% of banking sector assets</w:t>
      </w:r>
      <w:r>
        <w:rPr>
          <w:rStyle w:val="FootnoteReference"/>
        </w:rPr>
        <w:footnoteReference w:id="29"/>
      </w:r>
      <w:r>
        <w:t xml:space="preserve">. South Africa also has a sophisticated non-bank financial services industry with large life- insurance, pension and unit-trust sectors. The ratio of bank assets to GDP is 112% while total financial sector assets amount to 298% of GDP.</w:t>
      </w:r>
    </w:p>
    <w:p>
      <w:pPr>
        <w:pStyle w:val="BodyText"/>
      </w:pPr>
      <w:r>
        <w:t xml:space="preserve">South Africa has an well-developed regime of financial regulation that has evolved in line with international financial standards. A solvency regime, similar to the EU Solvency II, for the life insurance sector was introduced in 2011, along with a program of regulatory reform including a shift to a</w:t>
      </w:r>
      <w:r>
        <w:t xml:space="preserve"> </w:t>
      </w:r>
      <w:r>
        <w:t xml:space="preserve">‘</w:t>
      </w:r>
      <w:r>
        <w:t xml:space="preserve">twin peaks</w:t>
      </w:r>
      <w:r>
        <w:t xml:space="preserve">’</w:t>
      </w:r>
      <w:r>
        <w:t xml:space="preserve"> </w:t>
      </w:r>
      <w:r>
        <w:t xml:space="preserve">organisational structure legislated in 2017, with the SARB responsible for prudential and systemic risk while the Financial Sector Conduct Authority for market conduct and consumer protection.</w:t>
      </w:r>
    </w:p>
    <w:p>
      <w:pPr>
        <w:pStyle w:val="BodyText"/>
      </w:pPr>
      <w:r>
        <w:t xml:space="preserve">This prudential regulation and South Africa’s well-capitalised banking sector has prevented the emergence any systemic financial crisis. There is concern about the reliance of the main South African banks on wholesale deposit funding, from non-financial corporates and non-bank financial institutions, which has created some challenges in meeting the Basel III</w:t>
      </w:r>
      <w:r>
        <w:t xml:space="preserve"> </w:t>
      </w:r>
      <w:r>
        <w:t xml:space="preserve">‘</w:t>
      </w:r>
      <w:r>
        <w:t xml:space="preserve">net stable funding requirements</w:t>
      </w:r>
      <w:r>
        <w:t xml:space="preserve">’</w:t>
      </w:r>
      <w:r>
        <w:t xml:space="preserve"> </w:t>
      </w:r>
      <w:r>
        <w:t xml:space="preserve">NSFR ratio. None of the episodes of financial stress, though, in the past three decade have triggered systemic financial problems. These episodes are the exchange rate depreciations of 1998 and 2001, the latter associated with a number of small bank failures, the impact of the 2008 GFC, the failure of a small lender Africa Bank in 2014 or the 2020 pandemic. Non-performing loans have risen substantially, as a share of bank loans, both in the early 2000’s and following the 2008 GFC and the 2020 pandemic to reach around 5% of gross loans outstanding</w:t>
      </w:r>
      <w:r>
        <w:t xml:space="preserve"> </w:t>
      </w:r>
      <w:r>
        <w:rPr>
          <w:rStyle w:val="FootnoteReference"/>
        </w:rPr>
        <w:footnoteReference w:id="30"/>
      </w:r>
      <w:r>
        <w:t xml:space="preserve">. But the banking sector has remained profitable with return on assets close to 1.5% and return on equity around 15% over the years 2008-2020.</w:t>
      </w:r>
    </w:p>
    <w:tbl>
      <w:tblPr>
        <w:tblStyle w:val="Table"/>
        <w:tblW w:type="pct" w:w="5000"/>
        <w:tblLook w:firstRow="0" w:lastRow="0" w:firstColumn="0" w:lastColumn="0" w:noHBand="0" w:noVBand="0" w:val="0000"/>
        <w:jc w:val="start"/>
      </w:tblPr>
      <w:tblGrid>
        <w:gridCol w:w="7920"/>
      </w:tblGrid>
      <w:tr>
        <w:tc>
          <w:tcPr/>
          <w:bookmarkStart w:id="34" w:name="fig-assets"/>
          <w:p>
            <w:pPr>
              <w:jc w:val="center"/>
            </w:pPr>
            <w:r>
              <w:drawing>
                <wp:inline>
                  <wp:extent cx="5753100" cy="5753100"/>
                  <wp:effectExtent b="0" l="0" r="0" t="0"/>
                  <wp:docPr descr="" title="" id="32" name="Picture"/>
                  <a:graphic>
                    <a:graphicData uri="http://schemas.openxmlformats.org/drawingml/2006/picture">
                      <pic:pic>
                        <pic:nvPicPr>
                          <pic:cNvPr descr="bank_capital_and_bank_lending_files/figure-docx/fig-assets-1.png" id="33" name="Picture"/>
                          <pic:cNvPicPr>
                            <a:picLocks noChangeArrowheads="1" noChangeAspect="1"/>
                          </pic:cNvPicPr>
                        </pic:nvPicPr>
                        <pic:blipFill>
                          <a:blip r:embed="rId31"/>
                          <a:stretch>
                            <a:fillRect/>
                          </a:stretch>
                        </pic:blipFill>
                        <pic:spPr bwMode="auto">
                          <a:xfrm>
                            <a:off x="0" y="0"/>
                            <a:ext cx="5753100" cy="5753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Bank assets. Source: South African Reserve Bank (2022)</w:t>
            </w:r>
          </w:p>
          <w:bookmarkEnd w:id="34"/>
        </w:tc>
      </w:tr>
    </w:tbl>
    <w:p>
      <w:pPr>
        <w:pStyle w:val="BodyText"/>
      </w:pPr>
      <w:r>
        <w:t xml:space="preserve">While banks have remained profitable, the growth of private sector credit in South Africa slowed substantially after the GFC (see</w:t>
      </w:r>
      <w:r>
        <w:t xml:space="preserve"> </w:t>
      </w:r>
      <w:hyperlink w:anchor="fig-assets">
        <w:r>
          <w:rPr>
            <w:rStyle w:val="Hyperlink"/>
          </w:rPr>
          <w:t xml:space="preserve">Figure 1</w:t>
        </w:r>
      </w:hyperlink>
      <w:r>
        <w:t xml:space="preserve">). The share of banking sector household mortgage lending to GDP fell from 26% in 2008 to 18% in 2020. Other forms of household credit, secured and unsecured, grew by around 2% of GDP between 2008 and 2013 but have since fallen back. Credit to non-financial corporations has also fallen somewhat since 2008.</w:t>
      </w:r>
    </w:p>
    <w:bookmarkEnd w:id="35"/>
    <w:bookmarkStart w:id="46" w:name="sec-capital"/>
    <w:p>
      <w:pPr>
        <w:pStyle w:val="Heading2"/>
      </w:pPr>
      <w:r>
        <w:t xml:space="preserve">3.3 Capital requirements reforms in South Africa</w:t>
      </w:r>
    </w:p>
    <w:p>
      <w:pPr>
        <w:pStyle w:val="FirstParagraph"/>
      </w:pPr>
      <w:r>
        <w:t xml:space="preserve">In line with international standards, South Africa implemented the Basel III bank capital regulation framework between 2013 and 2019. The structure of the regulations was well in line with the international norms (see</w:t>
      </w:r>
      <w:r>
        <w:t xml:space="preserve"> </w:t>
      </w:r>
      <w:r>
        <w:rPr>
          <w:bCs/>
          <w:b/>
        </w:rPr>
        <w:t xml:space="preserve">?@tbl-basel</w:t>
      </w:r>
      <w:r>
        <w:t xml:space="preserve">). Although the framework is specific to common equity Tier 1</w:t>
      </w:r>
      <w:r>
        <w:rPr>
          <w:rStyle w:val="FootnoteReference"/>
        </w:rPr>
        <w:footnoteReference w:id="36"/>
      </w:r>
      <w:r>
        <w:t xml:space="preserve"> </w:t>
      </w:r>
      <w:r>
        <w:t xml:space="preserve">and Tier 1</w:t>
      </w:r>
      <w:r>
        <w:rPr>
          <w:rStyle w:val="FootnoteReference"/>
        </w:rPr>
        <w:footnoteReference w:id="37"/>
      </w:r>
      <w:r>
        <w:t xml:space="preserve"> </w:t>
      </w:r>
      <w:r>
        <w:t xml:space="preserve">capital, this study focuses on the total capital requirements. The structure of the requirements starts with the base minimum, which is the same as international standards. Pillar 2A is the systemic risk requirement; Pillar 2B is the bank-specific individual capital requirement and a range of buffers which can apply to domestic systemically important banks.</w:t>
      </w:r>
    </w:p>
    <w:bookmarkStart w:id="38" w:name="tbl-base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13"/>
        <w:gridCol w:w="4068"/>
      </w:tblGrid>
      <w:tr>
        <w:trPr>
          <w:trHeight w:val="527" w:hRule="auto"/>
          <w:tblHeader/>
        </w:trPr>
        header1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Percent</w:t>
            </w:r>
          </w:p>
        </w:tc>
      </w:tr>
      <w:tr>
        <w:trPr>
          <w:trHeight w:val="528" w:hRule="auto"/>
        </w:trPr>
        body1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Basel III minima</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r>
      <w:tr>
        <w:trPr>
          <w:trHeight w:val="529" w:hRule="auto"/>
        </w:trPr>
        body2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South African minima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r>
      <w:tr>
        <w:trPr>
          <w:trHeight w:val="528" w:hRule="auto"/>
        </w:trPr>
        body3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Pillar 2A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 to 2</w:t>
            </w:r>
          </w:p>
        </w:tc>
      </w:tr>
      <w:tr>
        <w:trPr>
          <w:trHeight w:val="529" w:hRule="auto"/>
        </w:trPr>
        body4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South Africa base minima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8+Pillar 2A</w:t>
            </w:r>
          </w:p>
        </w:tc>
      </w:tr>
      <w:tr>
        <w:trPr>
          <w:trHeight w:val="561" w:hRule="auto"/>
        </w:trPr>
        body5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Pillar 2B (ICR)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 specific range</w:t>
            </w:r>
          </w:p>
        </w:tc>
      </w:tr>
      <w:tr>
        <w:trPr>
          <w:trHeight w:val="529" w:hRule="auto"/>
        </w:trPr>
        body6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Prudential minima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8+Pillar2A+ICR</w:t>
            </w:r>
          </w:p>
        </w:tc>
      </w:tr>
      <w:tr>
        <w:trPr>
          <w:trHeight w:val="561" w:hRule="auto"/>
        </w:trPr>
        body7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Systemically important buffer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 to 2.5</w:t>
            </w:r>
          </w:p>
        </w:tc>
      </w:tr>
      <w:tr>
        <w:trPr>
          <w:trHeight w:val="559" w:hRule="auto"/>
        </w:trPr>
        body8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Capital conservation buffer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 to 2.5</w:t>
            </w:r>
          </w:p>
        </w:tc>
      </w:tr>
      <w:tr>
        <w:trPr>
          <w:trHeight w:val="561" w:hRule="auto"/>
        </w:trPr>
        body9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Countercyclical buffer</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 to 2.5</w:t>
            </w:r>
          </w:p>
        </w:tc>
      </w:tr>
    </w:tbl>
    <w:p>
      <w:pPr>
        <w:pStyle w:val="BodyText"/>
      </w:pPr>
      <w:r>
        <w:rPr>
          <w:bCs/>
          <w:b/>
        </w:rPr>
        <w:t xml:space="preserve">?(caption)</w:t>
      </w:r>
    </w:p>
    <w:bookmarkEnd w:id="38"/>
    <w:p>
      <w:pPr>
        <w:pStyle w:val="BodyText"/>
      </w:pPr>
      <w:r>
        <w:t xml:space="preserve">The authorities</w:t>
      </w:r>
      <w:r>
        <w:rPr>
          <w:rStyle w:val="FootnoteReference"/>
        </w:rPr>
        <w:footnoteReference w:id="39"/>
      </w:r>
      <w:r>
        <w:t xml:space="preserve"> </w:t>
      </w:r>
      <w:r>
        <w:t xml:space="preserve">stipulated the phase-in period shown in</w:t>
      </w:r>
      <w:r>
        <w:t xml:space="preserve"> </w:t>
      </w:r>
      <w:r>
        <w:rPr>
          <w:bCs/>
          <w:b/>
        </w:rPr>
        <w:t xml:space="preserve">?@tbl-phasein</w:t>
      </w:r>
      <w:r>
        <w:t xml:space="preserve">. Of interest is that the conservation buffer, countercyclical buffers, and the high liquid asset requirement for domestic systemically important banks were only introduced in 2016. At the same time, the systemic risk capital requirement (Pillar 2A) was reduced to avoid double counting. In the main, the authorities persisted with the phase-in schedule will only minor deviations regarding the range-bound measures.</w:t>
      </w:r>
    </w:p>
    <w:bookmarkStart w:id="40" w:name="tbl-phasei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31"/>
        <w:gridCol w:w="407"/>
        <w:gridCol w:w="407"/>
        <w:gridCol w:w="407"/>
        <w:gridCol w:w="451"/>
        <w:gridCol w:w="407"/>
        <w:gridCol w:w="451"/>
        <w:gridCol w:w="407"/>
      </w:tblGrid>
      <w:tr>
        <w:trPr>
          <w:trHeight w:val="528" w:hRule="auto"/>
          <w:tblHeader/>
        </w:trPr>
        header1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2013</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2014</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2015</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2016</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2017</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2018</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2019</w:t>
            </w:r>
          </w:p>
        </w:tc>
      </w:tr>
      <w:tr>
        <w:trPr>
          <w:trHeight w:val="528" w:hRule="auto"/>
        </w:trPr>
        body1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Basel III minima</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w:t>
            </w:r>
          </w:p>
        </w:tc>
      </w:tr>
      <w:tr>
        <w:trPr>
          <w:trHeight w:val="559" w:hRule="auto"/>
        </w:trPr>
        body2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Pillar 2A for Total Capital</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w:t>
            </w:r>
          </w:p>
        </w:tc>
      </w:tr>
      <w:tr>
        <w:trPr>
          <w:trHeight w:val="559" w:hRule="auto"/>
        </w:trPr>
        body3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Total Capital Plus 2A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r>
      <w:tr>
        <w:trPr>
          <w:trHeight w:val="561" w:hRule="auto"/>
        </w:trPr>
        body4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Phasing in of specified charge for systemically important banks (as % of Pillar 2A)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100</w:t>
            </w:r>
          </w:p>
        </w:tc>
      </w:tr>
      <w:tr>
        <w:trPr>
          <w:trHeight w:val="559" w:hRule="auto"/>
        </w:trPr>
        body5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Capital conservation buffer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0.625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1.875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w:t>
            </w:r>
          </w:p>
        </w:tc>
      </w:tr>
      <w:tr>
        <w:trPr>
          <w:trHeight w:val="561" w:hRule="auto"/>
        </w:trPr>
        body6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Countercyclical buffer</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0.625</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1.875</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w:t>
            </w:r>
          </w:p>
        </w:tc>
      </w:tr>
    </w:tbl>
    <w:p>
      <w:pPr>
        <w:pStyle w:val="BodyText"/>
      </w:pPr>
      <w:r>
        <w:rPr>
          <w:bCs/>
          <w:b/>
        </w:rPr>
        <w:t xml:space="preserve">?(caption)</w:t>
      </w:r>
    </w:p>
    <w:bookmarkEnd w:id="40"/>
    <w:p>
      <w:pPr>
        <w:pStyle w:val="BodyText"/>
      </w:pPr>
      <w:r>
        <w:t xml:space="preserve">Regarding bank regulations</w:t>
      </w:r>
      <w:r>
        <w:rPr>
          <w:rStyle w:val="FootnoteReference"/>
        </w:rPr>
        <w:footnoteReference w:id="41"/>
      </w:r>
      <w:r>
        <w:t xml:space="preserve">, South African banks must hold a discretionary buffer above the regulated minimum requirements. This discretionary buffer is determined, amongst others, by environmental factors. For example, the buffer of bank capital over minimum regulatory requirements for the sector has varied, rising from around 2% in 2008 to 6% in 2013, but with the introduction of the higher Basel III requirements has since fallen, fluctuating in range of 2-4% since 2015 (see</w:t>
      </w:r>
      <w:r>
        <w:t xml:space="preserve"> </w:t>
      </w:r>
      <w:hyperlink w:anchor="fig-capital">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5" w:name="fig-capital"/>
          <w:p>
            <w:pPr>
              <w:jc w:val="center"/>
            </w:pPr>
            <w:r>
              <w:drawing>
                <wp:inline>
                  <wp:extent cx="5753100" cy="3451860"/>
                  <wp:effectExtent b="0" l="0" r="0" t="0"/>
                  <wp:docPr descr="" title="" id="43" name="Picture"/>
                  <a:graphic>
                    <a:graphicData uri="http://schemas.openxmlformats.org/drawingml/2006/picture">
                      <pic:pic>
                        <pic:nvPicPr>
                          <pic:cNvPr descr="bank_capital_and_bank_lending_files/figure-docx/fig-capital-1.png" id="44" name="Picture"/>
                          <pic:cNvPicPr>
                            <a:picLocks noChangeArrowheads="1" noChangeAspect="1"/>
                          </pic:cNvPicPr>
                        </pic:nvPicPr>
                        <pic:blipFill>
                          <a:blip r:embed="rId42"/>
                          <a:stretch>
                            <a:fillRect/>
                          </a:stretch>
                        </pic:blipFill>
                        <pic:spPr bwMode="auto">
                          <a:xfrm>
                            <a:off x="0" y="0"/>
                            <a:ext cx="5753100" cy="34518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Capital requirements. Source: South African Reserve Bank (2022). Note: RWA is risk weighted assets.</w:t>
            </w:r>
          </w:p>
          <w:bookmarkEnd w:id="45"/>
        </w:tc>
      </w:tr>
    </w:tbl>
    <w:bookmarkEnd w:id="46"/>
    <w:bookmarkEnd w:id="47"/>
    <w:bookmarkStart w:id="48" w:name="sec-data"/>
    <w:p>
      <w:pPr>
        <w:pStyle w:val="Heading1"/>
      </w:pPr>
      <w:r>
        <w:t xml:space="preserve">4. Data and Methodology</w:t>
      </w:r>
    </w:p>
    <w:p>
      <w:pPr>
        <w:pStyle w:val="FirstParagraph"/>
      </w:pPr>
      <w:r>
        <w:t xml:space="preserve">We collected data on the four major South African banks; Absa Bank, Standard Bank, First National Bank, and Nedbank. Together these constitute over 80% of the banking sector assets. Our main data sources were the monthly Banks Act (BA) statutory disclosures collected by the South African Reserve Bank (SARB). The Banks Act obliges the SARB to collect and publish bank balance sheets and other data to understand the country’s banking activity scale. We mainly utilised the BA900s (bank economic returns) and the BA930s (bank product lending rates). The Basel III capital requirements (BA700s) data was collected from the South African Prudential Authority (PA) - the financial sector regulator. From the same source, we also collected the controls data.</w:t>
      </w:r>
      <w:r>
        <w:t xml:space="preserve"> </w:t>
      </w:r>
      <w:r>
        <w:rPr>
          <w:bCs/>
          <w:b/>
        </w:rPr>
        <w:t xml:space="preserve">?@tbl-data</w:t>
      </w:r>
      <w:r>
        <w:t xml:space="preserve"> </w:t>
      </w:r>
      <w:r>
        <w:t xml:space="preserve">and</w:t>
      </w:r>
      <w:r>
        <w:t xml:space="preserve"> </w:t>
      </w:r>
      <w:r>
        <w:rPr>
          <w:bCs/>
          <w:b/>
        </w:rPr>
        <w:t xml:space="preserve">?@tbl-data1</w:t>
      </w:r>
      <w:r>
        <w:t xml:space="preserve"> </w:t>
      </w:r>
      <w:r>
        <w:t xml:space="preserve">in the Appendix summarise the specific data. Lastly, most bank-level data is private or internal to the SARB; however, the BA900s bank-level data is public.</w:t>
      </w:r>
    </w:p>
    <w:p>
      <w:pPr>
        <w:pStyle w:val="BodyText"/>
      </w:pPr>
      <w:r>
        <w:t xml:space="preserve">Our focus is on the effect of higher capital buffer requirements on real economic activity lending. Real economic activity lending in the BA900s is represented by lending to households and non-financial corporations. However, the BA900s only report granular lending categories to households and non-financial corporations. Therefore, some aggregation was necessary. The process of aggregation, or combining related granular lending categories into broader categories, is clearly explained in</w:t>
      </w:r>
      <w:r>
        <w:t xml:space="preserve"> </w:t>
      </w:r>
      <w:hyperlink w:anchor="sec-aggregation">
        <w:r>
          <w:rPr>
            <w:rStyle w:val="Hyperlink"/>
          </w:rPr>
          <w:t xml:space="preserve">Section 7.4</w:t>
        </w:r>
      </w:hyperlink>
      <w:r>
        <w:t xml:space="preserve"> </w:t>
      </w:r>
      <w:r>
        <w:t xml:space="preserve">in the Appendix. The result is lending three categories for households and non-financial corporations: unsecured credit, secured credit, and mortgages. These six categories form the foundation of our analysis.</w:t>
      </w:r>
    </w:p>
    <w:p>
      <w:pPr>
        <w:pStyle w:val="BodyText"/>
      </w:pPr>
      <w:r>
        <w:t xml:space="preserve">Following</w:t>
      </w:r>
      <w:r>
        <w:t xml:space="preserve"> </w:t>
      </w:r>
      <w:r>
        <w:t xml:space="preserve">Fang</w:t>
      </w:r>
      <w:r>
        <w:t xml:space="preserve"> </w:t>
      </w:r>
      <w:r>
        <w:rPr>
          <w:iCs/>
          <w:i/>
        </w:rPr>
        <w:t xml:space="preserve">et al.</w:t>
      </w:r>
      <w:r>
        <w:t xml:space="preserve"> </w:t>
      </w:r>
      <w:r>
        <w:t xml:space="preserve">(2020)</w:t>
      </w:r>
      <w:r>
        <w:t xml:space="preserve"> </w:t>
      </w:r>
      <w:r>
        <w:t xml:space="preserve">and</w:t>
      </w:r>
      <w:r>
        <w:t xml:space="preserve"> </w:t>
      </w:r>
      <w:r>
        <w:t xml:space="preserve">Aiyar, Calomiris and Wieladek (2016)</w:t>
      </w:r>
      <w:r>
        <w:t xml:space="preserve">, we transformed some data for modelling purposes as summarised in</w:t>
      </w:r>
      <w:r>
        <w:t xml:space="preserve"> </w:t>
      </w:r>
      <w:r>
        <w:rPr>
          <w:bCs/>
          <w:b/>
        </w:rPr>
        <w:t xml:space="preserve">?@tbl-summaries</w:t>
      </w:r>
      <w:r>
        <w:t xml:space="preserve">. In the literature section, we explained the challenges in separating the bank lending effect of specific Basel III actions from banks’ normal risk and portfolio adjustment actions. To solve the identification problem, we distinguish between Basel III</w:t>
      </w:r>
      <w:r>
        <w:t xml:space="preserve"> </w:t>
      </w:r>
      <w:r>
        <w:t xml:space="preserve">‘</w:t>
      </w:r>
      <w:r>
        <w:t xml:space="preserve">jumps</w:t>
      </w:r>
      <w:r>
        <w:t xml:space="preserve">’</w:t>
      </w:r>
      <w:r>
        <w:t xml:space="preserve"> </w:t>
      </w:r>
      <w:r>
        <w:t xml:space="preserve">and normal bank activity</w:t>
      </w:r>
      <w:r>
        <w:t xml:space="preserve"> </w:t>
      </w:r>
      <w:r>
        <w:t xml:space="preserve">‘</w:t>
      </w:r>
      <w:r>
        <w:t xml:space="preserve">wiggles</w:t>
      </w:r>
      <w:r>
        <w:t xml:space="preserve">’</w:t>
      </w:r>
      <w:r>
        <w:t xml:space="preserve"> </w:t>
      </w:r>
      <w:r>
        <w:t xml:space="preserve">(see</w:t>
      </w:r>
      <w:r>
        <w:t xml:space="preserve"> </w:t>
      </w:r>
      <w:hyperlink w:anchor="fig-capital">
        <w:r>
          <w:rPr>
            <w:rStyle w:val="Hyperlink"/>
          </w:rPr>
          <w:t xml:space="preserve">Figure 2</w:t>
        </w:r>
      </w:hyperlink>
      <w:r>
        <w:t xml:space="preserve">). Therefore,</w:t>
      </w:r>
      <w:r>
        <w:t xml:space="preserve"> </w:t>
      </w:r>
      <m:oMath>
        <m:r>
          <m:t>Δ</m:t>
        </m:r>
        <m:r>
          <m:t>K</m:t>
        </m:r>
        <m:r>
          <m:t>R</m:t>
        </m:r>
      </m:oMath>
      <w:r>
        <w:t xml:space="preserve"> </w:t>
      </w:r>
      <w:r>
        <w:t xml:space="preserve">or minimum capital buffer requirement is a dummy that isolates the specific Basel III changes to the regulatory capital buffer requirements as explained in</w:t>
      </w:r>
      <w:r>
        <w:t xml:space="preserve"> </w:t>
      </w:r>
      <w:hyperlink w:anchor="sec-capital">
        <w:r>
          <w:rPr>
            <w:rStyle w:val="Hyperlink"/>
          </w:rPr>
          <w:t xml:space="preserve">Section 3.3</w:t>
        </w:r>
      </w:hyperlink>
      <w:r>
        <w:t xml:space="preserve">. To reflect the its importance in the South African context, we clearly distinguish between the excess capital that the banks choose to hold above the minimum capital buffer requirement (</w:t>
      </w:r>
      <m:oMath>
        <m:r>
          <m:t>Δ</m:t>
        </m:r>
        <m:r>
          <m:t>K</m:t>
        </m:r>
        <m:r>
          <m:t>S</m:t>
        </m:r>
      </m:oMath>
      <w:r>
        <w:t xml:space="preserve">). As explained in</w:t>
      </w:r>
      <w:r>
        <w:t xml:space="preserve"> </w:t>
      </w:r>
      <w:hyperlink w:anchor="sec-capital">
        <w:r>
          <w:rPr>
            <w:rStyle w:val="Hyperlink"/>
          </w:rPr>
          <w:t xml:space="preserve">Section 3.3</w:t>
        </w:r>
      </w:hyperlink>
      <w:r>
        <w:t xml:space="preserve"> </w:t>
      </w:r>
      <w:r>
        <w:t xml:space="preserve">South African banks are encouraged to hold a significant portion in excess capital.</w:t>
      </w:r>
    </w:p>
    <w:p>
      <w:pPr>
        <w:pStyle w:val="BodyText"/>
      </w:pPr>
      <w:r>
        <w:t xml:space="preserve">Fang</w:t>
      </w:r>
      <w:r>
        <w:t xml:space="preserve"> </w:t>
      </w:r>
      <w:r>
        <w:rPr>
          <w:iCs/>
          <w:i/>
        </w:rPr>
        <w:t xml:space="preserve">et al.</w:t>
      </w:r>
      <w:r>
        <w:t xml:space="preserve"> </w:t>
      </w:r>
      <w:r>
        <w:t xml:space="preserve">(2020)</w:t>
      </w:r>
      <w:r>
        <w:t xml:space="preserve"> </w:t>
      </w:r>
      <w:r>
        <w:t xml:space="preserve">construct a demand measure based on sector-specific lending weights as a proportion of sector output. In addition,</w:t>
      </w:r>
      <w:r>
        <w:t xml:space="preserve"> </w:t>
      </w:r>
      <w:r>
        <w:t xml:space="preserve">Pillay and Makrelov (2023)</w:t>
      </w:r>
      <w:r>
        <w:t xml:space="preserve"> </w:t>
      </w:r>
      <w:r>
        <w:t xml:space="preserve">construct the same measure in the South African context. However, both</w:t>
      </w:r>
      <w:r>
        <w:t xml:space="preserve"> </w:t>
      </w:r>
      <w:r>
        <w:t xml:space="preserve">Fang</w:t>
      </w:r>
      <w:r>
        <w:t xml:space="preserve"> </w:t>
      </w:r>
      <w:r>
        <w:rPr>
          <w:iCs/>
          <w:i/>
        </w:rPr>
        <w:t xml:space="preserve">et al.</w:t>
      </w:r>
      <w:r>
        <w:t xml:space="preserve"> </w:t>
      </w:r>
      <w:r>
        <w:t xml:space="preserve">(2020)</w:t>
      </w:r>
      <w:r>
        <w:t xml:space="preserve"> </w:t>
      </w:r>
      <w:r>
        <w:t xml:space="preserve">and</w:t>
      </w:r>
      <w:r>
        <w:t xml:space="preserve"> </w:t>
      </w:r>
      <w:r>
        <w:t xml:space="preserve">Pillay and Makrelov (2023)</w:t>
      </w:r>
      <w:r>
        <w:t xml:space="preserve"> </w:t>
      </w:r>
      <w:r>
        <w:t xml:space="preserve">find that this measure was not significant. That is, it does not adequately measure to the demand aspect of changes in lending. In somewhat a novel approach we utilise the lending rates corresponding to our six broad lending categories (see</w:t>
      </w:r>
      <w:r>
        <w:t xml:space="preserve"> </w:t>
      </w:r>
      <w:hyperlink w:anchor="fig-lending">
        <w:r>
          <w:rPr>
            <w:rStyle w:val="Hyperlink"/>
          </w:rPr>
          <w:t xml:space="preserve">Figure 3</w:t>
        </w:r>
      </w:hyperlink>
      <w:r>
        <w:t xml:space="preserve"> </w:t>
      </w:r>
      <w:r>
        <w:t xml:space="preserve">in the Appendix). We define</w:t>
      </w:r>
      <w:r>
        <w:t xml:space="preserve"> </w:t>
      </w:r>
      <m:oMath>
        <m:r>
          <m:t>Δ</m:t>
        </m:r>
        <m:r>
          <m:t>D</m:t>
        </m:r>
        <m:r>
          <m:t>e</m:t>
        </m:r>
        <m:r>
          <m:t>m</m:t>
        </m:r>
        <m:r>
          <m:t>a</m:t>
        </m:r>
        <m:r>
          <m:t>n</m:t>
        </m:r>
        <m:r>
          <m:t>d</m:t>
        </m:r>
      </m:oMath>
      <w:r>
        <w:t xml:space="preserve"> </w:t>
      </w:r>
      <w:r>
        <w:t xml:space="preserve">as the change in the interest rate margin (lending rate less the SARB policy rate) as a measure of lending demand. The intuition is that an increase in the lending rate suggests an increase in demand and vice versa, taking the effect of policy rate changes.</w:t>
      </w:r>
    </w:p>
    <w:p>
      <w:pPr>
        <w:pStyle w:val="BodyText"/>
      </w:pPr>
      <w:r>
        <w:t xml:space="preserve">After adjusting the data in</w:t>
      </w:r>
      <w:r>
        <w:t xml:space="preserve"> </w:t>
      </w:r>
      <w:r>
        <w:rPr>
          <w:bCs/>
          <w:b/>
        </w:rPr>
        <w:t xml:space="preserve">?@tbl-summaries</w:t>
      </w:r>
      <w:r>
        <w:t xml:space="preserve"> </w:t>
      </w:r>
      <w:r>
        <w:t xml:space="preserve">for outliers (winsorizing the data with a 1% threshold), we estimate the following equation, for the six lending categories, using the ordinary least squares estimator:</w:t>
      </w:r>
    </w:p>
    <w:p>
      <w:pPr>
        <w:pStyle w:val="BodyText"/>
      </w:pPr>
      <m:oMathPara>
        <m:oMathParaPr>
          <m:jc m:val="center"/>
        </m:oMathParaPr>
        <m:oMath>
          <m:r>
            <m:t>Δ</m:t>
          </m:r>
          <m:r>
            <m:t>L</m:t>
          </m:r>
          <m:r>
            <m:t>O</m:t>
          </m:r>
          <m:r>
            <m:t>A</m:t>
          </m:r>
          <m:sSubSup>
            <m:e>
              <m:r>
                <m:t>N</m:t>
              </m:r>
            </m:e>
            <m:sub>
              <m:r>
                <m:t>t</m:t>
              </m:r>
              <m:r>
                <m:rPr>
                  <m:sty m:val="p"/>
                </m:rPr>
                <m:t>,</m:t>
              </m:r>
              <m:r>
                <m:t>t</m:t>
              </m:r>
              <m:r>
                <m:rPr>
                  <m:sty m:val="p"/>
                </m:rPr>
                <m:t>−</m:t>
              </m:r>
              <m:r>
                <m:t>s</m:t>
              </m:r>
            </m:sub>
            <m:sup>
              <m:r>
                <m:t>i</m:t>
              </m:r>
            </m:sup>
          </m:sSubSup>
          <m:r>
            <m:rPr>
              <m:sty m:val="p"/>
            </m:rPr>
            <m:t>=</m:t>
          </m:r>
          <m:r>
            <m:t>β</m:t>
          </m:r>
          <m:r>
            <m:t>Δ</m:t>
          </m:r>
          <m:r>
            <m:t>K</m:t>
          </m:r>
          <m:sSubSup>
            <m:e>
              <m:r>
                <m:t>R</m:t>
              </m:r>
            </m:e>
            <m:sub>
              <m:r>
                <m:t>t</m:t>
              </m:r>
              <m:r>
                <m:rPr>
                  <m:sty m:val="p"/>
                </m:rPr>
                <m:t>,</m:t>
              </m:r>
              <m:r>
                <m:t>t</m:t>
              </m:r>
              <m:r>
                <m:rPr>
                  <m:sty m:val="p"/>
                </m:rPr>
                <m:t>−</m:t>
              </m:r>
              <m:r>
                <m:t>1</m:t>
              </m:r>
            </m:sub>
            <m:sup>
              <m:r>
                <m:t>i</m:t>
              </m:r>
            </m:sup>
          </m:sSubSup>
          <m:r>
            <m:rPr>
              <m:sty m:val="p"/>
            </m:rPr>
            <m:t>+</m:t>
          </m:r>
          <m:r>
            <m:t>λ</m:t>
          </m:r>
          <m:r>
            <m:t>Δ</m:t>
          </m:r>
          <m:r>
            <m:t>K</m:t>
          </m:r>
          <m:sSubSup>
            <m:e>
              <m:r>
                <m:t>S</m:t>
              </m:r>
            </m:e>
            <m:sub>
              <m:r>
                <m:t>t</m:t>
              </m:r>
              <m:r>
                <m:rPr>
                  <m:sty m:val="p"/>
                </m:rPr>
                <m:t>,</m:t>
              </m:r>
              <m:r>
                <m:t>t</m:t>
              </m:r>
              <m:r>
                <m:rPr>
                  <m:sty m:val="p"/>
                </m:rPr>
                <m:t>−</m:t>
              </m:r>
              <m:r>
                <m:t>1</m:t>
              </m:r>
            </m:sub>
            <m:sup>
              <m:r>
                <m:t>i</m:t>
              </m:r>
            </m:sup>
          </m:sSubSup>
          <m:r>
            <m:rPr>
              <m:sty m:val="p"/>
            </m:rPr>
            <m:t>+</m:t>
          </m:r>
          <m:r>
            <m:t>α</m:t>
          </m:r>
          <m:r>
            <m:t>Δ</m:t>
          </m:r>
          <m:r>
            <m:t>D</m:t>
          </m:r>
          <m:r>
            <m:t>e</m:t>
          </m:r>
          <m:r>
            <m:t>m</m:t>
          </m:r>
          <m:r>
            <m:t>a</m:t>
          </m:r>
          <m:r>
            <m:t>n</m:t>
          </m:r>
          <m:sSubSup>
            <m:e>
              <m:r>
                <m:t>d</m:t>
              </m:r>
            </m:e>
            <m:sub>
              <m:r>
                <m:t>t</m:t>
              </m:r>
              <m:r>
                <m:rPr>
                  <m:sty m:val="p"/>
                </m:rPr>
                <m:t>,</m:t>
              </m:r>
              <m:r>
                <m:t>t</m:t>
              </m:r>
              <m:r>
                <m:rPr>
                  <m:sty m:val="p"/>
                </m:rPr>
                <m:t>−</m:t>
              </m:r>
              <m:r>
                <m:t>1</m:t>
              </m:r>
            </m:sub>
            <m:sup>
              <m:r>
                <m:t>i</m:t>
              </m:r>
            </m:sup>
          </m:sSubSup>
          <m:r>
            <m:rPr>
              <m:sty m:val="p"/>
            </m:rPr>
            <m:t>+</m:t>
          </m:r>
          <m:r>
            <m:t>γ</m:t>
          </m:r>
          <m:r>
            <m:rPr>
              <m:sty m:val="p"/>
            </m:rPr>
            <m:t>′</m:t>
          </m:r>
          <m:sSubSup>
            <m:e>
              <m:r>
                <m:rPr>
                  <m:sty m:val="b"/>
                </m:rPr>
                <m:t>X</m:t>
              </m:r>
            </m:e>
            <m:sub>
              <m:r>
                <m:t>t</m:t>
              </m:r>
              <m:r>
                <m:rPr>
                  <m:sty m:val="p"/>
                </m:rPr>
                <m:t>−</m:t>
              </m:r>
              <m:r>
                <m:t>s</m:t>
              </m:r>
            </m:sub>
            <m:sup>
              <m:r>
                <m:t>i</m:t>
              </m:r>
            </m:sup>
          </m:sSubSup>
          <m:r>
            <m:rPr>
              <m:sty m:val="p"/>
            </m:rPr>
            <m:t>+</m:t>
          </m:r>
          <m:sSup>
            <m:e>
              <m:r>
                <m:t>ϕ</m:t>
              </m:r>
            </m:e>
            <m:sup>
              <m:r>
                <m:t>i</m:t>
              </m:r>
            </m:sup>
          </m:sSup>
          <m:r>
            <m:rPr>
              <m:sty m:val="p"/>
            </m:rPr>
            <m:t>+</m:t>
          </m:r>
          <m:sSub>
            <m:e>
              <m:r>
                <m:t>τ</m:t>
              </m:r>
            </m:e>
            <m:sub>
              <m:r>
                <m:t>t</m:t>
              </m:r>
            </m:sub>
          </m:sSub>
          <m:r>
            <m:rPr>
              <m:sty m:val="p"/>
            </m:rPr>
            <m:t>+</m:t>
          </m:r>
          <m:sSubSup>
            <m:e>
              <m:r>
                <m:t>ε</m:t>
              </m:r>
            </m:e>
            <m:sub>
              <m:r>
                <m:t>t</m:t>
              </m:r>
            </m:sub>
            <m:sup>
              <m:r>
                <m:t>i</m:t>
              </m:r>
            </m:sup>
          </m:sSubSup>
          <m:r>
            <m:rPr>
              <m:sty m:val="p"/>
            </m:rPr>
            <m:t>.</m:t>
          </m:r>
        </m:oMath>
      </m:oMathPara>
    </w:p>
    <w:p>
      <w:pPr>
        <w:pStyle w:val="FirstParagraph"/>
      </w:pPr>
      <m:oMath>
        <m:r>
          <m:t>Δ</m:t>
        </m:r>
        <m:r>
          <m:t>L</m:t>
        </m:r>
        <m:r>
          <m:t>O</m:t>
        </m:r>
        <m:r>
          <m:t>A</m:t>
        </m:r>
        <m:sSubSup>
          <m:e>
            <m:r>
              <m:t>N</m:t>
            </m:r>
          </m:e>
          <m:sub>
            <m:r>
              <m:t>t</m:t>
            </m:r>
            <m:r>
              <m:rPr>
                <m:sty m:val="p"/>
              </m:rPr>
              <m:t>,</m:t>
            </m:r>
            <m:r>
              <m:t>t</m:t>
            </m:r>
            <m:r>
              <m:rPr>
                <m:sty m:val="p"/>
              </m:rPr>
              <m:t>−</m:t>
            </m:r>
            <m:r>
              <m:t>s</m:t>
            </m:r>
          </m:sub>
          <m:sup>
            <m:r>
              <m:t>i</m:t>
            </m:r>
          </m:sup>
        </m:sSubSup>
      </m:oMath>
      <w:r>
        <w:t xml:space="preserve"> </w:t>
      </w:r>
      <w:r>
        <w:t xml:space="preserve">is the log difference of lending between months</w:t>
      </w:r>
      <w:r>
        <w:t xml:space="preserve"> </w:t>
      </w:r>
      <m:oMath>
        <m:r>
          <m:t>t</m:t>
        </m:r>
      </m:oMath>
      <w:r>
        <w:t xml:space="preserve"> </w:t>
      </w:r>
      <w:r>
        <w:t xml:space="preserve">and</w:t>
      </w:r>
      <w:r>
        <w:t xml:space="preserve"> </w:t>
      </w:r>
      <m:oMath>
        <m:r>
          <m:t>t</m:t>
        </m:r>
        <m:r>
          <m:rPr>
            <m:sty m:val="p"/>
          </m:rPr>
          <m:t>−</m:t>
        </m:r>
        <m:r>
          <m:t>s</m:t>
        </m:r>
      </m:oMath>
      <w:r>
        <w:t xml:space="preserve"> </w:t>
      </w:r>
      <w:r>
        <w:t xml:space="preserve">for bank</w:t>
      </w:r>
      <w:r>
        <w:t xml:space="preserve"> </w:t>
      </w:r>
      <m:oMath>
        <m:r>
          <m:t>i</m:t>
        </m:r>
      </m:oMath>
      <w:r>
        <w:t xml:space="preserve">.</w:t>
      </w:r>
      <w:r>
        <w:t xml:space="preserve"> </w:t>
      </w:r>
      <m:oMath>
        <m:r>
          <m:t>Δ</m:t>
        </m:r>
        <m:r>
          <m:t>K</m:t>
        </m:r>
        <m:sSubSup>
          <m:e>
            <m:r>
              <m:t>R</m:t>
            </m:r>
          </m:e>
          <m:sub>
            <m:r>
              <m:t>t</m:t>
            </m:r>
            <m:r>
              <m:rPr>
                <m:sty m:val="p"/>
              </m:rPr>
              <m:t>,</m:t>
            </m:r>
            <m:r>
              <m:t>t</m:t>
            </m:r>
            <m:r>
              <m:rPr>
                <m:sty m:val="p"/>
              </m:rPr>
              <m:t>−</m:t>
            </m:r>
            <m:r>
              <m:t>1</m:t>
            </m:r>
          </m:sub>
          <m:sup>
            <m:r>
              <m:t>i</m:t>
            </m:r>
          </m:sup>
        </m:sSubSup>
      </m:oMath>
      <w:r>
        <w:t xml:space="preserve"> </w:t>
      </w:r>
      <w:r>
        <w:t xml:space="preserve">is the bank level change in the minimum capital requirement between months</w:t>
      </w:r>
      <w:r>
        <w:t xml:space="preserve"> </w:t>
      </w:r>
      <m:oMath>
        <m:r>
          <m:t>t</m:t>
        </m:r>
      </m:oMath>
      <w:r>
        <w:t xml:space="preserve"> </w:t>
      </w:r>
      <w:r>
        <w:t xml:space="preserve">and</w:t>
      </w:r>
      <w:r>
        <w:t xml:space="preserve"> </w:t>
      </w:r>
      <m:oMath>
        <m:r>
          <m:t>t</m:t>
        </m:r>
        <m:r>
          <m:rPr>
            <m:sty m:val="p"/>
          </m:rPr>
          <m:t>−</m:t>
        </m:r>
        <m:r>
          <m:t>1</m:t>
        </m:r>
      </m:oMath>
      <w:r>
        <w:t xml:space="preserve">, and similarly</w:t>
      </w:r>
      <w:r>
        <w:t xml:space="preserve"> </w:t>
      </w:r>
      <m:oMath>
        <m:r>
          <m:t>Δ</m:t>
        </m:r>
        <m:r>
          <m:t>K</m:t>
        </m:r>
        <m:sSubSup>
          <m:e>
            <m:r>
              <m:t>S</m:t>
            </m:r>
          </m:e>
          <m:sub>
            <m:r>
              <m:t>t</m:t>
            </m:r>
            <m:r>
              <m:rPr>
                <m:sty m:val="p"/>
              </m:rPr>
              <m:t>,</m:t>
            </m:r>
            <m:r>
              <m:t>t</m:t>
            </m:r>
            <m:r>
              <m:rPr>
                <m:sty m:val="p"/>
              </m:rPr>
              <m:t>−</m:t>
            </m:r>
            <m:r>
              <m:t>1</m:t>
            </m:r>
          </m:sub>
          <m:sup>
            <m:r>
              <m:t>i</m:t>
            </m:r>
          </m:sup>
        </m:sSubSup>
      </m:oMath>
      <w:r>
        <w:t xml:space="preserve"> </w:t>
      </w:r>
      <w:r>
        <w:t xml:space="preserve">is the change in the bank-level capital buffer between months</w:t>
      </w:r>
      <w:r>
        <w:t xml:space="preserve"> </w:t>
      </w:r>
      <m:oMath>
        <m:r>
          <m:t>t</m:t>
        </m:r>
      </m:oMath>
      <w:r>
        <w:t xml:space="preserve"> </w:t>
      </w:r>
      <w:r>
        <w:t xml:space="preserve">and</w:t>
      </w:r>
      <w:r>
        <w:t xml:space="preserve"> </w:t>
      </w:r>
      <m:oMath>
        <m:r>
          <m:t>t</m:t>
        </m:r>
        <m:r>
          <m:rPr>
            <m:sty m:val="p"/>
          </m:rPr>
          <m:t>−</m:t>
        </m:r>
        <m:r>
          <m:t>1</m:t>
        </m:r>
      </m:oMath>
      <w:r>
        <w:t xml:space="preserve">.</w:t>
      </w:r>
      <w:r>
        <w:t xml:space="preserve"> </w:t>
      </w:r>
      <m:oMath>
        <m:r>
          <m:t>Δ</m:t>
        </m:r>
        <m:r>
          <m:t>D</m:t>
        </m:r>
        <m:r>
          <m:t>e</m:t>
        </m:r>
        <m:r>
          <m:t>m</m:t>
        </m:r>
        <m:r>
          <m:t>a</m:t>
        </m:r>
        <m:r>
          <m:t>n</m:t>
        </m:r>
        <m:sSubSup>
          <m:e>
            <m:r>
              <m:t>d</m:t>
            </m:r>
          </m:e>
          <m:sub>
            <m:r>
              <m:t>t</m:t>
            </m:r>
            <m:r>
              <m:rPr>
                <m:sty m:val="p"/>
              </m:rPr>
              <m:t>,</m:t>
            </m:r>
            <m:r>
              <m:t>t</m:t>
            </m:r>
            <m:r>
              <m:rPr>
                <m:sty m:val="p"/>
              </m:rPr>
              <m:t>−</m:t>
            </m:r>
            <m:r>
              <m:t>1</m:t>
            </m:r>
          </m:sub>
          <m:sup>
            <m:r>
              <m:t>i</m:t>
            </m:r>
          </m:sup>
        </m:sSubSup>
      </m:oMath>
      <w:r>
        <w:t xml:space="preserve"> </w:t>
      </w:r>
      <w:r>
        <w:t xml:space="preserve">is the lending demand proxy represented by the bank-level change in the interest rate margin between months</w:t>
      </w:r>
      <w:r>
        <w:t xml:space="preserve"> </w:t>
      </w:r>
      <m:oMath>
        <m:r>
          <m:t>t</m:t>
        </m:r>
      </m:oMath>
      <w:r>
        <w:t xml:space="preserve"> </w:t>
      </w:r>
      <w:r>
        <w:t xml:space="preserve">and</w:t>
      </w:r>
      <w:r>
        <w:t xml:space="preserve"> </w:t>
      </w:r>
      <m:oMath>
        <m:r>
          <m:t>t</m:t>
        </m:r>
        <m:r>
          <m:rPr>
            <m:sty m:val="p"/>
          </m:rPr>
          <m:t>−</m:t>
        </m:r>
        <m:r>
          <m:t>1</m:t>
        </m:r>
      </m:oMath>
      <w:r>
        <w:t xml:space="preserve">.</w:t>
      </w:r>
      <w:r>
        <w:t xml:space="preserve"> </w:t>
      </w:r>
      <m:oMath>
        <m:sSubSup>
          <m:e>
            <m:r>
              <m:rPr>
                <m:sty m:val="b"/>
              </m:rPr>
              <m:t>X</m:t>
            </m:r>
          </m:e>
          <m:sub>
            <m:r>
              <m:t>t</m:t>
            </m:r>
            <m:r>
              <m:rPr>
                <m:sty m:val="p"/>
              </m:rPr>
              <m:t>−</m:t>
            </m:r>
            <m:r>
              <m:t>s</m:t>
            </m:r>
          </m:sub>
          <m:sup>
            <m:r>
              <m:t>i</m:t>
            </m:r>
          </m:sup>
        </m:sSubSup>
      </m:oMath>
      <w:r>
        <w:t xml:space="preserve"> </w:t>
      </w:r>
      <w:r>
        <w:t xml:space="preserve">is a bank level controls set at month</w:t>
      </w:r>
      <w:r>
        <w:t xml:space="preserve"> </w:t>
      </w:r>
      <m:oMath>
        <m:r>
          <m:t>t</m:t>
        </m:r>
        <m:r>
          <m:rPr>
            <m:sty m:val="p"/>
          </m:rPr>
          <m:t>−</m:t>
        </m:r>
        <m:r>
          <m:t>s</m:t>
        </m:r>
      </m:oMath>
      <w:r>
        <w:t xml:space="preserve">. Our choice of controls flows from</w:t>
      </w:r>
      <w:r>
        <w:t xml:space="preserve"> </w:t>
      </w:r>
      <w:r>
        <w:t xml:space="preserve">Fang</w:t>
      </w:r>
      <w:r>
        <w:t xml:space="preserve"> </w:t>
      </w:r>
      <w:r>
        <w:rPr>
          <w:iCs/>
          <w:i/>
        </w:rPr>
        <w:t xml:space="preserve">et al.</w:t>
      </w:r>
      <w:r>
        <w:t xml:space="preserve"> </w:t>
      </w:r>
      <w:r>
        <w:t xml:space="preserve">(2020)</w:t>
      </w:r>
      <w:r>
        <w:t xml:space="preserve">, which are at a bank-level return on assets, return on equity (profitability), and high liquid assets held (liquidity). The fixed effects (</w:t>
      </w:r>
      <m:oMath>
        <m:sSup>
          <m:e>
            <m:r>
              <m:t>ϕ</m:t>
            </m:r>
          </m:e>
          <m:sup>
            <m:r>
              <m:t>i</m:t>
            </m:r>
          </m:sup>
        </m:sSup>
      </m:oMath>
      <w:r>
        <w:t xml:space="preserve">) estimate other unobserved differences in bank characteristics. To account for other factors, such as changes in the macroeconomic environment, we employ time-fixed effects (</w:t>
      </w:r>
      <m:oMath>
        <m:sSub>
          <m:e>
            <m:r>
              <m:t>τ</m:t>
            </m:r>
          </m:e>
          <m:sub>
            <m:r>
              <m:t>t</m:t>
            </m:r>
          </m:sub>
        </m:sSub>
      </m:oMath>
      <w:r>
        <w:t xml:space="preserve">). In summary, we estimate this specification for each of the lending category with a panel of four banks between 2013 and 2019. As shown in</w:t>
      </w:r>
      <w:r>
        <w:t xml:space="preserve"> </w:t>
      </w:r>
      <w:hyperlink w:anchor="sec-results">
        <w:r>
          <w:rPr>
            <w:rStyle w:val="Hyperlink"/>
          </w:rPr>
          <w:t xml:space="preserve">Section 5</w:t>
        </w:r>
      </w:hyperlink>
      <w:r>
        <w:t xml:space="preserve"> </w:t>
      </w:r>
      <w:r>
        <w:t xml:space="preserve">this amounts to six regressions per estimation, that is, three regressions for households and non-financial corporations (unsecured credit, secured credit and mortgages), respectively.</w:t>
      </w:r>
      <w:r>
        <w:t xml:space="preserve"> </w:t>
      </w:r>
      <w:r>
        <w:t xml:space="preserve"> </w:t>
      </w:r>
    </w:p>
    <w:bookmarkEnd w:id="48"/>
    <w:bookmarkStart w:id="53" w:name="sec-results"/>
    <w:p>
      <w:pPr>
        <w:pStyle w:val="Heading1"/>
      </w:pPr>
      <w:r>
        <w:t xml:space="preserve">5. Results</w:t>
      </w:r>
    </w:p>
    <w:bookmarkStart w:id="51" w:name="main-results"/>
    <w:p>
      <w:pPr>
        <w:pStyle w:val="Heading2"/>
      </w:pPr>
      <w:r>
        <w:t xml:space="preserve">5.1 Main results</w:t>
      </w:r>
    </w:p>
    <w:p>
      <w:r>
        <w:br w:type="page"/>
      </w:r>
    </w:p>
    <w:bookmarkStart w:id="49" w:name="tbl-HH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31"/>
        <w:gridCol w:w="1231"/>
        <w:gridCol w:w="1169"/>
        <w:gridCol w:w="1169"/>
        <w:gridCol w:w="1222"/>
        <w:gridCol w:w="1222"/>
      </w:tblGrid>
      <w:tr>
        <w:trPr>
          <w:trHeight w:val="699" w:hRule="auto"/>
          <w:tblHeader/>
        </w:trPr>
        header 1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w:t>
            </w:r>
          </w:p>
        </w:tc>
      </w:tr>
      <w:tr>
        <w:trPr>
          <w:trHeight w:val="527" w:hRule="auto"/>
        </w:trPr>
        body 1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Household secured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 2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-0.1185</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-0.1941</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-0.3583</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0.3135</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0.0831</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(0.3021)</w:t>
            </w:r>
          </w:p>
        </w:tc>
      </w:tr>
      <w:tr>
        <w:trPr>
          <w:trHeight w:val="69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0.0281</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(0.1390)</w:t>
            </w:r>
          </w:p>
        </w:tc>
      </w:tr>
      <w:tr>
        <w:trPr>
          <w:trHeight w:val="69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0.0031</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(0.0052)</w:t>
            </w:r>
          </w:p>
        </w:tc>
      </w:tr>
      <w:tr>
        <w:trPr>
          <w:trHeight w:val="69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0.1810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(1.3242)</w:t>
            </w:r>
          </w:p>
        </w:tc>
      </w:tr>
      <w:tr>
        <w:trPr>
          <w:trHeight w:val="69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-0.0816</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(0.1170)</w:t>
            </w:r>
          </w:p>
        </w:tc>
      </w:tr>
      <w:tr>
        <w:trPr>
          <w:trHeight w:val="69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-0.0076</w:t>
            </w:r>
          </w:p>
        </w:tc>
      </w:tr>
      <w:tr>
        <w:trPr>
          <w:trHeight w:val="561" w:hRule="auto"/>
        </w:trPr>
        body13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(0.0068)</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(0.0085)</w:t>
            </w:r>
          </w:p>
        </w:tc>
      </w:tr>
      <w:tr>
        <w:trPr>
          <w:trHeight w:val="529" w:hRule="auto"/>
        </w:trPr>
        body14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365</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0.31</w:t>
            </w:r>
          </w:p>
        </w:tc>
      </w:tr>
      <w:tr>
        <w:trPr>
          <w:trHeight w:val="561" w:hRule="auto"/>
        </w:trPr>
        body16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0.35</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0.65</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0.18</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0.95</w:t>
            </w:r>
          </w:p>
        </w:tc>
      </w:tr>
      <w:tr>
        <w:trPr>
          <w:trHeight w:val="527" w:hRule="auto"/>
        </w:trPr>
        body17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Household unsecured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body18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0.3774</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0.1734</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-0.1726*</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0.6432**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0.1395</w:t>
            </w:r>
          </w:p>
        </w:tc>
      </w:tr>
      <w:tr>
        <w:trPr>
          <w:trHeight w:val="56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(0.2593)</w:t>
            </w:r>
          </w:p>
        </w:tc>
      </w:tr>
      <w:tr>
        <w:trPr>
          <w:trHeight w:val="69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-0.0490</w:t>
            </w:r>
          </w:p>
        </w:tc>
      </w:tr>
      <w:tr>
        <w:trPr>
          <w:trHeight w:val="56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(0.1597)</w:t>
            </w:r>
          </w:p>
        </w:tc>
      </w:tr>
      <w:tr>
        <w:trPr>
          <w:trHeight w:val="69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-0.0041</w:t>
            </w:r>
          </w:p>
        </w:tc>
      </w:tr>
      <w:tr>
        <w:trPr>
          <w:trHeight w:val="56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(0.0033)</w:t>
            </w:r>
          </w:p>
        </w:tc>
      </w:tr>
      <w:tr>
        <w:trPr>
          <w:trHeight w:val="69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0.6684</w:t>
            </w:r>
          </w:p>
        </w:tc>
      </w:tr>
      <w:tr>
        <w:trPr>
          <w:trHeight w:val="56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(1.2171)</w:t>
            </w:r>
          </w:p>
        </w:tc>
      </w:tr>
      <w:tr>
        <w:trPr>
          <w:trHeight w:val="69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-0.0709</w:t>
            </w:r>
          </w:p>
        </w:tc>
      </w:tr>
      <w:tr>
        <w:trPr>
          <w:trHeight w:val="56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(0.1011)</w:t>
            </w:r>
          </w:p>
        </w:tc>
      </w:tr>
      <w:tr>
        <w:trPr>
          <w:trHeight w:val="69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-0.0012</w:t>
            </w:r>
          </w:p>
        </w:tc>
      </w:tr>
      <w:tr>
        <w:trPr>
          <w:trHeight w:val="561" w:hRule="auto"/>
        </w:trPr>
        body29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(0.0070)</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(0.0074)</w:t>
            </w:r>
          </w:p>
        </w:tc>
      </w:tr>
      <w:tr>
        <w:trPr>
          <w:trHeight w:val="529" w:hRule="auto"/>
        </w:trPr>
        body30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364</w:t>
            </w:r>
          </w:p>
        </w:tc>
      </w:tr>
      <w:tr>
        <w:trPr>
          <w:trHeight w:val="55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0.37</w:t>
            </w:r>
          </w:p>
        </w:tc>
      </w:tr>
      <w:tr>
        <w:trPr>
          <w:trHeight w:val="561" w:hRule="auto"/>
        </w:trPr>
        body32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0.18</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0.19</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0.33</w:t>
            </w:r>
          </w:p>
        </w:tc>
      </w:tr>
      <w:tr>
        <w:trPr>
          <w:trHeight w:val="559" w:hRule="auto"/>
        </w:trPr>
        body33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Household mortgage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body34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0.2652***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0.2818**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0.2933**</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0.1843**</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0.1981**</w:t>
            </w:r>
          </w:p>
        </w:tc>
      </w:tr>
      <w:tr>
        <w:trPr>
          <w:trHeight w:val="56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(0.0853)</w:t>
            </w:r>
          </w:p>
        </w:tc>
      </w:tr>
      <w:tr>
        <w:trPr>
          <w:trHeight w:val="69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0.0216</w:t>
            </w:r>
          </w:p>
        </w:tc>
      </w:tr>
      <w:tr>
        <w:trPr>
          <w:trHeight w:val="56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(0.0185)</w:t>
            </w:r>
          </w:p>
        </w:tc>
      </w:tr>
      <w:tr>
        <w:trPr>
          <w:trHeight w:val="69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-0.0009</w:t>
            </w:r>
          </w:p>
        </w:tc>
      </w:tr>
      <w:tr>
        <w:trPr>
          <w:trHeight w:val="56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(0.0009)</w:t>
            </w:r>
          </w:p>
        </w:tc>
      </w:tr>
      <w:tr>
        <w:trPr>
          <w:trHeight w:val="699"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0.4625*</w:t>
            </w:r>
          </w:p>
        </w:tc>
      </w:tr>
      <w:tr>
        <w:trPr>
          <w:trHeight w:val="56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(0.2478)</w:t>
            </w:r>
          </w:p>
        </w:tc>
      </w:tr>
      <w:tr>
        <w:trPr>
          <w:trHeight w:val="699"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-0.0395**</w:t>
            </w:r>
          </w:p>
        </w:tc>
      </w:tr>
      <w:tr>
        <w:trPr>
          <w:trHeight w:val="56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(0.0190)</w:t>
            </w:r>
          </w:p>
        </w:tc>
      </w:tr>
      <w:tr>
        <w:trPr>
          <w:trHeight w:val="699"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0.0024</w:t>
            </w:r>
          </w:p>
        </w:tc>
      </w:tr>
      <w:tr>
        <w:trPr>
          <w:trHeight w:val="561" w:hRule="auto"/>
        </w:trPr>
        body45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(0.0020)</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(0.0022)</w:t>
            </w:r>
          </w:p>
        </w:tc>
      </w:tr>
      <w:tr>
        <w:trPr>
          <w:trHeight w:val="529" w:hRule="auto"/>
        </w:trPr>
        body46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364</w:t>
            </w:r>
          </w:p>
        </w:tc>
      </w:tr>
      <w:tr>
        <w:trPr>
          <w:trHeight w:val="559"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0.61</w:t>
            </w:r>
          </w:p>
        </w:tc>
      </w:tr>
      <w:tr>
        <w:trPr>
          <w:trHeight w:val="561" w:hRule="auto"/>
        </w:trPr>
        body48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0.04</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0.04</w:t>
            </w:r>
          </w:p>
        </w:tc>
      </w:tr>
      <w:tr>
        <w:trPr>
          <w:trHeight w:val="360" w:hRule="auto"/>
        </w:trPr>
        footer 1
        <w:tc>
          <w:tcPr>
            <w:gridSpan w:val="6"/>
            <w:tcBorders>
              <w:bottom w:val="single" w:sz="12" w:space="0" w:color="537380"/>
              <w:top w:val="single" w:sz="12" w:space="0" w:color="53738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Note: Household results. The depandant variables in loan growth at bank level at a monthly frequency, calculated as the log difference at t and t -1. All control variables are defined in Table 2. Standard errors are clustered at a bank level. All equations include both bank and monthly effects. A test for equality p-value of &lt; 0.1 is 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t>
            </w:r>
            NA
          </w:p>
        </w:tc>
      </w:tr>
    </w:tbl>
    <w:p>
      <w:pPr>
        <w:pStyle w:val="FirstParagraph"/>
      </w:pPr>
      <w:r>
        <w:rPr>
          <w:bCs/>
          <w:b/>
        </w:rPr>
        <w:t xml:space="preserve">?(caption)</w:t>
      </w:r>
    </w:p>
    <w:bookmarkEnd w:id="49"/>
    <w:p>
      <w:r>
        <w:br w:type="page"/>
      </w:r>
    </w:p>
    <w:bookmarkStart w:id="50" w:name="tbl-NFC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52"/>
        <w:gridCol w:w="1080"/>
        <w:gridCol w:w="1080"/>
        <w:gridCol w:w="1080"/>
        <w:gridCol w:w="1080"/>
        <w:gridCol w:w="1080"/>
      </w:tblGrid>
      <w:tr>
        <w:trPr>
          <w:trHeight w:val="699" w:hRule="auto"/>
          <w:tblHeader/>
        </w:trPr>
        header 1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w:t>
            </w:r>
          </w:p>
        </w:tc>
      </w:tr>
      <w:tr>
        <w:trPr>
          <w:trHeight w:val="559" w:hRule="auto"/>
        </w:trPr>
        body 1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Non-financial corporations secured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 2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-0.2343</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-0.2869</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-0.6262***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-0.4304</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-0.8876*</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(0.5286)</w:t>
            </w:r>
          </w:p>
        </w:tc>
      </w:tr>
      <w:tr>
        <w:trPr>
          <w:trHeight w:val="69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0.0884</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(0.1178)</w:t>
            </w:r>
          </w:p>
        </w:tc>
      </w:tr>
      <w:tr>
        <w:trPr>
          <w:trHeight w:val="69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0.0107***</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(0.0022)</w:t>
            </w:r>
          </w:p>
        </w:tc>
      </w:tr>
      <w:tr>
        <w:trPr>
          <w:trHeight w:val="69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0.4640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(1.0702)</w:t>
            </w:r>
          </w:p>
        </w:tc>
      </w:tr>
      <w:tr>
        <w:trPr>
          <w:trHeight w:val="69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-0.0556</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(0.0637)</w:t>
            </w:r>
          </w:p>
        </w:tc>
      </w:tr>
      <w:tr>
        <w:trPr>
          <w:trHeight w:val="69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-0.0174***</w:t>
            </w:r>
          </w:p>
        </w:tc>
      </w:tr>
      <w:tr>
        <w:trPr>
          <w:trHeight w:val="561" w:hRule="auto"/>
        </w:trPr>
        body13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(0.0028)</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(0.0022)</w:t>
            </w:r>
          </w:p>
        </w:tc>
      </w:tr>
      <w:tr>
        <w:trPr>
          <w:trHeight w:val="529" w:hRule="auto"/>
        </w:trPr>
        body14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364</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w:t>
            </w:r>
          </w:p>
        </w:tc>
      </w:tr>
      <w:tr>
        <w:trPr>
          <w:trHeight w:val="561" w:hRule="auto"/>
        </w:trPr>
        body16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0.22</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0.05</w:t>
            </w:r>
          </w:p>
        </w:tc>
      </w:tr>
      <w:tr>
        <w:trPr>
          <w:trHeight w:val="559" w:hRule="auto"/>
        </w:trPr>
        body17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Non-financial corporations unsecured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body18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1.2403</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1.0208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1.1655</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-0.2135</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0.0328</w:t>
            </w:r>
          </w:p>
        </w:tc>
      </w:tr>
      <w:tr>
        <w:trPr>
          <w:trHeight w:val="56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(1.4455)</w:t>
            </w:r>
          </w:p>
        </w:tc>
      </w:tr>
      <w:tr>
        <w:trPr>
          <w:trHeight w:val="69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-0.0703</w:t>
            </w:r>
          </w:p>
        </w:tc>
      </w:tr>
      <w:tr>
        <w:trPr>
          <w:trHeight w:val="56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(0.7184)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(0.6501)</w:t>
            </w:r>
          </w:p>
        </w:tc>
      </w:tr>
      <w:tr>
        <w:trPr>
          <w:trHeight w:val="69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0.0167***</w:t>
            </w:r>
          </w:p>
        </w:tc>
      </w:tr>
      <w:tr>
        <w:trPr>
          <w:trHeight w:val="56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(0.0050)</w:t>
            </w:r>
          </w:p>
        </w:tc>
      </w:tr>
      <w:tr>
        <w:trPr>
          <w:trHeight w:val="69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4.5737***</w:t>
            </w:r>
          </w:p>
        </w:tc>
      </w:tr>
      <w:tr>
        <w:trPr>
          <w:trHeight w:val="56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(1.3986)</w:t>
            </w:r>
          </w:p>
        </w:tc>
      </w:tr>
      <w:tr>
        <w:trPr>
          <w:trHeight w:val="69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-0.2190***</w:t>
            </w:r>
          </w:p>
        </w:tc>
      </w:tr>
      <w:tr>
        <w:trPr>
          <w:trHeight w:val="56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(0.0783)</w:t>
            </w:r>
          </w:p>
        </w:tc>
      </w:tr>
      <w:tr>
        <w:trPr>
          <w:trHeight w:val="69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-0.0385***</w:t>
            </w:r>
          </w:p>
        </w:tc>
      </w:tr>
      <w:tr>
        <w:trPr>
          <w:trHeight w:val="561" w:hRule="auto"/>
        </w:trPr>
        body29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(0.0086)</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(0.0101)</w:t>
            </w:r>
          </w:p>
        </w:tc>
      </w:tr>
      <w:tr>
        <w:trPr>
          <w:trHeight w:val="529" w:hRule="auto"/>
        </w:trPr>
        body30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364</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360</w:t>
            </w:r>
          </w:p>
        </w:tc>
      </w:tr>
      <w:tr>
        <w:trPr>
          <w:trHeight w:val="55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0.16</w:t>
            </w:r>
          </w:p>
        </w:tc>
      </w:tr>
      <w:tr>
        <w:trPr>
          <w:trHeight w:val="561" w:hRule="auto"/>
        </w:trPr>
        body32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0.47</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0.57</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0.50</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0.81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0.98</w:t>
            </w:r>
          </w:p>
        </w:tc>
      </w:tr>
      <w:tr>
        <w:trPr>
          <w:trHeight w:val="561" w:hRule="auto"/>
        </w:trPr>
        body33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Non-financial corporations mortgage credit model</w:t>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single" w:sz="12" w:space="0" w:color="53738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699" w:hRule="auto"/>
        </w:trPr>
        body34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-0.3059</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-0.6987**</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-0.6491*</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-0.5612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-0.5177</w:t>
            </w:r>
          </w:p>
        </w:tc>
      </w:tr>
      <w:tr>
        <w:trPr>
          <w:trHeight w:val="56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(0.3655)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(0.4246)</w:t>
            </w:r>
          </w:p>
        </w:tc>
      </w:tr>
      <w:tr>
        <w:trPr>
          <w:trHeight w:val="69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-0.4488***</w:t>
            </w:r>
          </w:p>
        </w:tc>
      </w:tr>
      <w:tr>
        <w:trPr>
          <w:trHeight w:val="56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(0.1470)</w:t>
            </w:r>
          </w:p>
        </w:tc>
      </w:tr>
      <w:tr>
        <w:trPr>
          <w:trHeight w:val="69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-0.0047***</w:t>
            </w:r>
          </w:p>
        </w:tc>
      </w:tr>
      <w:tr>
        <w:trPr>
          <w:trHeight w:val="56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(0.0011)</w:t>
            </w:r>
          </w:p>
        </w:tc>
      </w:tr>
      <w:tr>
        <w:trPr>
          <w:trHeight w:val="699"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1.3383</w:t>
            </w:r>
          </w:p>
        </w:tc>
      </w:tr>
      <w:tr>
        <w:trPr>
          <w:trHeight w:val="56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(2.1529)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(1.9310)</w:t>
            </w:r>
          </w:p>
        </w:tc>
      </w:tr>
      <w:tr>
        <w:trPr>
          <w:trHeight w:val="699"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-0.0846</w:t>
            </w:r>
          </w:p>
        </w:tc>
      </w:tr>
      <w:tr>
        <w:trPr>
          <w:trHeight w:val="56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(0.1285)</w:t>
            </w:r>
          </w:p>
        </w:tc>
      </w:tr>
      <w:tr>
        <w:trPr>
          <w:trHeight w:val="699"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0.0082</w:t>
            </w:r>
          </w:p>
        </w:tc>
      </w:tr>
      <w:tr>
        <w:trPr>
          <w:trHeight w:val="561" w:hRule="auto"/>
        </w:trPr>
        body45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(0.0075)</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(0.0075)</w:t>
            </w:r>
          </w:p>
        </w:tc>
      </w:tr>
      <w:tr>
        <w:trPr>
          <w:trHeight w:val="529" w:hRule="auto"/>
        </w:trPr>
        body46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Num.Obs.</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372</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368</w:t>
            </w:r>
          </w:p>
        </w:tc>
        <w:tc>
          <w:tcPr>
            <w:tcBorders>
              <w:bottom w:val="none" w:sz="0" w:space="0" w:color="000000"/>
              <w:top w:val="single" w:sz="12" w:space="0" w:color="53738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364</w:t>
            </w:r>
          </w:p>
        </w:tc>
      </w:tr>
      <w:tr>
        <w:trPr>
          <w:trHeight w:val="559"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Adj.R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0.14</w:t>
            </w:r>
          </w:p>
        </w:tc>
      </w:tr>
      <w:tr>
        <w:trPr>
          <w:trHeight w:val="561" w:hRule="auto"/>
        </w:trPr>
        body48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Test of equality (p-value)</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0.24</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0.02</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0.01</w:t>
            </w:r>
          </w:p>
        </w:tc>
        <w:tc>
          <w:tcPr>
            <w:tcBorders>
              <w:bottom w:val="single" w:sz="12" w:space="0" w:color="53738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0.02</w:t>
            </w:r>
          </w:p>
        </w:tc>
      </w:tr>
      <w:tr>
        <w:trPr>
          <w:trHeight w:val="360" w:hRule="auto"/>
        </w:trPr>
        footer 1
        <w:tc>
          <w:tcPr>
            <w:gridSpan w:val="6"/>
            <w:tcBorders>
              <w:bottom w:val="single" w:sz="12" w:space="0" w:color="537380"/>
              <w:top w:val="single" w:sz="12" w:space="0" w:color="53738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Note: Non-financial corporations results. The depandant variables in loan growth at bank level at a monthly frequency, calculated as the log difference at t and t -1. All control variables are defined in Table 2. Standard errors are clustered at a bank level. All equations include both bank and monthly effects. A test for equality p-value of &lt; 0.1 is 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t>
            </w:r>
            NA
          </w:p>
        </w:tc>
      </w:tr>
    </w:tbl>
    <w:p>
      <w:pPr>
        <w:pStyle w:val="BodyText"/>
      </w:pPr>
      <w:r>
        <w:rPr>
          <w:bCs/>
          <w:b/>
        </w:rPr>
        <w:t xml:space="preserve">?(caption)</w:t>
      </w:r>
    </w:p>
    <w:bookmarkEnd w:id="50"/>
    <w:bookmarkEnd w:id="51"/>
    <w:bookmarkStart w:id="52" w:name="discussion"/>
    <w:p>
      <w:pPr>
        <w:pStyle w:val="Heading2"/>
      </w:pPr>
      <w:r>
        <w:t xml:space="preserve">5.2 Discussion</w:t>
      </w:r>
    </w:p>
    <w:p>
      <w:r>
        <w:br w:type="page"/>
      </w:r>
    </w:p>
    <w:p>
      <w:r>
        <w:br w:type="page"/>
      </w:r>
    </w:p>
    <w:bookmarkEnd w:id="52"/>
    <w:bookmarkEnd w:id="53"/>
    <w:bookmarkStart w:id="54" w:name="sec-conclusion"/>
    <w:p>
      <w:pPr>
        <w:pStyle w:val="Heading1"/>
      </w:pPr>
      <w:r>
        <w:t xml:space="preserve">6. Conclusion</w:t>
      </w:r>
    </w:p>
    <w:p>
      <w:r>
        <w:br w:type="page"/>
      </w:r>
    </w:p>
    <w:p>
      <w:r>
        <w:br w:type="page"/>
      </w:r>
    </w:p>
    <w:bookmarkEnd w:id="54"/>
    <w:bookmarkStart w:id="69" w:name="appendix"/>
    <w:p>
      <w:pPr>
        <w:pStyle w:val="Heading1"/>
      </w:pPr>
      <w:r>
        <w:t xml:space="preserve">7. Appendix</w:t>
      </w:r>
    </w:p>
    <w:bookmarkStart w:id="57" w:name="theory-review"/>
    <w:p>
      <w:pPr>
        <w:pStyle w:val="Heading2"/>
      </w:pPr>
      <w:r>
        <w:t xml:space="preserve">7.1 Theory review</w:t>
      </w:r>
    </w:p>
    <w:p>
      <w:pPr>
        <w:pStyle w:val="FirstParagraph"/>
      </w:pPr>
      <w:r>
        <w:t xml:space="preserve">This appendix is a review of the theory of bank capital and bank lending. It identifies several key points relevant to the empirical investigation:</w:t>
      </w:r>
    </w:p>
    <w:bookmarkStart w:id="55" w:name="X407c4f94e1ffc17990d4fb4e97acaab36b61f91"/>
    <w:p>
      <w:pPr>
        <w:pStyle w:val="Heading3"/>
      </w:pPr>
      <w:r>
        <w:t xml:space="preserve">7.1.1 A conceptual framework drawing on corporate finance and banking theory</w:t>
      </w:r>
    </w:p>
    <w:p>
      <w:pPr>
        <w:pStyle w:val="FirstParagraph"/>
      </w:pPr>
      <w:r>
        <w:t xml:space="preserve">A large literature examines the impact of regulatory capital requirements on bank credit supply. To draw a consistent picture of the findings from this literature, it is helpful to review the mechanisms linking bank capital to credit supply, employing a conceptual framework based on standard corporate finance theory. In the complete markets setting of</w:t>
      </w:r>
      <w:r>
        <w:t xml:space="preserve"> </w:t>
      </w:r>
      <w:r>
        <w:t xml:space="preserve">Modigliani and Miller (1958)</w:t>
      </w:r>
      <w:r>
        <w:t xml:space="preserve"> </w:t>
      </w:r>
      <w:r>
        <w:t xml:space="preserve">the mix of equity and debt funding, and therefore also capital regulation, is irrelevant; but there are several reasons why the mix of funding will in practice impact on lending and other business decisions. Some of these reasons apply broadly to banks, non-bank financial intermediaries and non-financial corporates, while others are bank specific.</w:t>
      </w:r>
    </w:p>
    <w:p>
      <w:pPr>
        <w:pStyle w:val="BodyText"/>
      </w:pPr>
      <w:r>
        <w:t xml:space="preserve">The focus of what follows is on how capital structure and capital regulation impacts on the on the overall costs of bank funding and hence on the supply of bank credit; and in empirical estimation on distinguishing credit supply from the demand for credit:</w:t>
      </w:r>
    </w:p>
    <w:p>
      <w:pPr>
        <w:pStyle w:val="BodyText"/>
      </w:pPr>
      <m:oMathPara>
        <m:oMathParaPr>
          <m:jc m:val="center"/>
        </m:oMathParaPr>
        <m:oMath>
          <m:m>
            <m:mPr>
              <m:baseJc m:val="center"/>
              <m:plcHide m:val="1"/>
              <m:mcs>
                <m:mc>
                  <m:mcPr>
                    <m:mcJc m:val="right"/>
                    <m:count m:val="1"/>
                  </m:mcPr>
                </m:mc>
              </m:mcs>
            </m:mPr>
            <m:mr>
              <m:e>
                <m:sSup>
                  <m:e>
                    <m:r>
                      <m:t>L</m:t>
                    </m:r>
                  </m:e>
                  <m:sup>
                    <m:r>
                      <m:t>d</m:t>
                    </m:r>
                  </m:sup>
                </m:sSup>
                <m:r>
                  <m:rPr>
                    <m:sty m:val="p"/>
                  </m:rPr>
                  <m:t>=</m:t>
                </m:r>
                <m:sSub>
                  <m:e>
                    <m:r>
                      <m:t>α</m:t>
                    </m:r>
                  </m:e>
                  <m:sub>
                    <m:r>
                      <m:t>0</m:t>
                    </m:r>
                  </m:sub>
                </m:sSub>
                <m:r>
                  <m:rPr>
                    <m:sty m:val="p"/>
                  </m:rPr>
                  <m:t>+</m:t>
                </m:r>
                <m:sSub>
                  <m:e>
                    <m:r>
                      <m:t>α</m:t>
                    </m:r>
                  </m:e>
                  <m:sub>
                    <m:r>
                      <m:t>1</m:t>
                    </m:r>
                  </m:sub>
                </m:sSub>
                <m:sSup>
                  <m:e>
                    <m:r>
                      <m:t>r</m:t>
                    </m:r>
                  </m:e>
                  <m:sup>
                    <m:r>
                      <m:t>l</m:t>
                    </m:r>
                  </m:sup>
                </m:sSup>
                <m:r>
                  <m:rPr>
                    <m:sty m:val="p"/>
                  </m:rPr>
                  <m:t>+</m:t>
                </m:r>
                <m:sSub>
                  <m:e>
                    <m:r>
                      <m:t>α</m:t>
                    </m:r>
                  </m:e>
                  <m:sub>
                    <m:r>
                      <m:t>2</m:t>
                    </m:r>
                  </m:sub>
                </m:sSub>
                <m:r>
                  <m:t>y</m:t>
                </m:r>
                <m:r>
                  <m:rPr>
                    <m:sty m:val="p"/>
                  </m:rPr>
                  <m:t>+</m:t>
                </m:r>
                <m:r>
                  <m:t>μ</m:t>
                </m:r>
              </m:e>
            </m:mr>
            <m:mr>
              <m:e>
                <m:sSup>
                  <m:e>
                    <m:r>
                      <m:t>L</m:t>
                    </m:r>
                  </m:e>
                  <m:sup>
                    <m:r>
                      <m:t>s</m:t>
                    </m:r>
                  </m:sup>
                </m:sSup>
                <m:r>
                  <m:rPr>
                    <m:sty m:val="p"/>
                  </m:rPr>
                  <m:t>=</m:t>
                </m:r>
                <m:sSub>
                  <m:e>
                    <m:r>
                      <m:t>β</m:t>
                    </m:r>
                  </m:e>
                  <m:sub>
                    <m:r>
                      <m:t>0</m:t>
                    </m:r>
                  </m:sub>
                </m:sSub>
                <m:r>
                  <m:rPr>
                    <m:sty m:val="p"/>
                  </m:rPr>
                  <m:t>+</m:t>
                </m:r>
                <m:sSub>
                  <m:e>
                    <m:r>
                      <m:t>β</m:t>
                    </m:r>
                  </m:e>
                  <m:sub>
                    <m:r>
                      <m:t>1</m:t>
                    </m:r>
                  </m:sub>
                </m:sSub>
                <m:d>
                  <m:dPr>
                    <m:begChr m:val="("/>
                    <m:endChr m:val=")"/>
                    <m:sepChr m:val=""/>
                    <m:grow/>
                  </m:dPr>
                  <m:e>
                    <m:sSup>
                      <m:e>
                        <m:r>
                          <m:t>r</m:t>
                        </m:r>
                      </m:e>
                      <m:sup>
                        <m:r>
                          <m:t>l</m:t>
                        </m:r>
                      </m:sup>
                    </m:sSup>
                    <m:r>
                      <m:rPr>
                        <m:sty m:val="p"/>
                      </m:rPr>
                      <m:t>−</m:t>
                    </m:r>
                    <m:r>
                      <m:t>ω</m:t>
                    </m:r>
                  </m:e>
                </m:d>
                <m:r>
                  <m:rPr>
                    <m:sty m:val="p"/>
                  </m:rPr>
                  <m:t>+</m:t>
                </m:r>
                <m:r>
                  <m:t>ν</m:t>
                </m:r>
              </m:e>
            </m:mr>
          </m:m>
        </m:oMath>
      </m:oMathPara>
    </w:p>
    <w:p>
      <w:pPr>
        <w:pStyle w:val="FirstParagraph"/>
      </w:pPr>
      <w:r>
        <w:t xml:space="preserve">Where</w:t>
      </w:r>
      <w:r>
        <w:t xml:space="preserve"> </w:t>
      </w:r>
      <m:oMath>
        <m:r>
          <m:t>β</m:t>
        </m:r>
      </m:oMath>
      <w:r>
        <w:t xml:space="preserve"> </w:t>
      </w:r>
      <w:r>
        <w:t xml:space="preserve">represents the cost of bank funding and</w:t>
      </w:r>
      <w:r>
        <w:t xml:space="preserve"> </w:t>
      </w:r>
      <m:oMath>
        <m:r>
          <m:t>y</m:t>
        </m:r>
      </m:oMath>
      <w:r>
        <w:t xml:space="preserve"> </w:t>
      </w:r>
      <w:r>
        <w:t xml:space="preserve">represents factors such as income and expected income growth that affect the demand for bank credit.</w:t>
      </w:r>
    </w:p>
    <w:p>
      <w:pPr>
        <w:pStyle w:val="BodyText"/>
      </w:pPr>
      <w:r>
        <w:t xml:space="preserve">The composition of the bank balance sheet can be represented, schematically as:</w:t>
      </w:r>
    </w:p>
    <w:p>
      <w:pPr>
        <w:pStyle w:val="BodyText"/>
      </w:pPr>
      <w:r>
        <w:t xml:space="preserve">distinguishing different categories of loans (</w:t>
      </w:r>
      <m:oMath>
        <m:sSub>
          <m:e>
            <m:r>
              <m:t>L</m:t>
            </m:r>
          </m:e>
          <m:sub>
            <m:r>
              <m:t>1</m:t>
            </m:r>
          </m:sub>
        </m:sSub>
      </m:oMath>
      <w:r>
        <w:t xml:space="preserve">,</w:t>
      </w:r>
      <w:r>
        <w:t xml:space="preserve"> </w:t>
      </w:r>
      <m:oMath>
        <m:sSub>
          <m:e>
            <m:r>
              <m:t>L</m:t>
            </m:r>
          </m:e>
          <m:sub>
            <m:r>
              <m:t>2</m:t>
            </m:r>
          </m:sub>
        </m:sSub>
      </m:oMath>
      <w:r>
        <w:t xml:space="preserve">), security investments (</w:t>
      </w:r>
      <m:oMath>
        <m:r>
          <m:t>B</m:t>
        </m:r>
      </m:oMath>
      <w:r>
        <w:t xml:space="preserve">), core deposits (</w:t>
      </w:r>
      <m:oMath>
        <m:r>
          <m:t>D</m:t>
        </m:r>
      </m:oMath>
      <w:r>
        <w:t xml:space="preserve">), wholesale funding (</w:t>
      </w:r>
      <m:oMath>
        <m:r>
          <m:t>W</m:t>
        </m:r>
      </m:oMath>
      <w:r>
        <w:t xml:space="preserve">) and equity capital (</w:t>
      </w:r>
      <m:oMath>
        <m:r>
          <m:t>E</m:t>
        </m:r>
      </m:oMath>
      <w:r>
        <w:t xml:space="preserve">).</w:t>
      </w:r>
    </w:p>
    <w:p>
      <w:pPr>
        <w:pStyle w:val="BodyText"/>
      </w:pPr>
      <w:r>
        <w:t xml:space="preserve">Bank capitalisation</w:t>
      </w:r>
      <w:r>
        <w:t xml:space="preserve"> </w:t>
      </w:r>
      <m:oMath>
        <m:r>
          <m:t>c</m:t>
        </m:r>
      </m:oMath>
      <w:r>
        <w:t xml:space="preserve">, the buffer of capital</w:t>
      </w:r>
      <w:r>
        <w:t xml:space="preserve"> </w:t>
      </w:r>
      <m:oMath>
        <m:sSup>
          <m:e>
            <m:r>
              <m:t>c</m:t>
            </m:r>
          </m:e>
          <m:sup>
            <m:r>
              <m:t>b</m:t>
            </m:r>
          </m:sup>
        </m:sSup>
      </m:oMath>
      <w:r>
        <w:t xml:space="preserve"> </w:t>
      </w:r>
      <w:r>
        <w:t xml:space="preserve">above the minimum regulatory capital requirement, funding liquidity</w:t>
      </w:r>
      <w:r>
        <w:t xml:space="preserve"> </w:t>
      </w:r>
      <m:oMath>
        <m:r>
          <m:t>λ</m:t>
        </m:r>
      </m:oMath>
      <w:r>
        <w:t xml:space="preserve"> </w:t>
      </w:r>
      <w:r>
        <w:t xml:space="preserve">and the liquidity buffer above minimum regulatory liquidity ratio (the NSF</w:t>
      </w:r>
      <w:r>
        <w:t xml:space="preserve"> </w:t>
      </w:r>
      <m:oMath>
        <m:sSup>
          <m:e>
            <m:r>
              <m:t>λ</m:t>
            </m:r>
          </m:e>
          <m:sup>
            <m:r>
              <m:t>m</m:t>
            </m:r>
            <m:r>
              <m:t>i</m:t>
            </m:r>
            <m:r>
              <m:t>n</m:t>
            </m:r>
          </m:sup>
        </m:sSup>
      </m:oMath>
      <w:r>
        <w:t xml:space="preserve">) can then be represented (with risk weights</w:t>
      </w:r>
      <w:r>
        <w:t xml:space="preserve"> </w:t>
      </w:r>
      <m:oMath>
        <m:sSub>
          <m:e>
            <m:r>
              <m:t>w</m:t>
            </m:r>
          </m:e>
          <m:sub>
            <m:r>
              <m:t>1</m:t>
            </m:r>
          </m:sub>
        </m:sSub>
      </m:oMath>
      <w:r>
        <w:t xml:space="preserve">,</w:t>
      </w:r>
      <w:r>
        <w:t xml:space="preserve"> </w:t>
      </w:r>
      <m:oMath>
        <m:sSub>
          <m:e>
            <m:r>
              <m:t>w</m:t>
            </m:r>
          </m:e>
          <m:sub>
            <m:r>
              <m:t>2</m:t>
            </m:r>
          </m:sub>
        </m:sSub>
      </m:oMath>
      <w:r>
        <w:t xml:space="preserve">) as</w:t>
      </w:r>
    </w:p>
    <w:p>
      <w:pPr>
        <w:pStyle w:val="BodyText"/>
      </w:pPr>
      <m:oMathPara>
        <m:oMathParaPr>
          <m:jc m:val="center"/>
        </m:oMathParaPr>
        <m:oMath>
          <m:m>
            <m:mPr>
              <m:baseJc m:val="center"/>
              <m:plcHide m:val="1"/>
              <m:mcs>
                <m:mc>
                  <m:mcPr>
                    <m:mcJc m:val="right"/>
                    <m:count m:val="1"/>
                  </m:mcPr>
                </m:mc>
              </m:mcs>
            </m:mPr>
            <m:mr>
              <m:e>
                <m:r>
                  <m:t>c</m:t>
                </m:r>
                <m:r>
                  <m:rPr>
                    <m:sty m:val="p"/>
                  </m:rPr>
                  <m:t>=</m:t>
                </m:r>
                <m:r>
                  <m:t>E</m:t>
                </m:r>
                <m:r>
                  <m:rPr>
                    <m:sty m:val="p"/>
                  </m:rPr>
                  <m:t>/</m:t>
                </m:r>
                <m:d>
                  <m:dPr>
                    <m:begChr m:val="("/>
                    <m:endChr m:val=")"/>
                    <m:sepChr m:val=""/>
                    <m:grow/>
                  </m:dPr>
                  <m:e>
                    <m:sSub>
                      <m:e>
                        <m:r>
                          <m:t>w</m:t>
                        </m:r>
                      </m:e>
                      <m:sub>
                        <m:r>
                          <m:t>1</m:t>
                        </m:r>
                      </m:sub>
                    </m:sSub>
                    <m:sSub>
                      <m:e>
                        <m:r>
                          <m:t>L</m:t>
                        </m:r>
                      </m:e>
                      <m:sub>
                        <m:r>
                          <m:t>1</m:t>
                        </m:r>
                      </m:sub>
                    </m:sSub>
                    <m:r>
                      <m:rPr>
                        <m:sty m:val="p"/>
                      </m:rPr>
                      <m:t>+</m:t>
                    </m:r>
                    <m:sSub>
                      <m:e>
                        <m:r>
                          <m:t>w</m:t>
                        </m:r>
                      </m:e>
                      <m:sub>
                        <m:r>
                          <m:t>2</m:t>
                        </m:r>
                      </m:sub>
                    </m:sSub>
                    <m:sSub>
                      <m:e>
                        <m:r>
                          <m:t>L</m:t>
                        </m:r>
                      </m:e>
                      <m:sub>
                        <m:r>
                          <m:t>2</m:t>
                        </m:r>
                      </m:sub>
                    </m:sSub>
                  </m:e>
                </m:d>
              </m:e>
            </m:mr>
            <m:mr>
              <m:e>
                <m:sSup>
                  <m:e>
                    <m:r>
                      <m:t>c</m:t>
                    </m:r>
                  </m:e>
                  <m:sup>
                    <m:r>
                      <m:t>b</m:t>
                    </m:r>
                  </m:sup>
                </m:sSup>
                <m:r>
                  <m:rPr>
                    <m:sty m:val="p"/>
                  </m:rPr>
                  <m:t>=</m:t>
                </m:r>
                <m:r>
                  <m:t>c</m:t>
                </m:r>
                <m:r>
                  <m:rPr>
                    <m:sty m:val="p"/>
                  </m:rPr>
                  <m:t>−</m:t>
                </m:r>
                <m:sSup>
                  <m:e>
                    <m:r>
                      <m:t>c</m:t>
                    </m:r>
                  </m:e>
                  <m:sup>
                    <m:r>
                      <m:t>m</m:t>
                    </m:r>
                    <m:r>
                      <m:t>i</m:t>
                    </m:r>
                    <m:r>
                      <m:t>n</m:t>
                    </m:r>
                  </m:sup>
                </m:sSup>
              </m:e>
            </m:mr>
            <m:mr>
              <m:e>
                <m:r>
                  <m:t>λ</m:t>
                </m:r>
                <m:r>
                  <m:rPr>
                    <m:sty m:val="p"/>
                  </m:rPr>
                  <m:t>=</m:t>
                </m:r>
                <m:d>
                  <m:dPr>
                    <m:begChr m:val="("/>
                    <m:endChr m:val=")"/>
                    <m:sepChr m:val=""/>
                    <m:grow/>
                  </m:dPr>
                  <m:e>
                    <m:r>
                      <m:t>D</m:t>
                    </m:r>
                    <m:r>
                      <m:rPr>
                        <m:sty m:val="p"/>
                      </m:rPr>
                      <m:t>+</m:t>
                    </m:r>
                    <m:r>
                      <m:t>E</m:t>
                    </m:r>
                  </m:e>
                </m:d>
                <m:r>
                  <m:rPr>
                    <m:sty m:val="p"/>
                  </m:rPr>
                  <m:t>/</m:t>
                </m:r>
                <m:d>
                  <m:dPr>
                    <m:begChr m:val="("/>
                    <m:endChr m:val=")"/>
                    <m:sepChr m:val=""/>
                    <m:grow/>
                  </m:dPr>
                  <m:e>
                    <m:sSub>
                      <m:e>
                        <m:r>
                          <m:t>L</m:t>
                        </m:r>
                      </m:e>
                      <m:sub>
                        <m:r>
                          <m:t>1</m:t>
                        </m:r>
                      </m:sub>
                    </m:sSub>
                    <m:r>
                      <m:rPr>
                        <m:sty m:val="p"/>
                      </m:rPr>
                      <m:t>+</m:t>
                    </m:r>
                    <m:sSub>
                      <m:e>
                        <m:r>
                          <m:t>L</m:t>
                        </m:r>
                      </m:e>
                      <m:sub>
                        <m:r>
                          <m:t>2</m:t>
                        </m:r>
                      </m:sub>
                    </m:sSub>
                  </m:e>
                </m:d>
              </m:e>
            </m:mr>
            <m:mr>
              <m:e>
                <m:sSup>
                  <m:e>
                    <m:r>
                      <m:t>λ</m:t>
                    </m:r>
                  </m:e>
                  <m:sup>
                    <m:r>
                      <m:t>b</m:t>
                    </m:r>
                  </m:sup>
                </m:sSup>
                <m:r>
                  <m:rPr>
                    <m:sty m:val="p"/>
                  </m:rPr>
                  <m:t>=</m:t>
                </m:r>
                <m:r>
                  <m:t>λ</m:t>
                </m:r>
                <m:r>
                  <m:rPr>
                    <m:sty m:val="p"/>
                  </m:rPr>
                  <m:t>−</m:t>
                </m:r>
                <m:sSup>
                  <m:e>
                    <m:r>
                      <m:t>λ</m:t>
                    </m:r>
                  </m:e>
                  <m:sup>
                    <m:r>
                      <m:t>m</m:t>
                    </m:r>
                    <m:r>
                      <m:t>i</m:t>
                    </m:r>
                    <m:r>
                      <m:t>n</m:t>
                    </m:r>
                  </m:sup>
                </m:sSup>
              </m:e>
            </m:mr>
          </m:m>
        </m:oMath>
      </m:oMathPara>
    </w:p>
    <w:p>
      <w:pPr>
        <w:pStyle w:val="FirstParagraph"/>
      </w:pPr>
      <w:r>
        <w:t xml:space="preserve">For capital structure and capital regulation to have any impact at all: equity must be more expensive than debt funding, whether in the form of core deposits or in other forms of debt. If there are then also costs associated with renegotiation of debt obligations or any corporate restructuring following a default on debt obligations, then the expected frequency and hence costs of debt default costs will rise as leverage is increased</w:t>
      </w:r>
    </w:p>
    <w:p>
      <w:pPr>
        <w:pStyle w:val="BodyText"/>
      </w:pPr>
      <w:r>
        <w:t xml:space="preserve">This implies that there is a desired target or market driven level of capitalisation</w:t>
      </w:r>
      <w:r>
        <w:t xml:space="preserve"> </w:t>
      </w:r>
      <m:oMath>
        <m:sSup>
          <m:e>
            <m:r>
              <m:t>c</m:t>
            </m:r>
          </m:e>
          <m:sup>
            <m:r>
              <m:rPr>
                <m:sty m:val="p"/>
              </m:rPr>
              <m:t>*</m:t>
            </m:r>
          </m:sup>
        </m:sSup>
      </m:oMath>
      <w:r>
        <w:t xml:space="preserve"> </w:t>
      </w:r>
      <w:r>
        <w:t xml:space="preserve">at which the marginal benefit of higher capitalisation (reducing the expected frequency and hence cost of debt default) equals the marginal higher funding cost (the higher costs of equity relative to debt). Raising new capital and returning new capital to shareholders is, for tax and signalling reasons, costly. This further implies that capital cannot always be maintained at the desired level (</w:t>
      </w:r>
      <m:oMath>
        <m:r>
          <m:t>c</m:t>
        </m:r>
        <m:r>
          <m:rPr>
            <m:sty m:val="p"/>
          </m:rPr>
          <m:t>≠</m:t>
        </m:r>
        <m:sSup>
          <m:e>
            <m:r>
              <m:t>c</m:t>
            </m:r>
          </m:e>
          <m:sup>
            <m:r>
              <m:rPr>
                <m:sty m:val="p"/>
              </m:rPr>
              <m:t>*</m:t>
            </m:r>
          </m:sup>
        </m:sSup>
      </m:oMath>
      <w:r>
        <w:t xml:space="preserve">). Similarly changing the composition of debt finance, for example attracting additional core deposits, is also costly, so while we can expect a desired level of liquidity</w:t>
      </w:r>
      <w:r>
        <w:t xml:space="preserve"> </w:t>
      </w:r>
      <m:oMath>
        <m:sSup>
          <m:e>
            <m:r>
              <m:t>λ</m:t>
            </m:r>
          </m:e>
          <m:sup>
            <m:r>
              <m:rPr>
                <m:sty m:val="p"/>
              </m:rPr>
              <m:t>*</m:t>
            </m:r>
          </m:sup>
        </m:sSup>
      </m:oMath>
      <w:r>
        <w:t xml:space="preserve"> </w:t>
      </w:r>
      <w:r>
        <w:t xml:space="preserve">actual liquidity can depart from desired liquidity (</w:t>
      </w:r>
      <m:oMath>
        <m:r>
          <m:t>λ</m:t>
        </m:r>
        <m:r>
          <m:rPr>
            <m:sty m:val="p"/>
          </m:rPr>
          <m:t>≠</m:t>
        </m:r>
        <m:sSup>
          <m:e>
            <m:r>
              <m:t>λ</m:t>
            </m:r>
          </m:e>
          <m:sup>
            <m:r>
              <m:rPr>
                <m:sty m:val="p"/>
              </m:rPr>
              <m:t>*</m:t>
            </m:r>
          </m:sup>
        </m:sSup>
      </m:oMath>
      <w:r>
        <w:t xml:space="preserve">).</w:t>
      </w:r>
    </w:p>
    <w:p>
      <w:pPr>
        <w:pStyle w:val="BodyText"/>
      </w:pPr>
      <w:r>
        <w:t xml:space="preserve">A further factors determining the desired capital buffer is the</w:t>
      </w:r>
      <w:r>
        <w:t xml:space="preserve"> </w:t>
      </w:r>
      <w:r>
        <w:t xml:space="preserve">‘</w:t>
      </w:r>
      <w:r>
        <w:t xml:space="preserve">charter</w:t>
      </w:r>
      <w:r>
        <w:t xml:space="preserve">’</w:t>
      </w:r>
      <w:r>
        <w:t xml:space="preserve"> </w:t>
      </w:r>
      <w:r>
        <w:t xml:space="preserve">or</w:t>
      </w:r>
      <w:r>
        <w:t xml:space="preserve"> </w:t>
      </w:r>
      <w:r>
        <w:t xml:space="preserve">‘</w:t>
      </w:r>
      <w:r>
        <w:t xml:space="preserve">franchise</w:t>
      </w:r>
      <w:r>
        <w:t xml:space="preserve">’</w:t>
      </w:r>
      <w:r>
        <w:t xml:space="preserve"> </w:t>
      </w:r>
      <w:r>
        <w:t xml:space="preserve">value of an institution and the extent to which a bank can alter the balance of risk and returns on its balance sheet without outside stakeholders especially debt holders and regulators being aware. Charter value loosely represents the value of claims on future earnings lost in the event of a reorganisation following a breach of minimum levels of capital and liquidity that triggers a resolution and reorganisation of the liabilities with equity holders potentially losing their claims.</w:t>
      </w:r>
    </w:p>
    <w:p>
      <w:pPr>
        <w:pStyle w:val="BodyText"/>
      </w:pPr>
      <w:r>
        <w:t xml:space="preserve">The observation of risk taking is critical because of the possibility of</w:t>
      </w:r>
      <w:r>
        <w:t xml:space="preserve"> </w:t>
      </w:r>
      <w:r>
        <w:t xml:space="preserve">‘</w:t>
      </w:r>
      <w:r>
        <w:t xml:space="preserve">moral hazard</w:t>
      </w:r>
      <w:r>
        <w:t xml:space="preserve">’</w:t>
      </w:r>
      <w:r>
        <w:t xml:space="preserve">, that if an institution can take high risks without a corresponding increase in the costs of debt finance then it may be induced to take deliberately high levels of risks that create value through</w:t>
      </w:r>
      <w:r>
        <w:t xml:space="preserve"> </w:t>
      </w:r>
      <w:r>
        <w:t xml:space="preserve">‘</w:t>
      </w:r>
      <w:r>
        <w:t xml:space="preserve">risk shifting</w:t>
      </w:r>
      <w:r>
        <w:t xml:space="preserve">’</w:t>
      </w:r>
      <w:r>
        <w:t xml:space="preserve"> </w:t>
      </w:r>
      <w:r>
        <w:t xml:space="preserve">i.e. transferring the costs of risk and resulting resolution from equity to debt holders. One insight from theoretical modelling of bank capital buffers [for example;</w:t>
      </w:r>
      <w:r>
        <w:t xml:space="preserve"> </w:t>
      </w:r>
      <w:r>
        <w:t xml:space="preserve">Milne and Whalley (2002)</w:t>
      </w:r>
      <w:r>
        <w:t xml:space="preserve">] is that there are two potential qualitatively different solutions: one with a relatively high charter value, in which incentives for risk shifting are low and are dominated by the desire to preserve charter value, so there is as a result an</w:t>
      </w:r>
      <w:r>
        <w:t xml:space="preserve"> </w:t>
      </w:r>
      <w:r>
        <w:t xml:space="preserve">‘</w:t>
      </w:r>
      <w:r>
        <w:t xml:space="preserve">internal optimum</w:t>
      </w:r>
      <w:r>
        <w:t xml:space="preserve">’</w:t>
      </w:r>
      <w:r>
        <w:t xml:space="preserve"> </w:t>
      </w:r>
      <w:r>
        <w:t xml:space="preserve">with a high level of desired capital and relatively low levels of risk taking; the other with low charter value in which incentives for risk shifting dominate those for preservation of charter value, leading to a</w:t>
      </w:r>
      <w:r>
        <w:t xml:space="preserve"> </w:t>
      </w:r>
      <w:r>
        <w:t xml:space="preserve">‘</w:t>
      </w:r>
      <w:r>
        <w:t xml:space="preserve">corner solution</w:t>
      </w:r>
      <w:r>
        <w:t xml:space="preserve">’</w:t>
      </w:r>
      <w:r>
        <w:t xml:space="preserve"> </w:t>
      </w:r>
      <w:r>
        <w:t xml:space="preserve">in which capital buffers are maintained at very low levels and there are high levels of risk taking.</w:t>
      </w:r>
    </w:p>
    <w:p>
      <w:pPr>
        <w:pStyle w:val="BodyText"/>
      </w:pPr>
      <w:r>
        <w:t xml:space="preserve">The overall cost of funding (</w:t>
      </w:r>
      <m:oMath>
        <m:r>
          <m:t>ω</m:t>
        </m:r>
      </m:oMath>
      <w:r>
        <w:t xml:space="preserve">) will depend on the market rate of interest (</w:t>
      </w:r>
      <m:oMath>
        <m:r>
          <m:t>r</m:t>
        </m:r>
      </m:oMath>
      <w:r>
        <w:t xml:space="preserve">), the departure between actual and desired bank capital and actual and desired liquidity:</w:t>
      </w:r>
    </w:p>
    <w:p>
      <w:pPr>
        <w:pStyle w:val="BodyText"/>
      </w:pPr>
      <m:oMathPara>
        <m:oMathParaPr>
          <m:jc m:val="center"/>
        </m:oMathParaPr>
        <m:oMath>
          <m:r>
            <m:t>ω</m:t>
          </m:r>
          <m:r>
            <m:rPr>
              <m:sty m:val="p"/>
            </m:rPr>
            <m:t>=</m:t>
          </m:r>
          <m:r>
            <m:t>r</m:t>
          </m:r>
          <m:r>
            <m:rPr>
              <m:sty m:val="p"/>
            </m:rPr>
            <m:t>+</m:t>
          </m:r>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m:oMathPara>
    </w:p>
    <w:p>
      <w:pPr>
        <w:pStyle w:val="FirstParagraph"/>
      </w:pPr>
      <w:r>
        <w:t xml:space="preserve">The consequence is that, according to this basic theory, the impact of a change in capital on the supply of lending is non-linear. The function</w:t>
      </w:r>
      <w:r>
        <w:t xml:space="preserve"> </w:t>
      </w:r>
      <m:oMath>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w:r>
        <w:t xml:space="preserve"> </w:t>
      </w:r>
      <w:r>
        <w:t xml:space="preserve">falls to a minimum</w:t>
      </w:r>
      <w:r>
        <w:t xml:space="preserve"> </w:t>
      </w:r>
      <m:oMath>
        <m:r>
          <m:t>γ</m:t>
        </m:r>
      </m:oMath>
      <w:r>
        <w:t xml:space="preserve"> </w:t>
      </w:r>
      <w:r>
        <w:t xml:space="preserve">when</w:t>
      </w:r>
      <w:r>
        <w:t xml:space="preserve"> </w:t>
      </w:r>
      <m:oMath>
        <m:r>
          <m:t>c</m:t>
        </m:r>
        <m:r>
          <m:rPr>
            <m:sty m:val="p"/>
          </m:rPr>
          <m:t>≥</m:t>
        </m:r>
        <m:sSup>
          <m:e>
            <m:r>
              <m:t>c</m:t>
            </m:r>
          </m:e>
          <m:sup>
            <m:r>
              <m:rPr>
                <m:sty m:val="p"/>
              </m:rPr>
              <m:t>*</m:t>
            </m:r>
          </m:sup>
        </m:sSup>
      </m:oMath>
      <w:r>
        <w:t xml:space="preserve">,</w:t>
      </w:r>
      <w:r>
        <w:t xml:space="preserve"> </w:t>
      </w:r>
      <m:oMath>
        <m:r>
          <m:t>λ</m:t>
        </m:r>
        <m:r>
          <m:rPr>
            <m:sty m:val="p"/>
          </m:rPr>
          <m:t>≥</m:t>
        </m:r>
        <m:sSup>
          <m:e>
            <m:r>
              <m:t>λ</m:t>
            </m:r>
          </m:e>
          <m:sup>
            <m:r>
              <m:rPr>
                <m:sty m:val="p"/>
              </m:rPr>
              <m:t>*</m:t>
            </m:r>
          </m:sup>
        </m:sSup>
      </m:oMath>
      <w:r>
        <w:t xml:space="preserve"> </w:t>
      </w:r>
      <w:r>
        <w:t xml:space="preserve">at which point</w:t>
      </w:r>
      <w:r>
        <w:t xml:space="preserve"> </w:t>
      </w:r>
      <m:oMath>
        <m:r>
          <m:t>ω</m:t>
        </m:r>
        <m:r>
          <m:rPr>
            <m:sty m:val="p"/>
          </m:rPr>
          <m:t>=</m:t>
        </m:r>
        <m:r>
          <m:t>r</m:t>
        </m:r>
        <m:r>
          <m:rPr>
            <m:sty m:val="p"/>
          </m:rPr>
          <m:t>+</m:t>
        </m:r>
        <m:r>
          <m:t>γ</m:t>
        </m:r>
      </m:oMath>
      <w:r>
        <w:t xml:space="preserve"> </w:t>
      </w:r>
      <w:r>
        <w:t xml:space="preserve">(</w:t>
      </w:r>
      <m:oMath>
        <m:r>
          <m:t>γ</m:t>
        </m:r>
      </m:oMath>
      <w:r>
        <w:t xml:space="preserve"> </w:t>
      </w:r>
      <w:r>
        <w:t xml:space="preserve">reflecting bank specific operational and other costs); but when capital falls or liquidity fall short of the target levels (</w:t>
      </w:r>
      <m:oMath>
        <m:sSup>
          <m:e>
            <m:r>
              <m:t>c</m:t>
            </m:r>
          </m:e>
          <m:sup>
            <m:r>
              <m:rPr>
                <m:sty m:val="p"/>
              </m:rPr>
              <m:t>*</m:t>
            </m:r>
          </m:sup>
        </m:sSup>
      </m:oMath>
      <w:r>
        <w:t xml:space="preserve">,</w:t>
      </w:r>
      <w:r>
        <w:t xml:space="preserve"> </w:t>
      </w:r>
      <m:oMath>
        <m:sSup>
          <m:e>
            <m:r>
              <m:t>λ</m:t>
            </m:r>
          </m:e>
          <m:sup>
            <m:r>
              <m:rPr>
                <m:sty m:val="p"/>
              </m:rPr>
              <m:t>*</m:t>
            </m:r>
          </m:sup>
        </m:sSup>
      </m:oMath>
      <w:r>
        <w:t xml:space="preserve">) then costs of funding rise and</w:t>
      </w:r>
      <w:r>
        <w:t xml:space="preserve"> </w:t>
      </w:r>
      <m:oMath>
        <m:r>
          <m:t>ω</m:t>
        </m:r>
        <m:r>
          <m:rPr>
            <m:sty m:val="p"/>
          </m:rPr>
          <m:t>&gt;</m:t>
        </m:r>
        <m:r>
          <m:t>r</m:t>
        </m:r>
        <m:r>
          <m:rPr>
            <m:sty m:val="p"/>
          </m:rPr>
          <m:t>+</m:t>
        </m:r>
        <m:r>
          <m:t>γ</m:t>
        </m:r>
      </m:oMath>
      <w:r>
        <w:t xml:space="preserve">.</w:t>
      </w:r>
    </w:p>
    <w:p>
      <w:pPr>
        <w:pStyle w:val="BodyText"/>
      </w:pPr>
      <w:r>
        <w:t xml:space="preserve">The extent to which a shortfall of capital or liquidity increases the cost of funding</w:t>
      </w:r>
      <w:r>
        <w:t xml:space="preserve"> </w:t>
      </w:r>
      <m:oMath>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w:r>
        <w:t xml:space="preserve"> </w:t>
      </w:r>
      <w:r>
        <w:t xml:space="preserve">will depend on the probability of a breach of minimum levels of either capital or liquidity. When shortfall from desired levels are relatively small then the probability of a breach and impact on funding costs of a change in capital or liquidity are also relatively small; but when shortfall from desired levels are large small then the probability of a breach and impact on funding costs of any change in capital or liquidity are relatively large. Thus</w:t>
      </w:r>
      <w:r>
        <w:t xml:space="preserve"> </w:t>
      </w:r>
      <m:oMath>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w:r>
        <w:t xml:space="preserve"> </w:t>
      </w:r>
      <w:r>
        <w:t xml:space="preserve">is non-linear and we can expect the first and second derivatives to be signed as follows:</w:t>
      </w:r>
    </w:p>
    <w:p>
      <w:pPr>
        <w:pStyle w:val="BodyText"/>
      </w:pPr>
      <w:r>
        <w:t xml:space="preserve">These higher cost of funding (</w:t>
      </w:r>
      <m:oMath>
        <m:r>
          <m:t>ω</m:t>
        </m:r>
        <m:r>
          <m:rPr>
            <m:sty m:val="p"/>
          </m:rPr>
          <m:t>−</m:t>
        </m:r>
        <m:r>
          <m:t>r</m:t>
        </m:r>
        <m:r>
          <m:rPr>
            <m:sty m:val="p"/>
          </m:rPr>
          <m:t>=</m:t>
        </m:r>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r>
          <m:rPr>
            <m:sty m:val="p"/>
          </m:rPr>
          <m:t>&gt;</m:t>
        </m:r>
        <m:r>
          <m:t>γ</m:t>
        </m:r>
      </m:oMath>
      <w:r>
        <w:t xml:space="preserve">) arise because of the costs of altering capital and liquidity towards their desired or target levels. Again there is a trade-off: the further capital or liquidity falls below target the more balance sheet resources are allocated to increasing capital and liquidity and the less to the funding of lending. We can expect the expected rate of accumulation of capital and liquidity to be (approximately) proportional to the marginal costs of reduced capital or liquidity</w:t>
      </w:r>
    </w:p>
    <w:p>
      <w:pPr>
        <w:pStyle w:val="BodyText"/>
      </w:pPr>
      <m:oMathPara>
        <m:oMathParaPr>
          <m:jc m:val="center"/>
        </m:oMathParaPr>
        <m:oMath>
          <m:r>
            <m:t>c</m:t>
          </m:r>
          <m:r>
            <m:rPr>
              <m:sty m:val="p"/>
            </m:rPr>
            <m:t>∝</m:t>
          </m:r>
          <m:r>
            <m:rPr>
              <m:sty m:val="p"/>
            </m:rPr>
            <m:t>−</m:t>
          </m:r>
          <m:sSub>
            <m:e>
              <m:r>
                <m:t>f</m:t>
              </m:r>
            </m:e>
            <m:sub>
              <m:r>
                <m:t>c</m:t>
              </m:r>
            </m:sub>
          </m:sSub>
          <m:r>
            <m:t>λ</m:t>
          </m:r>
          <m:r>
            <m:rPr>
              <m:sty m:val="p"/>
            </m:rPr>
            <m:t>∝</m:t>
          </m:r>
          <m:r>
            <m:rPr>
              <m:sty m:val="p"/>
            </m:rPr>
            <m:t>−</m:t>
          </m:r>
          <m:sSub>
            <m:e>
              <m:r>
                <m:t>f</m:t>
              </m:r>
            </m:e>
            <m:sub>
              <m:r>
                <m:t>λ</m:t>
              </m:r>
            </m:sub>
          </m:sSub>
        </m:oMath>
      </m:oMathPara>
    </w:p>
    <w:p>
      <w:pPr>
        <w:pStyle w:val="FirstParagraph"/>
      </w:pPr>
      <w:r>
        <w:t xml:space="preserve">and (employing a somewhat loose notation) the dynamic evolution of funding costs, capital and liquidity can be summarised as:</w:t>
      </w:r>
    </w:p>
    <w:p>
      <w:pPr>
        <w:pStyle w:val="BodyText"/>
      </w:pPr>
      <w:r>
        <w:t xml:space="preserve">How are the costs of funding</w:t>
      </w:r>
      <w:r>
        <w:t xml:space="preserve"> </w:t>
      </w:r>
      <m:oMath>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w:r>
        <w:t xml:space="preserve"> </w:t>
      </w:r>
      <w:r>
        <w:t xml:space="preserve">impacted by minimum capital and liquidity requirements</w:t>
      </w:r>
      <w:r>
        <w:t xml:space="preserve"> </w:t>
      </w:r>
      <m:oMath>
        <m:sSup>
          <m:e>
            <m:r>
              <m:t>c</m:t>
            </m:r>
          </m:e>
          <m:sup>
            <m:r>
              <m:t>m</m:t>
            </m:r>
            <m:r>
              <m:t>i</m:t>
            </m:r>
            <m:r>
              <m:t>n</m:t>
            </m:r>
          </m:sup>
        </m:sSup>
      </m:oMath>
      <w:r>
        <w:t xml:space="preserve"> </w:t>
      </w:r>
      <w:r>
        <w:t xml:space="preserve">and</w:t>
      </w:r>
      <w:r>
        <w:t xml:space="preserve"> </w:t>
      </w:r>
      <m:oMath>
        <m:sSup>
          <m:e>
            <m:r>
              <m:t>λ</m:t>
            </m:r>
          </m:e>
          <m:sup>
            <m:r>
              <m:t>m</m:t>
            </m:r>
            <m:r>
              <m:t>i</m:t>
            </m:r>
            <m:r>
              <m:t>n</m:t>
            </m:r>
          </m:sup>
        </m:sSup>
      </m:oMath>
      <w:r>
        <w:t xml:space="preserve">. It is necessary to distinguish long term and short term impacts.</w:t>
      </w:r>
    </w:p>
    <w:p>
      <w:pPr>
        <w:pStyle w:val="BodyText"/>
      </w:pPr>
      <w:r>
        <w:t xml:space="preserve">Over the longer run the desired target of market level of capitalisation is increased but with a relatively small impacts on the cost of funding</w:t>
      </w:r>
      <w:r>
        <w:t xml:space="preserve"> </w:t>
      </w:r>
      <m:oMath>
        <m:r>
          <m:t>f</m:t>
        </m:r>
        <m:d>
          <m:dPr>
            <m:begChr m:val="("/>
            <m:endChr m:val=")"/>
            <m:sepChr m:val=""/>
            <m:grow/>
          </m:dPr>
          <m:e>
            <m:r>
              <m:t>c</m:t>
            </m:r>
            <m:r>
              <m:rPr>
                <m:sty m:val="p"/>
              </m:rPr>
              <m:t>−</m:t>
            </m:r>
            <m:sSup>
              <m:e>
                <m:r>
                  <m:t>c</m:t>
                </m:r>
              </m:e>
              <m:sup>
                <m:r>
                  <m:rPr>
                    <m:sty m:val="p"/>
                  </m:rPr>
                  <m:t>*</m:t>
                </m:r>
              </m:sup>
            </m:sSup>
            <m:r>
              <m:rPr>
                <m:sty m:val="p"/>
              </m:rPr>
              <m:t>,</m:t>
            </m:r>
            <m:r>
              <m:t>λ</m:t>
            </m:r>
            <m:r>
              <m:rPr>
                <m:sty m:val="p"/>
              </m:rPr>
              <m:t>−</m:t>
            </m:r>
            <m:sSup>
              <m:e>
                <m:r>
                  <m:t>λ</m:t>
                </m:r>
              </m:e>
              <m:sup>
                <m:r>
                  <m:rPr>
                    <m:sty m:val="p"/>
                  </m:rPr>
                  <m:t>*</m:t>
                </m:r>
              </m:sup>
            </m:sSup>
          </m:e>
        </m:d>
      </m:oMath>
      <w:r>
        <w:t xml:space="preserve"> </w:t>
      </w:r>
      <w:r>
        <w:t xml:space="preserve">and supply of credit. Standard corporate finance theory suggests, somewhat against the intuitions of banking practitioners, that regulatory capital and liquidity requirements will have only a minor long-run impact on the cost of bank funding and the supply of bank credit [for elaboration see;</w:t>
      </w:r>
      <w:r>
        <w:t xml:space="preserve"> </w:t>
      </w:r>
      <w:r>
        <w:t xml:space="preserve">Hellwig and Admati (2014)</w:t>
      </w:r>
      <w:r>
        <w:t xml:space="preserve">]. This is because the marginal benefits of higher leverage resulting from the separation of ownership and control and resulting agency costs of equity depend upon the threat of intervention and consequent loss of managerial control. A breach of regulatory minimum capital or liquidity requirements triggers intervention and disciplines management in much the same way as a default on debt payments. Therefore, the relevant leverage is that based on the buffer of excess capital or liquidity ratios over and above the required regulatory minima.</w:t>
      </w:r>
    </w:p>
    <w:p>
      <w:pPr>
        <w:pStyle w:val="BodyText"/>
      </w:pPr>
      <w:r>
        <w:t xml:space="preserve">If these buffers are independent of the regulatory minima i.e. if the desired capital and desired liquidity are determined by a fixed buffers</w:t>
      </w:r>
      <w:r>
        <w:t xml:space="preserve"> </w:t>
      </w:r>
      <m:oMath>
        <m:sSup>
          <m:e>
            <m:r>
              <m:t>c</m:t>
            </m:r>
          </m:e>
          <m:sup>
            <m:d>
              <m:dPr>
                <m:begChr m:val="("/>
                <m:endChr m:val=")"/>
                <m:sepChr m:val=""/>
                <m:grow/>
              </m:dPr>
              <m:e>
                <m:sSup>
                  <m:e>
                    <m:r>
                      <m:t>b</m:t>
                    </m:r>
                  </m:e>
                  <m:sup>
                    <m:r>
                      <m:rPr>
                        <m:sty m:val="p"/>
                      </m:rPr>
                      <m:t>*</m:t>
                    </m:r>
                  </m:sup>
                </m:sSup>
              </m:e>
            </m:d>
          </m:sup>
        </m:sSup>
      </m:oMath>
      <w:r>
        <w:t xml:space="preserve"> </w:t>
      </w:r>
      <w:r>
        <w:t xml:space="preserve">and</w:t>
      </w:r>
      <w:r>
        <w:t xml:space="preserve"> </w:t>
      </w:r>
      <m:oMath>
        <m:sSup>
          <m:e>
            <m:r>
              <m:t>λ</m:t>
            </m:r>
          </m:e>
          <m:sup>
            <m:d>
              <m:dPr>
                <m:begChr m:val="("/>
                <m:endChr m:val=")"/>
                <m:sepChr m:val=""/>
                <m:grow/>
              </m:dPr>
              <m:e>
                <m:sSup>
                  <m:e>
                    <m:r>
                      <m:t>b</m:t>
                    </m:r>
                  </m:e>
                  <m:sup>
                    <m:r>
                      <m:rPr>
                        <m:sty m:val="p"/>
                      </m:rPr>
                      <m:t>*</m:t>
                    </m:r>
                  </m:sup>
                </m:sSup>
              </m:e>
            </m:d>
          </m:sup>
        </m:sSup>
      </m:oMath>
      <w:r>
        <w:t xml:space="preserve"> </w:t>
      </w:r>
      <w:r>
        <w:t xml:space="preserve">independently of the regulatory minima</w:t>
      </w:r>
      <w:r>
        <w:t xml:space="preserve"> </w:t>
      </w:r>
      <m:oMath>
        <m:sSup>
          <m:e>
            <m:r>
              <m:t>c</m:t>
            </m:r>
          </m:e>
          <m:sup>
            <m:r>
              <m:t>m</m:t>
            </m:r>
            <m:r>
              <m:t>i</m:t>
            </m:r>
            <m:r>
              <m:t>n</m:t>
            </m:r>
          </m:sup>
        </m:sSup>
      </m:oMath>
      <w:r>
        <w:t xml:space="preserve"> </w:t>
      </w:r>
      <w:r>
        <w:t xml:space="preserve">and</w:t>
      </w:r>
      <w:r>
        <w:t xml:space="preserve"> </w:t>
      </w:r>
      <m:oMath>
        <m:sSup>
          <m:e>
            <m:r>
              <m:t>λ</m:t>
            </m:r>
          </m:e>
          <m:sup>
            <m:r>
              <m:t>m</m:t>
            </m:r>
            <m:r>
              <m:t>i</m:t>
            </m:r>
            <m:r>
              <m:t>n</m:t>
            </m:r>
          </m:sup>
        </m:sSup>
      </m:oMath>
      <w:r>
        <w:t xml:space="preserve"> </w:t>
      </w:r>
      <w:r>
        <w:t xml:space="preserve">so:</w:t>
      </w:r>
    </w:p>
    <w:p>
      <w:pPr>
        <w:pStyle w:val="BodyText"/>
      </w:pPr>
      <m:oMathPara>
        <m:oMathParaPr>
          <m:jc m:val="center"/>
        </m:oMathParaPr>
        <m:oMath>
          <m:m>
            <m:mPr>
              <m:baseJc m:val="center"/>
              <m:plcHide m:val="1"/>
              <m:mcs>
                <m:mc>
                  <m:mcPr>
                    <m:mcJc m:val="right"/>
                    <m:count m:val="1"/>
                  </m:mcPr>
                </m:mc>
              </m:mcs>
            </m:mPr>
            <m:mr>
              <m:e>
                <m:sSup>
                  <m:e>
                    <m:r>
                      <m:t>c</m:t>
                    </m:r>
                  </m:e>
                  <m:sup>
                    <m:r>
                      <m:rPr>
                        <m:sty m:val="p"/>
                      </m:rPr>
                      <m:t>*</m:t>
                    </m:r>
                  </m:sup>
                </m:sSup>
                <m:r>
                  <m:rPr>
                    <m:sty m:val="p"/>
                  </m:rPr>
                  <m:t>=</m:t>
                </m:r>
                <m:sSup>
                  <m:e>
                    <m:r>
                      <m:t>c</m:t>
                    </m:r>
                  </m:e>
                  <m:sup>
                    <m:d>
                      <m:dPr>
                        <m:begChr m:val="("/>
                        <m:endChr m:val=")"/>
                        <m:sepChr m:val=""/>
                        <m:grow/>
                      </m:dPr>
                      <m:e>
                        <m:sSup>
                          <m:e>
                            <m:r>
                              <m:t>b</m:t>
                            </m:r>
                          </m:e>
                          <m:sup>
                            <m:r>
                              <m:rPr>
                                <m:sty m:val="p"/>
                              </m:rPr>
                              <m:t>*</m:t>
                            </m:r>
                          </m:sup>
                        </m:sSup>
                      </m:e>
                    </m:d>
                  </m:sup>
                </m:sSup>
                <m:r>
                  <m:rPr>
                    <m:sty m:val="p"/>
                  </m:rPr>
                  <m:t>+</m:t>
                </m:r>
                <m:sSup>
                  <m:e>
                    <m:r>
                      <m:t>c</m:t>
                    </m:r>
                  </m:e>
                  <m:sup>
                    <m:r>
                      <m:t>m</m:t>
                    </m:r>
                    <m:r>
                      <m:t>i</m:t>
                    </m:r>
                    <m:r>
                      <m:t>n</m:t>
                    </m:r>
                  </m:sup>
                </m:sSup>
              </m:e>
            </m:mr>
            <m:mr>
              <m:e>
                <m:sSup>
                  <m:e>
                    <m:r>
                      <m:t>λ</m:t>
                    </m:r>
                  </m:e>
                  <m:sup>
                    <m:r>
                      <m:rPr>
                        <m:sty m:val="p"/>
                      </m:rPr>
                      <m:t>*</m:t>
                    </m:r>
                  </m:sup>
                </m:sSup>
                <m:r>
                  <m:rPr>
                    <m:sty m:val="p"/>
                  </m:rPr>
                  <m:t>=</m:t>
                </m:r>
                <m:sSup>
                  <m:e>
                    <m:r>
                      <m:t>λ</m:t>
                    </m:r>
                  </m:e>
                  <m:sup>
                    <m:d>
                      <m:dPr>
                        <m:begChr m:val="("/>
                        <m:endChr m:val=")"/>
                        <m:sepChr m:val=""/>
                        <m:grow/>
                      </m:dPr>
                      <m:e>
                        <m:sSup>
                          <m:e>
                            <m:r>
                              <m:t>b</m:t>
                            </m:r>
                          </m:e>
                          <m:sup>
                            <m:r>
                              <m:rPr>
                                <m:sty m:val="p"/>
                              </m:rPr>
                              <m:t>*</m:t>
                            </m:r>
                          </m:sup>
                        </m:sSup>
                      </m:e>
                    </m:d>
                  </m:sup>
                </m:sSup>
                <m:r>
                  <m:rPr>
                    <m:sty m:val="p"/>
                  </m:rPr>
                  <m:t>+</m:t>
                </m:r>
                <m:sSup>
                  <m:e>
                    <m:r>
                      <m:t>λ</m:t>
                    </m:r>
                  </m:e>
                  <m:sup>
                    <m:r>
                      <m:t>m</m:t>
                    </m:r>
                    <m:r>
                      <m:t>i</m:t>
                    </m:r>
                    <m:r>
                      <m:t>n</m:t>
                    </m:r>
                  </m:sup>
                </m:sSup>
              </m:e>
            </m:mr>
          </m:m>
        </m:oMath>
      </m:oMathPara>
    </w:p>
    <w:p>
      <w:pPr>
        <w:pStyle w:val="FirstParagraph"/>
      </w:pPr>
      <w:r>
        <w:t xml:space="preserve">Over the longer run, once balance sheets have fully adjusted,</w:t>
      </w:r>
      <w:r>
        <w:t xml:space="preserve"> </w:t>
      </w:r>
      <m:oMath>
        <m:r>
          <m:t>c</m:t>
        </m:r>
      </m:oMath>
      <w:r>
        <w:t xml:space="preserve"> </w:t>
      </w:r>
      <w:r>
        <w:t xml:space="preserve">and</w:t>
      </w:r>
      <w:r>
        <w:t xml:space="preserve"> </w:t>
      </w:r>
      <m:oMath>
        <m:r>
          <m:t>λ</m:t>
        </m:r>
      </m:oMath>
      <w:r>
        <w:t xml:space="preserve"> </w:t>
      </w:r>
      <w:r>
        <w:t xml:space="preserve">increase in line with</w:t>
      </w:r>
      <w:r>
        <w:t xml:space="preserve"> </w:t>
      </w:r>
      <m:oMath>
        <m:sSup>
          <m:e>
            <m:r>
              <m:t>c</m:t>
            </m:r>
          </m:e>
          <m:sup>
            <m:r>
              <m:rPr>
                <m:sty m:val="p"/>
              </m:rPr>
              <m:t>*</m:t>
            </m:r>
          </m:sup>
        </m:sSup>
      </m:oMath>
      <w:r>
        <w:t xml:space="preserve"> </w:t>
      </w:r>
      <w:r>
        <w:t xml:space="preserve">and</w:t>
      </w:r>
      <w:r>
        <w:t xml:space="preserve"> </w:t>
      </w:r>
      <m:oMath>
        <m:sSup>
          <m:e>
            <m:r>
              <m:t>λ</m:t>
            </m:r>
          </m:e>
          <m:sup>
            <m:r>
              <m:rPr>
                <m:sty m:val="p"/>
              </m:rPr>
              <m:t>*</m:t>
            </m:r>
          </m:sup>
        </m:sSup>
      </m:oMath>
      <w:r>
        <w:t xml:space="preserve"> </w:t>
      </w:r>
      <w:r>
        <w:t xml:space="preserve">and there is no impact on funding costs or credit supply.</w:t>
      </w:r>
    </w:p>
    <w:p>
      <w:pPr>
        <w:pStyle w:val="BodyText"/>
      </w:pPr>
      <w:r>
        <w:t xml:space="preserve">This is not the entire story, even over the long run. Taxation may increase costs of debt relative to equity and hence raise minimum funding costs</w:t>
      </w:r>
      <w:r>
        <w:t xml:space="preserve"> </w:t>
      </w:r>
      <m:oMath>
        <m:r>
          <m:t>γ</m:t>
        </m:r>
      </m:oMath>
      <w:r>
        <w:t xml:space="preserve">. On the other hand – in the event of a breach of minimum capital or liquidity requirements – resolution may be less costly, avoiding for example protracted legal disputes,. In this case the desired buffers</w:t>
      </w:r>
      <w:r>
        <w:t xml:space="preserve"> </w:t>
      </w:r>
      <m:oMath>
        <m:sSup>
          <m:e>
            <m:r>
              <m:t>c</m:t>
            </m:r>
          </m:e>
          <m:sup>
            <m:d>
              <m:dPr>
                <m:begChr m:val="("/>
                <m:endChr m:val=")"/>
                <m:sepChr m:val=""/>
                <m:grow/>
              </m:dPr>
              <m:e>
                <m:r>
                  <m:t>b</m:t>
                </m:r>
                <m:r>
                  <m:rPr>
                    <m:sty m:val="p"/>
                  </m:rPr>
                  <m:t>*</m:t>
                </m:r>
              </m:e>
            </m:d>
          </m:sup>
        </m:sSup>
      </m:oMath>
      <w:r>
        <w:t xml:space="preserve"> </w:t>
      </w:r>
      <w:r>
        <w:t xml:space="preserve">and minimum funding costs</w:t>
      </w:r>
      <w:r>
        <w:t xml:space="preserve"> </w:t>
      </w:r>
      <m:oMath>
        <m:r>
          <m:t>γ</m:t>
        </m:r>
      </m:oMath>
      <w:r>
        <w:t xml:space="preserve"> </w:t>
      </w:r>
      <w:r>
        <w:t xml:space="preserve">could be reduced by higher capital requirements. Thus both the sign and magnitude of the long run impact of minimimum capital requirements is an empirical question. Since many factors will influence funding costs over the long run it is these are likely to be difficult to quantify empirically.</w:t>
      </w:r>
    </w:p>
    <w:p>
      <w:pPr>
        <w:pStyle w:val="BodyText"/>
      </w:pPr>
      <w:r>
        <w:t xml:space="preserve">What the theory indicates is that these effects can be expected to be , second order impacts, relatively smaller than the short-term impact of changing capital requirements arising when either:</w:t>
      </w:r>
    </w:p>
    <w:p>
      <w:pPr>
        <w:pStyle w:val="BodyText"/>
      </w:pPr>
      <w:r>
        <w:t xml:space="preserve">leads to a fall in the buffers of capital and liquidity over their long run levels.</w:t>
      </w:r>
    </w:p>
    <w:p>
      <w:pPr>
        <w:pStyle w:val="BodyText"/>
      </w:pPr>
      <w:r>
        <w:t xml:space="preserve">For example, following an increase in regulatory capital requirements or an unexpectedly high level of loan loss provisions, a bank may find that its buffer of excess capital is below the level it desires and, in response, increase the margins on lending rates and limit lending capital is rebuilt.</w:t>
      </w:r>
    </w:p>
    <w:bookmarkEnd w:id="55"/>
    <w:bookmarkStart w:id="56" w:name="implications-for-empirical-modelling"/>
    <w:p>
      <w:pPr>
        <w:pStyle w:val="Heading3"/>
      </w:pPr>
      <w:r>
        <w:t xml:space="preserve">7.1.2 Implications for empirical modelling</w:t>
      </w:r>
    </w:p>
    <w:p>
      <w:pPr>
        <w:pStyle w:val="FirstParagraph"/>
      </w:pPr>
      <w:r>
        <w:t xml:space="preserve">This discussion of corporate finance and banking theory, leads to an insight that can be exploited empirically in estimating the impact of regulatory requirements on the supply of lending. The short term impact of an increase in required bank capital or liquidity will be quantitatively very similar to a decline in actual capital or liquidity resulting from earnings of balance sheet shocks. is useful because it allows conclusions about the impact of higher capital and liquidity requirements on the costs and volume of loans, from to be based on observations of the impact shocks to observed bank capital and liquidity due to market, credit or other risks.</w:t>
      </w:r>
    </w:p>
    <w:p>
      <w:pPr>
        <w:pStyle w:val="BodyText"/>
      </w:pPr>
      <w:r>
        <w:t xml:space="preserve">All this indicates that empirical modelling of the impact on regulatory requirements on capital and liquidity on the supply of bank lending is a challenging research task. This task is made even more challenging by variation in bank risk appetite and in the perception of loan and other asset risks, both cross-sectionally between banks and in time series cyclically. Some banks may have relatively conservative business models seeking to avoid substantial portfolio tail risk and doing all they can to avoid potential financial distress; other business models may involve much greater risk taking. These differences affect both desired capital buffers and the response to discrepancy between desired and actual capital. In periods of credit expansion banks across the industry may perceive risks of loss as relatively small and be unconcerned about low levels of capital buffers; while episodes of credit loss and especially systemic financial crisis may trigger perceptions of high levels risk and more cautious behaviour.</w:t>
      </w:r>
    </w:p>
    <w:p>
      <w:pPr>
        <w:pStyle w:val="BodyText"/>
      </w:pPr>
      <w:r>
        <w:t xml:space="preserve">Relatively high costs of bank equity arise for several reasons, most obviously agency costs arising from the separation of ownership and control in larger institutions: senior management are disciplined by greater leverage and the resulting greater impact of their decisions on returns to equity holders. Debt may also have relatively lower cost than equity for institutional reasons, for example tax deductibility or access to strong retail deposit franchises, reasons that are especially important in an environment of high nominal interest rates. Arguably short-term wholesale debt funding is also relatively less costly than long term debt or equity because it exerts a stronger disciplinary role on management</w:t>
      </w:r>
      <w:r>
        <w:t xml:space="preserve"> </w:t>
      </w:r>
      <w:r>
        <w:t xml:space="preserve">(Calomiris and Kahn, 1991)</w:t>
      </w:r>
      <w:r>
        <w:t xml:space="preserve">.</w:t>
      </w:r>
    </w:p>
    <w:p>
      <w:pPr>
        <w:pStyle w:val="BodyText"/>
      </w:pPr>
      <w:r>
        <w:t xml:space="preserve">Costs of debt renegotiation and corporate restructuring are more difficult to characterise, arising for several reasons including: (i) the legal and administrative costs of valuing assets and assessing liabilities; (ii) the loss of value associated with finding purchasers of illiquid assets in</w:t>
      </w:r>
      <w:r>
        <w:t xml:space="preserve"> </w:t>
      </w:r>
      <w:r>
        <w:t xml:space="preserve">‘</w:t>
      </w:r>
      <w:r>
        <w:t xml:space="preserve">fire sales</w:t>
      </w:r>
      <w:r>
        <w:t xml:space="preserve">’</w:t>
      </w:r>
      <w:r>
        <w:t xml:space="preserve"> </w:t>
      </w:r>
      <w:r>
        <w:t xml:space="preserve">and (iii) resolution of conflicting claims in debt renegotiation or corporate restructuring; (iv) the loss of value from not continuing future value creating operations or selling them at a discount, what is referred to in the banking context as loss of</w:t>
      </w:r>
      <w:r>
        <w:t xml:space="preserve"> </w:t>
      </w:r>
      <w:r>
        <w:t xml:space="preserve">‘</w:t>
      </w:r>
      <w:r>
        <w:t xml:space="preserve">charter</w:t>
      </w:r>
      <w:r>
        <w:t xml:space="preserve">’</w:t>
      </w:r>
      <w:r>
        <w:t xml:space="preserve"> </w:t>
      </w:r>
      <w:r>
        <w:t xml:space="preserve">or</w:t>
      </w:r>
      <w:r>
        <w:t xml:space="preserve"> </w:t>
      </w:r>
      <w:r>
        <w:t xml:space="preserve">‘</w:t>
      </w:r>
      <w:r>
        <w:t xml:space="preserve">franchise</w:t>
      </w:r>
      <w:r>
        <w:t xml:space="preserve">’</w:t>
      </w:r>
      <w:r>
        <w:t xml:space="preserve"> </w:t>
      </w:r>
      <w:r>
        <w:t xml:space="preserve">value. Offsetting these costs, creating value for equity and debt holders, is the possibility of</w:t>
      </w:r>
      <w:r>
        <w:t xml:space="preserve"> </w:t>
      </w:r>
      <w:r>
        <w:t xml:space="preserve">‘</w:t>
      </w:r>
      <w:r>
        <w:t xml:space="preserve">risk shifting</w:t>
      </w:r>
      <w:r>
        <w:t xml:space="preserve">’</w:t>
      </w:r>
      <w:r>
        <w:t xml:space="preserve"> </w:t>
      </w:r>
      <w:r>
        <w:t xml:space="preserve">i.e. transferring losses onto third parties, in particular through government backed bailouts or deposit insurance arrangements.</w:t>
      </w:r>
    </w:p>
    <w:p>
      <w:pPr>
        <w:pStyle w:val="BodyText"/>
      </w:pPr>
      <w:r>
        <w:t xml:space="preserve">A further factor magnifying the costs and reducing the supply of bank credit is opacity. As long as bank portfolio risks are understood by outside investors, then the marginal benefit of higher capitalisation depends only on the resulting reduction in the expected costs of debt renegotiation and corporate restructuring, not on the allocation of return on loans or other investment assets between debt and equity holders. Equity holders, in response to higher capitalisation, will require higher returns to compensate them for greater risk exposure, but this is offset by lower required returns for debt holders leaving overall funding costs unchanged. Opacity of risk imposes further costs on all outside investors, holders of both debt and of equity. If risks are better understood by bank management and employees than by outside investors, then these costs can in theory be reduced through sharing equity with employees and management i.e. giving them</w:t>
      </w:r>
      <w:r>
        <w:t xml:space="preserve"> </w:t>
      </w:r>
      <w:r>
        <w:t xml:space="preserve">‘</w:t>
      </w:r>
      <w:r>
        <w:t xml:space="preserve">skin in the game</w:t>
      </w:r>
      <w:r>
        <w:t xml:space="preserve">’</w:t>
      </w:r>
      <w:r>
        <w:t xml:space="preserve">, but the extent of such reductions are unclear. Opacity of risk is also a major reason why low income households and small businesses are excluded from access to credit. This implies that financial technologies can potentially reduce the opacity of bank credit portfolios and improve the supply of bank credit.</w:t>
      </w:r>
    </w:p>
    <w:p>
      <w:r>
        <w:br w:type="page"/>
      </w:r>
    </w:p>
    <w:bookmarkEnd w:id="56"/>
    <w:bookmarkEnd w:id="57"/>
    <w:bookmarkStart w:id="60" w:name="data"/>
    <w:p>
      <w:pPr>
        <w:pStyle w:val="Heading2"/>
      </w:pPr>
      <w:r>
        <w:t xml:space="preserve">7.2 Data</w:t>
      </w:r>
    </w:p>
    <w:bookmarkStart w:id="58" w:name="tbl-dat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9"/>
        <w:gridCol w:w="3798"/>
        <w:gridCol w:w="2250"/>
        <w:gridCol w:w="2277"/>
      </w:tblGrid>
      <w:tr>
        <w:trPr>
          <w:trHeight w:val="415" w:hRule="auto"/>
          <w:tblHeader/>
        </w:trPr>
        header1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Description</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Availability</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Source</w:t>
            </w:r>
          </w:p>
        </w:tc>
      </w:tr>
      <w:tr>
        <w:trPr>
          <w:trHeight w:val="415" w:hRule="auto"/>
        </w:trPr>
        body1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BA900</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Banking sector balance sheet data at a bank level</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data</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South African Reserve Bank</w:t>
            </w:r>
          </w:p>
        </w:tc>
      </w:tr>
      <w:tr>
        <w:trPr>
          <w:trHeight w:val="563" w:hRule="auto"/>
        </w:trPr>
        body2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BA930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Banking sector lending rates at a bank level</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Aggregated data is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 specific data is private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South African Reserve Bank</w:t>
            </w:r>
          </w:p>
        </w:tc>
      </w:tr>
      <w:tr>
        <w:trPr>
          <w:trHeight w:val="563" w:hRule="auto"/>
        </w:trPr>
        body3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Controls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Banking sector performance data at a bank level</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Aggregated data is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 specific data is private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Prudential Authority</w:t>
            </w:r>
          </w:p>
        </w:tc>
      </w:tr>
      <w:tr>
        <w:trPr>
          <w:trHeight w:val="563" w:hRule="auto"/>
        </w:trPr>
        body4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GDP</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Nominal gross domestic 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 a calendar year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data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Statistics South Africa</w:t>
            </w:r>
          </w:p>
        </w:tc>
      </w:tr>
      <w:tr>
        <w:trPr>
          <w:trHeight w:val="563" w:hRule="auto"/>
        </w:trPr>
        body5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BA700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Regulatory capital buffer requirements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Aggregated data is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Bank specific data is private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Prudential Authority</w:t>
            </w:r>
          </w:p>
        </w:tc>
      </w:tr>
      <w:tr>
        <w:trPr>
          <w:trHeight w:val="417" w:hRule="auto"/>
        </w:trPr>
        body6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 rate</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Policy rate of the South African Reserve Bank</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data</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South African Reserve Bank</w:t>
            </w:r>
          </w:p>
        </w:tc>
      </w:tr>
    </w:tbl>
    <w:p>
      <w:pPr>
        <w:pStyle w:val="FirstParagraph"/>
      </w:pPr>
      <w:r>
        <w:rPr>
          <w:bCs/>
          <w:b/>
        </w:rPr>
        <w:t xml:space="preserve">?(caption)</w:t>
      </w:r>
    </w:p>
    <w:bookmarkEnd w:id="58"/>
    <w:p>
      <w:r>
        <w:br w:type="page"/>
      </w:r>
    </w:p>
    <w:bookmarkStart w:id="59" w:name="tbl-data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7"/>
        <w:gridCol w:w="4275"/>
        <w:gridCol w:w="1062"/>
        <w:gridCol w:w="2568"/>
        <w:gridCol w:w="1751"/>
        <w:gridCol w:w="739"/>
      </w:tblGrid>
      <w:tr>
        <w:trPr>
          <w:trHeight w:val="359" w:hRule="auto"/>
          <w:tblHeader/>
        </w:trPr>
        header1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Variable Description</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Data Description</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Measure</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Cross-section</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Sample</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Frequency</w:t>
            </w:r>
          </w:p>
        </w:tc>
      </w:tr>
      <w:tr>
        <w:trPr>
          <w:trHeight w:val="727" w:hRule="auto"/>
        </w:trPr>
        body1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Loans by lending category and bank</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BA 900 data on bank level credit at a monthly frequency.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We have summarised to six lending categories: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Household secured credit, Household unsecured credit, Household residential mortgages,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Non financial sector secured credit, Non financial sector unsecured credit,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and Non financial sector mortgages as explain in Section 8.2.</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Rand</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Nedbank, First National Bank, Standard Bank, Absa</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2008 to November 2022</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r>
        <w:trPr>
          <w:trHeight w:val="641" w:hRule="auto"/>
        </w:trPr>
        body2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Lending rate by lending category and bank</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BA 930 data on bank level lending rates at a monthly frequency.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Lending rates are defined as the weighted average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by lending category. These were also summarised into the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same six lending categories as shown in Section 8.2.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Percent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Nedbank, First National Bank, Standard Bank, Absa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2012 to June 2022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r>
        <w:trPr>
          <w:trHeight w:val="453" w:hRule="auto"/>
        </w:trPr>
        body3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Capital buffer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Aggregate amount of qualifying capital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reserve funds less minimum required capital and reserve funds.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Percent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Nedbank, First National Bank, Standard Bank, Absa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2008 to September 2020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r>
        <w:trPr>
          <w:trHeight w:val="361" w:hRule="auto"/>
        </w:trPr>
        body4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Capital requirement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Basel III required level of capital as a percentage of risk-weighted assets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Percent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Nedbank, First National Bank, Standard Bank, Absa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2008 to September 2020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r>
        <w:trPr>
          <w:trHeight w:val="361" w:hRule="auto"/>
        </w:trPr>
        body5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Repo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South African Reserve Bank policy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Percent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2008 to February 2021</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r>
        <w:trPr>
          <w:trHeight w:val="361" w:hRule="auto"/>
        </w:trPr>
        body6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GDP</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Nominal gross domestic product.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Rand</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NA</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March 2008 to March 2022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Quartely</w:t>
            </w:r>
          </w:p>
        </w:tc>
      </w:tr>
      <w:tr>
        <w:trPr>
          <w:trHeight w:val="920" w:hRule="auto"/>
        </w:trPr>
        body7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Bank level perfomance metrics</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The following are bank perfomance metrics are include in the data: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total assets, gross loan advances, retained earnings,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net interest income (12 months), level one high-quality liquid assets required to be held,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average daily amount of level one high-quality liquid assets held up to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fourteenth business day of the month following the month to which this return relates,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aggregate risk weighted exposure, return on equity, return on assets,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total capital adequacy ratio, and leverage ratio.</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Rand and percent</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Nedbank, First National Bank, Standard Bank, Absa</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January 2008 to September 2022</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0"/>
                <w:szCs w:val="10"/>
                <w:color w:val="000000"/>
              </w:rPr>
              <w:t xml:space="preserve">Monthly</w:t>
            </w:r>
          </w:p>
        </w:tc>
      </w:tr>
    </w:tbl>
    <w:p>
      <w:pPr>
        <w:pStyle w:val="BodyText"/>
      </w:pPr>
      <w:r>
        <w:rPr>
          <w:bCs/>
          <w:b/>
        </w:rPr>
        <w:t xml:space="preserve">?(caption)</w:t>
      </w:r>
    </w:p>
    <w:bookmarkEnd w:id="59"/>
    <w:p>
      <w:r>
        <w:br w:type="page"/>
      </w:r>
    </w:p>
    <w:bookmarkEnd w:id="60"/>
    <w:bookmarkStart w:id="65" w:name="lending-rates-ba930s"/>
    <w:p>
      <w:pPr>
        <w:pStyle w:val="Heading2"/>
      </w:pPr>
      <w:r>
        <w:t xml:space="preserve">7.3 Lending rates (BA930s)</w:t>
      </w:r>
    </w:p>
    <w:tbl>
      <w:tblPr>
        <w:tblStyle w:val="Table"/>
        <w:tblW w:type="pct" w:w="5000"/>
        <w:tblLook w:firstRow="0" w:lastRow="0" w:firstColumn="0" w:lastColumn="0" w:noHBand="0" w:noVBand="0" w:val="0000"/>
        <w:jc w:val="start"/>
      </w:tblPr>
      <w:tblGrid>
        <w:gridCol w:w="7920"/>
      </w:tblGrid>
      <w:tr>
        <w:tc>
          <w:tcPr/>
          <w:bookmarkStart w:id="64" w:name="fig-lending"/>
          <w:p>
            <w:pPr>
              <w:jc w:val="center"/>
            </w:pPr>
            <w:r>
              <w:drawing>
                <wp:inline>
                  <wp:extent cx="5753100" cy="5753100"/>
                  <wp:effectExtent b="0" l="0" r="0" t="0"/>
                  <wp:docPr descr="" title="" id="62" name="Picture"/>
                  <a:graphic>
                    <a:graphicData uri="http://schemas.openxmlformats.org/drawingml/2006/picture">
                      <pic:pic>
                        <pic:nvPicPr>
                          <pic:cNvPr descr="bank_capital_and_bank_lending_files/figure-docx/fig-lending-1.png" id="63" name="Picture"/>
                          <pic:cNvPicPr>
                            <a:picLocks noChangeArrowheads="1" noChangeAspect="1"/>
                          </pic:cNvPicPr>
                        </pic:nvPicPr>
                        <pic:blipFill>
                          <a:blip r:embed="rId61"/>
                          <a:stretch>
                            <a:fillRect/>
                          </a:stretch>
                        </pic:blipFill>
                        <pic:spPr bwMode="auto">
                          <a:xfrm>
                            <a:off x="0" y="0"/>
                            <a:ext cx="5753100" cy="5753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Lending Rates. Source: South African Reserve Bank (2022)</w:t>
            </w:r>
          </w:p>
          <w:bookmarkEnd w:id="64"/>
        </w:tc>
      </w:tr>
    </w:tbl>
    <w:bookmarkEnd w:id="65"/>
    <w:bookmarkStart w:id="68" w:name="sec-aggregation"/>
    <w:p>
      <w:pPr>
        <w:pStyle w:val="Heading2"/>
      </w:pPr>
      <w:r>
        <w:t xml:space="preserve">7.4 Aggregation schema</w:t>
      </w:r>
    </w:p>
    <w:p>
      <w:pPr>
        <w:pStyle w:val="FirstParagraph"/>
      </w:pPr>
      <w:r>
        <w:t xml:space="preserve">The following tabulation is derived from the BA900s is the balance sheet return loan data (lines 103 to 277) and gives relative magnitudes by financial corporate sector, non-financial corporate sector and household sector. This is the most granular data provided. The missing item numbers are all aggregations of these numbers.</w:t>
      </w:r>
    </w:p>
    <w:bookmarkStart w:id="66" w:name="tbl-schem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3"/>
        <w:gridCol w:w="903"/>
        <w:gridCol w:w="4594"/>
        <w:gridCol w:w="1162"/>
      </w:tblGrid>
      <w:tr>
        <w:trPr>
          <w:trHeight w:val="561" w:hRule="auto"/>
          <w:tblHeader/>
        </w:trPr>
        header 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 900 Categories</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Item Number</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Sector</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Aggregation Key</w:t>
            </w:r>
          </w:p>
        </w:tc>
      </w:tr>
      <w:tr>
        <w:trPr>
          <w:trHeight w:val="557" w:hRule="auto"/>
        </w:trPr>
        body 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Installment sales</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141</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Financial corporate sector</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 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28" w:hRule="auto"/>
        </w:trPr>
        body 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29" w:hRule="auto"/>
        </w:trPr>
        body 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144</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59" w:hRule="auto"/>
        </w:trPr>
        body 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Leasing transactions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146</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 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147</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28" w:hRule="auto"/>
        </w:trPr>
        body 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29" w:hRule="auto"/>
        </w:trPr>
        body 8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149</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59" w:hRule="auto"/>
        </w:trPr>
        body 9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Farm mortgages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8" w:hRule="auto"/>
        </w:trPr>
        body10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9" w:hRule="auto"/>
        </w:trPr>
        body11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154</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59" w:hRule="auto"/>
        </w:trPr>
        body12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Residential mortgages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156</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8" w:hRule="auto"/>
        </w:trPr>
        body13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157</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w:t>
            </w:r>
          </w:p>
        </w:tc>
      </w:tr>
      <w:tr>
        <w:trPr>
          <w:trHeight w:val="529" w:hRule="auto"/>
        </w:trPr>
        body14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61" w:hRule="auto"/>
        </w:trPr>
        body15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Commercial and other mortgages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financial corporates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body16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161</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non-financial corporates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body17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Private financial corporate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body18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Private non-financial corporates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8" w:hRule="auto"/>
        </w:trPr>
        body19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164</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9" w:hRule="auto"/>
        </w:trPr>
        body20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57" w:hRule="auto"/>
        </w:trPr>
        body21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Credit cards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body22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28" w:hRule="auto"/>
        </w:trPr>
        body23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169</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29" w:hRule="auto"/>
        </w:trPr>
        body24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61" w:hRule="auto"/>
        </w:trPr>
        body25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Overdrafts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178</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Public sector (includes public corporations and local government)</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7" w:hRule="auto"/>
        </w:trPr>
        body26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181</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body27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57" w:hRule="auto"/>
        </w:trPr>
        body28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Unincorporated business enterprises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w:t>
            </w:r>
          </w:p>
        </w:tc>
      </w:tr>
      <w:tr>
        <w:trPr>
          <w:trHeight w:val="529" w:hRule="auto"/>
        </w:trPr>
        body29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184</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 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61" w:hRule="auto"/>
        </w:trPr>
        body30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185</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Non-profit organisations serving households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59" w:hRule="auto"/>
        </w:trPr>
        body31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Factoring debtors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187</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57" w:hRule="auto"/>
        </w:trPr>
        body32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 loans and advances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189</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59" w:hRule="auto"/>
        </w:trPr>
        body33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190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 financial corporate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57" w:hRule="auto"/>
        </w:trPr>
        body34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191</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Unincorporated business enterprises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w:t>
            </w:r>
          </w:p>
        </w:tc>
      </w:tr>
      <w:tr>
        <w:trPr>
          <w:trHeight w:val="529" w:hRule="auto"/>
        </w:trPr>
        body35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192</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 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61" w:hRule="auto"/>
        </w:trPr>
        body36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193</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Non-profit organisations serving households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411" w:hRule="auto"/>
        </w:trPr>
        body37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r>
    </w:tbl>
    <w:p>
      <w:pPr>
        <w:pStyle w:val="BodyText"/>
      </w:pPr>
      <w:r>
        <w:rPr>
          <w:bCs/>
          <w:b/>
        </w:rPr>
        <w:t xml:space="preserve">?(caption)</w:t>
      </w:r>
    </w:p>
    <w:bookmarkEnd w:id="66"/>
    <w:p>
      <w:pPr>
        <w:pStyle w:val="BodyText"/>
      </w:pPr>
      <w:r>
        <w:t xml:space="preserve">The following aggregation scheme which results in six categories was followed based on</w:t>
      </w:r>
      <w:r>
        <w:t xml:space="preserve"> </w:t>
      </w:r>
      <w:r>
        <w:rPr>
          <w:bCs/>
          <w:b/>
        </w:rPr>
        <w:t xml:space="preserve">?@tbl-scheme</w:t>
      </w:r>
      <w:r>
        <w:t xml:space="preserve">, with unincorporated enterprise credit as part of household unsecured lending.</w:t>
      </w:r>
    </w:p>
    <w:p>
      <w:pPr>
        <w:numPr>
          <w:ilvl w:val="0"/>
          <w:numId w:val="1001"/>
        </w:numPr>
        <w:pStyle w:val="Compact"/>
      </w:pPr>
      <w:r>
        <w:t xml:space="preserve">Non-financial corporate sector secured credit: Items 142 + 147</w:t>
      </w:r>
    </w:p>
    <w:p>
      <w:pPr>
        <w:numPr>
          <w:ilvl w:val="0"/>
          <w:numId w:val="1001"/>
        </w:numPr>
        <w:pStyle w:val="Compact"/>
      </w:pPr>
      <w:r>
        <w:t xml:space="preserve">Non-financial corporate sector unsecured credit: Items 168 + 182 + 187+ 190</w:t>
      </w:r>
    </w:p>
    <w:p>
      <w:pPr>
        <w:numPr>
          <w:ilvl w:val="0"/>
          <w:numId w:val="1001"/>
        </w:numPr>
        <w:pStyle w:val="Compact"/>
      </w:pPr>
      <w:r>
        <w:t xml:space="preserve">Non-financial corporate sector mortgages (commercial and other mortgage advances): Items 152 + 153 + 154 + 156 + 158 + 163 + 164 + 165</w:t>
      </w:r>
    </w:p>
    <w:p>
      <w:pPr>
        <w:numPr>
          <w:ilvl w:val="0"/>
          <w:numId w:val="1001"/>
        </w:numPr>
        <w:pStyle w:val="Compact"/>
      </w:pPr>
      <w:r>
        <w:t xml:space="preserve">Household sector secured credit: Items 143 + 148</w:t>
      </w:r>
      <w:r>
        <w:br/>
      </w:r>
    </w:p>
    <w:p>
      <w:pPr>
        <w:numPr>
          <w:ilvl w:val="0"/>
          <w:numId w:val="1001"/>
        </w:numPr>
        <w:pStyle w:val="Compact"/>
      </w:pPr>
      <w:r>
        <w:t xml:space="preserve">Household sector unsecured credit: Items 169 + 184 + 185 + 192 + 193 + 183 + 191 (note includes unincorporated business enterprise credit last two items)</w:t>
      </w:r>
    </w:p>
    <w:p>
      <w:pPr>
        <w:numPr>
          <w:ilvl w:val="0"/>
          <w:numId w:val="1001"/>
        </w:numPr>
        <w:pStyle w:val="Compact"/>
      </w:pPr>
      <w:r>
        <w:t xml:space="preserve">Household sector residential mortgages: Item 157</w:t>
      </w:r>
    </w:p>
    <w:p>
      <w:pPr>
        <w:pStyle w:val="FirstParagraph"/>
      </w:pPr>
      <w:r>
        <w:t xml:space="preserve">The loans quantities from the BA900s are then linked to the lending rate data from the BA930s using table to create six lending rate categories the schema on</w:t>
      </w:r>
      <w:r>
        <w:t xml:space="preserve"> </w:t>
      </w:r>
      <w:r>
        <w:rPr>
          <w:bCs/>
          <w:b/>
        </w:rPr>
        <w:t xml:space="preserve">?@tbl-scheme1</w:t>
      </w:r>
      <w:r>
        <w:t xml:space="preserve">.</w:t>
      </w:r>
    </w:p>
    <w:p>
      <w:r>
        <w:br w:type="page"/>
      </w:r>
    </w:p>
    <w:bookmarkStart w:id="67" w:name="tbl-scheme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3599"/>
        <w:gridCol w:w="1695"/>
        <w:gridCol w:w="1802"/>
      </w:tblGrid>
      <w:tr>
        <w:trPr>
          <w:trHeight w:val="561" w:hRule="auto"/>
          <w:tblHeader/>
        </w:trPr>
        header 1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Sector</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BA 930 Categories</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Item Number</w:t>
            </w:r>
          </w:p>
        </w:tc>
        <w:tc>
          <w:tcPr>
            <w:tcBorders>
              <w:bottom w:val="single" w:sz="12" w:space="0" w:color="537380"/>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Weighting Key</w:t>
            </w:r>
          </w:p>
        </w:tc>
      </w:tr>
      <w:tr>
        <w:trPr>
          <w:trHeight w:val="559" w:hRule="auto"/>
        </w:trPr>
        body 1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Corporate sector</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Overdrafts</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48.000</w:t>
            </w:r>
          </w:p>
        </w:tc>
        <w:tc>
          <w:tcPr>
            <w:tcBorders>
              <w:bottom w:val="single" w:sz="8" w:space="0" w:color="FFFFFF"/>
              <w:top w:val="single" w:sz="12" w:space="0" w:color="537380"/>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61" w:hRule="auto"/>
        </w:trPr>
        body 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Instalment sale agreements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49.000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29" w:hRule="auto"/>
        </w:trPr>
        body 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Instalment sale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61" w:hRule="auto"/>
        </w:trPr>
        body 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Leasing transactions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51.000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w:t>
            </w:r>
          </w:p>
        </w:tc>
      </w:tr>
      <w:tr>
        <w:trPr>
          <w:trHeight w:val="561" w:hRule="auto"/>
        </w:trPr>
        body 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Leasing transactions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61" w:hRule="auto"/>
        </w:trPr>
        body 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Mortgage advances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53.000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w:t>
            </w:r>
          </w:p>
        </w:tc>
      </w:tr>
      <w:tr>
        <w:trPr>
          <w:trHeight w:val="561" w:hRule="auto"/>
        </w:trPr>
        body 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Mortgage advances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54.000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29" w:hRule="auto"/>
        </w:trPr>
        body 8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Credit cards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55.000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9" w:hRule="auto"/>
        </w:trPr>
        body 9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w:t>
            </w:r>
          </w:p>
        </w:tc>
      </w:tr>
      <w:tr>
        <w:trPr>
          <w:trHeight w:val="529" w:hRule="auto"/>
        </w:trPr>
        body10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Household sector</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Overdrafts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58.000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w:t>
            </w:r>
          </w:p>
        </w:tc>
      </w:tr>
      <w:tr>
        <w:trPr>
          <w:trHeight w:val="561" w:hRule="auto"/>
        </w:trPr>
        body11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Instalment sale agreements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w:t>
            </w:r>
          </w:p>
        </w:tc>
      </w:tr>
      <w:tr>
        <w:trPr>
          <w:trHeight w:val="529" w:hRule="auto"/>
        </w:trPr>
        body12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Instalment sale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61" w:hRule="auto"/>
        </w:trPr>
        body13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Leasing transactions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w:t>
            </w:r>
          </w:p>
        </w:tc>
      </w:tr>
      <w:tr>
        <w:trPr>
          <w:trHeight w:val="561" w:hRule="auto"/>
        </w:trPr>
        body14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Leasing transactions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61" w:hRule="auto"/>
        </w:trPr>
        body15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Mortgage advances flexible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63.000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w:t>
            </w:r>
          </w:p>
        </w:tc>
      </w:tr>
      <w:tr>
        <w:trPr>
          <w:trHeight w:val="561" w:hRule="auto"/>
        </w:trPr>
        body16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Mortgage advances fixed rate</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t>
            </w:r>
          </w:p>
        </w:tc>
      </w:tr>
      <w:tr>
        <w:trPr>
          <w:trHeight w:val="529" w:hRule="auto"/>
        </w:trPr>
        body17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Credit cards</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65.000</w:t>
            </w:r>
          </w:p>
        </w:tc>
        <w:tc>
          <w:tcPr>
            <w:tcBorders>
              <w:bottom w:val="single" w:sz="8" w:space="0" w:color="FFFFFF"/>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w:t>
            </w:r>
          </w:p>
        </w:tc>
      </w:tr>
      <w:tr>
        <w:trPr>
          <w:trHeight w:val="529" w:hRule="auto"/>
        </w:trPr>
        body18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Other</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66.000</w:t>
            </w:r>
          </w:p>
        </w:tc>
        <w:tc>
          <w:tcPr>
            <w:tcBorders>
              <w:bottom w:val="single" w:sz="12" w:space="0" w:color="537380"/>
              <w:top w:val="single" w:sz="8" w:space="0" w:color="FFFFFF"/>
              <w:left w:val="single" w:sz="8" w:space="0" w:color="FFFFFF"/>
              <w:right w:val="single" w:sz="8"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w:t>
            </w:r>
          </w:p>
        </w:tc>
      </w:tr>
    </w:tbl>
    <w:p>
      <w:pPr>
        <w:pStyle w:val="BodyText"/>
      </w:pPr>
      <w:r>
        <w:rPr>
          <w:bCs/>
          <w:b/>
        </w:rPr>
        <w:t xml:space="preserve">?(caption)</w:t>
      </w:r>
    </w:p>
    <w:bookmarkEnd w:id="67"/>
    <w:p>
      <w:pPr>
        <w:pStyle w:val="BodyText"/>
      </w:pPr>
      <w:r>
        <w:t xml:space="preserve">The six categories, therefore, are as follows:</w:t>
      </w:r>
    </w:p>
    <w:p>
      <w:pPr>
        <w:numPr>
          <w:ilvl w:val="0"/>
          <w:numId w:val="1002"/>
        </w:numPr>
        <w:pStyle w:val="Compact"/>
      </w:pPr>
      <w:r>
        <w:t xml:space="preserve">Non-financial corporate sector secured credit rate: Weighted average of items 49 + 51</w:t>
      </w:r>
    </w:p>
    <w:p>
      <w:pPr>
        <w:numPr>
          <w:ilvl w:val="0"/>
          <w:numId w:val="1002"/>
        </w:numPr>
        <w:pStyle w:val="Compact"/>
      </w:pPr>
      <w:r>
        <w:t xml:space="preserve">Non-financial corporate sector unsecured credit rate: Weighted average items 48 + 55 + 56</w:t>
      </w:r>
    </w:p>
    <w:p>
      <w:pPr>
        <w:numPr>
          <w:ilvl w:val="0"/>
          <w:numId w:val="1002"/>
        </w:numPr>
        <w:pStyle w:val="Compact"/>
      </w:pPr>
      <w:r>
        <w:t xml:space="preserve">Non-financial corporate sector mortgage rate: Item 53</w:t>
      </w:r>
    </w:p>
    <w:p>
      <w:pPr>
        <w:numPr>
          <w:ilvl w:val="0"/>
          <w:numId w:val="1002"/>
        </w:numPr>
        <w:pStyle w:val="Compact"/>
      </w:pPr>
      <w:r>
        <w:t xml:space="preserve">Household sector secured credit rate: Weighted average of items 59 + 61</w:t>
      </w:r>
    </w:p>
    <w:p>
      <w:pPr>
        <w:numPr>
          <w:ilvl w:val="0"/>
          <w:numId w:val="1002"/>
        </w:numPr>
        <w:pStyle w:val="Compact"/>
      </w:pPr>
      <w:r>
        <w:t xml:space="preserve">Household sector unsecured credit rate: Weighted average of items 58 + 65 + 66</w:t>
      </w:r>
    </w:p>
    <w:p>
      <w:pPr>
        <w:numPr>
          <w:ilvl w:val="0"/>
          <w:numId w:val="1002"/>
        </w:numPr>
        <w:pStyle w:val="Compact"/>
      </w:pPr>
      <w:r>
        <w:t xml:space="preserve">Household sector residential mortgages: Item 63</w:t>
      </w:r>
    </w:p>
    <w:p>
      <w:r>
        <w:br w:type="page"/>
      </w:r>
    </w:p>
    <w:bookmarkEnd w:id="68"/>
    <w:bookmarkEnd w:id="69"/>
    <w:bookmarkStart w:id="96" w:name="references"/>
    <w:p>
      <w:pPr>
        <w:pStyle w:val="Heading1"/>
      </w:pPr>
      <w:r>
        <w:t xml:space="preserve">8. References</w:t>
      </w:r>
    </w:p>
    <w:bookmarkStart w:id="95" w:name="refs"/>
    <w:bookmarkStart w:id="70" w:name="ref-aiyar2014international"/>
    <w:p>
      <w:pPr>
        <w:pStyle w:val="Bibliography"/>
      </w:pPr>
      <w:r>
        <w:t xml:space="preserve">Aiyar, S., Calomiris, C. W., Hooley, J., Korniyenko, Y. and Wieladek, T. (2014).</w:t>
      </w:r>
      <w:r>
        <w:t xml:space="preserve"> </w:t>
      </w:r>
      <w:r>
        <w:t xml:space="preserve">‘The international transmission of bank capital requirements: Evidence from the UK’</w:t>
      </w:r>
      <w:r>
        <w:t xml:space="preserve">.</w:t>
      </w:r>
      <w:r>
        <w:t xml:space="preserve"> </w:t>
      </w:r>
      <w:r>
        <w:rPr>
          <w:iCs/>
          <w:i/>
        </w:rPr>
        <w:t xml:space="preserve">Journal of Financial Economics</w:t>
      </w:r>
      <w:r>
        <w:t xml:space="preserve">. Elsevier, 113 (3), pp. 368–382.</w:t>
      </w:r>
    </w:p>
    <w:bookmarkEnd w:id="70"/>
    <w:bookmarkStart w:id="71" w:name="ref-aiyar2016does"/>
    <w:p>
      <w:pPr>
        <w:pStyle w:val="Bibliography"/>
      </w:pPr>
      <w:r>
        <w:t xml:space="preserve">Aiyar, S., Calomiris, C. W. and Wieladek, T. (2016).</w:t>
      </w:r>
      <w:r>
        <w:t xml:space="preserve"> </w:t>
      </w:r>
      <w:r>
        <w:t xml:space="preserve">‘How does credit supply respond to monetary policy and bank minimum capital requirements?’</w:t>
      </w:r>
      <w:r>
        <w:t xml:space="preserve"> </w:t>
      </w:r>
      <w:r>
        <w:rPr>
          <w:iCs/>
          <w:i/>
        </w:rPr>
        <w:t xml:space="preserve">European Economic Review</w:t>
      </w:r>
      <w:r>
        <w:t xml:space="preserve">. Elsevier, 82, pp. 142–165.</w:t>
      </w:r>
    </w:p>
    <w:bookmarkEnd w:id="71"/>
    <w:bookmarkStart w:id="72" w:name="ref-ateba2019strategic"/>
    <w:p>
      <w:pPr>
        <w:pStyle w:val="Bibliography"/>
      </w:pPr>
      <w:r>
        <w:t xml:space="preserve">Ateba, B. B. and Prinsloo, J. J. (2019).</w:t>
      </w:r>
      <w:r>
        <w:t xml:space="preserve"> </w:t>
      </w:r>
      <w:r>
        <w:t xml:space="preserve">‘Strategic management for electricity supply sustainability in south africa’</w:t>
      </w:r>
      <w:r>
        <w:t xml:space="preserve">.</w:t>
      </w:r>
      <w:r>
        <w:t xml:space="preserve"> </w:t>
      </w:r>
      <w:r>
        <w:rPr>
          <w:iCs/>
          <w:i/>
        </w:rPr>
        <w:t xml:space="preserve">Utilities Policy</w:t>
      </w:r>
      <w:r>
        <w:t xml:space="preserve">. Elsevier, 56, pp. 92–103.</w:t>
      </w:r>
    </w:p>
    <w:bookmarkEnd w:id="72"/>
    <w:bookmarkStart w:id="73" w:name="ref-berger1994lines"/>
    <w:p>
      <w:pPr>
        <w:pStyle w:val="Bibliography"/>
      </w:pPr>
      <w:r>
        <w:t xml:space="preserve">Berger, A. N. and Udell, G. F. (1994).</w:t>
      </w:r>
      <w:r>
        <w:t xml:space="preserve"> </w:t>
      </w:r>
      <w:r>
        <w:t xml:space="preserve">‘Lines of credit and relationship lending in small firm finance’</w:t>
      </w:r>
      <w:r>
        <w:t xml:space="preserve">.</w:t>
      </w:r>
      <w:r>
        <w:t xml:space="preserve"> </w:t>
      </w:r>
      <w:r>
        <w:rPr>
          <w:iCs/>
          <w:i/>
        </w:rPr>
        <w:t xml:space="preserve">Jerome Levy Economics Institute Working Paper</w:t>
      </w:r>
      <w:r>
        <w:t xml:space="preserve">, (113).</w:t>
      </w:r>
    </w:p>
    <w:bookmarkEnd w:id="73"/>
    <w:bookmarkStart w:id="74" w:name="ref-berrospide2010effects"/>
    <w:p>
      <w:pPr>
        <w:pStyle w:val="Bibliography"/>
      </w:pPr>
      <w:r>
        <w:t xml:space="preserve">Berrospide, J. M. and Edge, R. M. (2010).</w:t>
      </w:r>
      <w:r>
        <w:t xml:space="preserve"> </w:t>
      </w:r>
      <w:r>
        <w:t xml:space="preserve">‘The effects of bank capital on lending: What do we know, and what does it mean?’</w:t>
      </w:r>
      <w:r>
        <w:t xml:space="preserve"> CAMA Working Paper Series 26/2010.</w:t>
      </w:r>
    </w:p>
    <w:bookmarkEnd w:id="74"/>
    <w:bookmarkStart w:id="75" w:name="ref-calomiris1991role"/>
    <w:p>
      <w:pPr>
        <w:pStyle w:val="Bibliography"/>
      </w:pPr>
      <w:r>
        <w:t xml:space="preserve">Calomiris, C. W. and Kahn, C. M. (1991).</w:t>
      </w:r>
      <w:r>
        <w:t xml:space="preserve"> </w:t>
      </w:r>
      <w:r>
        <w:t xml:space="preserve">‘The role of demandable debt in structuring optimal banking arrangements’</w:t>
      </w:r>
      <w:r>
        <w:t xml:space="preserve">.</w:t>
      </w:r>
      <w:r>
        <w:t xml:space="preserve"> </w:t>
      </w:r>
      <w:r>
        <w:rPr>
          <w:iCs/>
          <w:i/>
        </w:rPr>
        <w:t xml:space="preserve">The American Economic Review</w:t>
      </w:r>
      <w:r>
        <w:t xml:space="preserve">. JSTOR, pp. 497–513.</w:t>
      </w:r>
    </w:p>
    <w:bookmarkEnd w:id="75"/>
    <w:bookmarkStart w:id="76" w:name="ref-calomiris2003fundamentals"/>
    <w:p>
      <w:pPr>
        <w:pStyle w:val="Bibliography"/>
      </w:pPr>
      <w:r>
        <w:t xml:space="preserve">Calomiris, C. W. and Mason, J. R. (2003).</w:t>
      </w:r>
      <w:r>
        <w:t xml:space="preserve"> </w:t>
      </w:r>
      <w:r>
        <w:t xml:space="preserve">‘Fundamentals, panics, and bank distress during the depression’</w:t>
      </w:r>
      <w:r>
        <w:t xml:space="preserve">.</w:t>
      </w:r>
      <w:r>
        <w:t xml:space="preserve"> </w:t>
      </w:r>
      <w:r>
        <w:rPr>
          <w:iCs/>
          <w:i/>
        </w:rPr>
        <w:t xml:space="preserve">American Economic Review</w:t>
      </w:r>
      <w:r>
        <w:t xml:space="preserve">, 93 (5), pp. 1615–1647.</w:t>
      </w:r>
    </w:p>
    <w:bookmarkEnd w:id="76"/>
    <w:bookmarkStart w:id="77" w:name="ref-calomiris1998bank"/>
    <w:p>
      <w:pPr>
        <w:pStyle w:val="Bibliography"/>
      </w:pPr>
      <w:r>
        <w:t xml:space="preserve">Calomiris, C. W. and Wilson, B. K. (1998).</w:t>
      </w:r>
      <w:r>
        <w:t xml:space="preserve"> </w:t>
      </w:r>
      <w:r>
        <w:t xml:space="preserve">‘Bank capital and portfolio management: The 1930’s capital crunch and scramble to shed risk’</w:t>
      </w:r>
      <w:r>
        <w:t xml:space="preserve">. National Bureau of Economic Research Cambridge, Mass., USA.</w:t>
      </w:r>
    </w:p>
    <w:bookmarkEnd w:id="77"/>
    <w:bookmarkStart w:id="78" w:name="ref-fang2020bank"/>
    <w:p>
      <w:pPr>
        <w:pStyle w:val="Bibliography"/>
      </w:pPr>
      <w:r>
        <w:t xml:space="preserve">Fang, X., Jutrsa, D., Peria, S. M., Presbitero, A. F. and Ratnovski, L. (2020).</w:t>
      </w:r>
      <w:r>
        <w:t xml:space="preserve"> </w:t>
      </w:r>
      <w:r>
        <w:t xml:space="preserve">‘Bank capital requirements and lending in emerging markets: The role of bank characteristics and economic conditions’</w:t>
      </w:r>
      <w:r>
        <w:t xml:space="preserve">.</w:t>
      </w:r>
      <w:r>
        <w:t xml:space="preserve"> </w:t>
      </w:r>
      <w:r>
        <w:rPr>
          <w:iCs/>
          <w:i/>
        </w:rPr>
        <w:t xml:space="preserve">Journal of Banking &amp; Finance</w:t>
      </w:r>
      <w:r>
        <w:t xml:space="preserve">. Elsevier, p. 105806.</w:t>
      </w:r>
    </w:p>
    <w:bookmarkEnd w:id="78"/>
    <w:bookmarkStart w:id="79" w:name="ref-folly2021competition"/>
    <w:p>
      <w:pPr>
        <w:pStyle w:val="Bibliography"/>
      </w:pPr>
      <w:r>
        <w:t xml:space="preserve">Folly, K. A. (2021).</w:t>
      </w:r>
      <w:r>
        <w:t xml:space="preserve"> </w:t>
      </w:r>
      <w:r>
        <w:t xml:space="preserve">‘Competition and restructuring of the south african electricity market’</w:t>
      </w:r>
      <w:r>
        <w:t xml:space="preserve">. in</w:t>
      </w:r>
      <w:r>
        <w:t xml:space="preserve"> </w:t>
      </w:r>
      <w:r>
        <w:rPr>
          <w:iCs/>
          <w:i/>
        </w:rPr>
        <w:t xml:space="preserve">Local electricity markets</w:t>
      </w:r>
      <w:r>
        <w:t xml:space="preserve">. Elsevier, pp. 355–366.</w:t>
      </w:r>
    </w:p>
    <w:bookmarkEnd w:id="79"/>
    <w:bookmarkStart w:id="80" w:name="ref-fraisse2020real"/>
    <w:p>
      <w:pPr>
        <w:pStyle w:val="Bibliography"/>
      </w:pPr>
      <w:r>
        <w:t xml:space="preserve">Fraisse, H., Lé, M. and Thesmar, D. (2020).</w:t>
      </w:r>
      <w:r>
        <w:t xml:space="preserve"> </w:t>
      </w:r>
      <w:r>
        <w:t xml:space="preserve">‘The real effects of bank capital requirements’</w:t>
      </w:r>
      <w:r>
        <w:t xml:space="preserve">.</w:t>
      </w:r>
      <w:r>
        <w:t xml:space="preserve"> </w:t>
      </w:r>
      <w:r>
        <w:rPr>
          <w:iCs/>
          <w:i/>
        </w:rPr>
        <w:t xml:space="preserve">Management Science</w:t>
      </w:r>
      <w:r>
        <w:t xml:space="preserve">. INFORMS, 66 (1), pp. 5–23.</w:t>
      </w:r>
    </w:p>
    <w:bookmarkEnd w:id="80"/>
    <w:bookmarkStart w:id="81" w:name="ref-francis2012capital"/>
    <w:p>
      <w:pPr>
        <w:pStyle w:val="Bibliography"/>
      </w:pPr>
      <w:r>
        <w:t xml:space="preserve">Francis, W. B. and Osborne, M. (2012).</w:t>
      </w:r>
      <w:r>
        <w:t xml:space="preserve"> </w:t>
      </w:r>
      <w:r>
        <w:t xml:space="preserve">‘Capital requirements and bank behavior in the UK: Are there lessons for international capital standards?’</w:t>
      </w:r>
      <w:r>
        <w:t xml:space="preserve"> </w:t>
      </w:r>
      <w:r>
        <w:rPr>
          <w:iCs/>
          <w:i/>
        </w:rPr>
        <w:t xml:space="preserve">Journal of Banking &amp; Finance</w:t>
      </w:r>
      <w:r>
        <w:t xml:space="preserve">. Elsevier, 36 (3), pp. 803–816.</w:t>
      </w:r>
    </w:p>
    <w:bookmarkEnd w:id="81"/>
    <w:bookmarkStart w:id="82" w:name="ref-gambacorta2004does"/>
    <w:p>
      <w:pPr>
        <w:pStyle w:val="Bibliography"/>
      </w:pPr>
      <w:r>
        <w:t xml:space="preserve">Gambacorta, L. and Mistrulli, P. E. (2004).</w:t>
      </w:r>
      <w:r>
        <w:t xml:space="preserve"> </w:t>
      </w:r>
      <w:r>
        <w:t xml:space="preserve">‘Does bank capital affect lending behavior?’</w:t>
      </w:r>
      <w:r>
        <w:t xml:space="preserve"> </w:t>
      </w:r>
      <w:r>
        <w:rPr>
          <w:iCs/>
          <w:i/>
        </w:rPr>
        <w:t xml:space="preserve">Journal of Financial intermediation</w:t>
      </w:r>
      <w:r>
        <w:t xml:space="preserve">. Elsevier, 13 (4), pp. 436–457.</w:t>
      </w:r>
    </w:p>
    <w:bookmarkEnd w:id="82"/>
    <w:bookmarkStart w:id="83" w:name="ref-hancock1994bank"/>
    <w:p>
      <w:pPr>
        <w:pStyle w:val="Bibliography"/>
      </w:pPr>
      <w:r>
        <w:t xml:space="preserve">Hancock, D. and Wilcox, J. A. (1994).</w:t>
      </w:r>
      <w:r>
        <w:t xml:space="preserve"> </w:t>
      </w:r>
      <w:r>
        <w:t xml:space="preserve">‘Bank capital and the credit crunch: The roles of risk-weighted and unweighted capital regulations’</w:t>
      </w:r>
      <w:r>
        <w:t xml:space="preserve">.</w:t>
      </w:r>
      <w:r>
        <w:t xml:space="preserve"> </w:t>
      </w:r>
      <w:r>
        <w:rPr>
          <w:iCs/>
          <w:i/>
        </w:rPr>
        <w:t xml:space="preserve">Real Estate Economics</w:t>
      </w:r>
      <w:r>
        <w:t xml:space="preserve">. Wiley Online Library, 22 (1), pp. 59–94.</w:t>
      </w:r>
    </w:p>
    <w:bookmarkEnd w:id="83"/>
    <w:bookmarkStart w:id="84" w:name="ref-hellwig2014bankers"/>
    <w:p>
      <w:pPr>
        <w:pStyle w:val="Bibliography"/>
      </w:pPr>
      <w:r>
        <w:t xml:space="preserve">Hellwig, M. and Admati, A. (2014).</w:t>
      </w:r>
      <w:r>
        <w:t xml:space="preserve"> </w:t>
      </w:r>
      <w:r>
        <w:rPr>
          <w:iCs/>
          <w:i/>
        </w:rPr>
        <w:t xml:space="preserve">The bankers’ new clothes: What’s wrong with banking and what to do about it-updated edition</w:t>
      </w:r>
      <w:r>
        <w:t xml:space="preserve">. Princeton University Press.</w:t>
      </w:r>
    </w:p>
    <w:bookmarkEnd w:id="84"/>
    <w:bookmarkStart w:id="85" w:name="ref-houston1997capital"/>
    <w:p>
      <w:pPr>
        <w:pStyle w:val="Bibliography"/>
      </w:pPr>
      <w:r>
        <w:t xml:space="preserve">Houston, J., James, C. and Marcus, D. (1997).</w:t>
      </w:r>
      <w:r>
        <w:t xml:space="preserve"> </w:t>
      </w:r>
      <w:r>
        <w:t xml:space="preserve">‘Capital market frictions and the role of internal capital markets in banking’</w:t>
      </w:r>
      <w:r>
        <w:t xml:space="preserve">.</w:t>
      </w:r>
      <w:r>
        <w:t xml:space="preserve"> </w:t>
      </w:r>
      <w:r>
        <w:rPr>
          <w:iCs/>
          <w:i/>
        </w:rPr>
        <w:t xml:space="preserve">Journal of financial Economics</w:t>
      </w:r>
      <w:r>
        <w:t xml:space="preserve">. Elsevier, 46 (2), pp. 135–164.</w:t>
      </w:r>
    </w:p>
    <w:bookmarkEnd w:id="85"/>
    <w:bookmarkStart w:id="86" w:name="ref-jimenez2017macroprudential"/>
    <w:p>
      <w:pPr>
        <w:pStyle w:val="Bibliography"/>
      </w:pPr>
      <w:r>
        <w:t xml:space="preserve">Jiménez, G., Ongena, S., Peydró, J.-L. and Saurina, J. (2017).</w:t>
      </w:r>
      <w:r>
        <w:t xml:space="preserve"> </w:t>
      </w:r>
      <w:r>
        <w:t xml:space="preserve">‘Macroprudential policy, countercyclical bank capital buffers, and credit supply: Evidence from the spanish dynamic provisioning experiments’</w:t>
      </w:r>
      <w:r>
        <w:t xml:space="preserve">.</w:t>
      </w:r>
      <w:r>
        <w:t xml:space="preserve"> </w:t>
      </w:r>
      <w:r>
        <w:rPr>
          <w:iCs/>
          <w:i/>
        </w:rPr>
        <w:t xml:space="preserve">Journal of Political Economy</w:t>
      </w:r>
      <w:r>
        <w:t xml:space="preserve">. University of Chicago Press Chicago, IL, 125 (6), pp. 2126–2177.</w:t>
      </w:r>
    </w:p>
    <w:bookmarkEnd w:id="86"/>
    <w:bookmarkStart w:id="87" w:name="ref-milne2002bank"/>
    <w:p>
      <w:pPr>
        <w:pStyle w:val="Bibliography"/>
      </w:pPr>
      <w:r>
        <w:t xml:space="preserve">Milne, A. and Whalley, A. (2002).</w:t>
      </w:r>
      <w:r>
        <w:t xml:space="preserve"> </w:t>
      </w:r>
      <w:r>
        <w:t xml:space="preserve">‘Bank capital regulation and incentives for risk-taking (SSRN ccholarly paper no. ID 299319). Rochester, NY: Social science research network’</w:t>
      </w:r>
      <w:r>
        <w:t xml:space="preserve">.</w:t>
      </w:r>
    </w:p>
    <w:bookmarkEnd w:id="87"/>
    <w:bookmarkStart w:id="88" w:name="ref-modigliani58"/>
    <w:p>
      <w:pPr>
        <w:pStyle w:val="Bibliography"/>
      </w:pPr>
      <w:r>
        <w:t xml:space="preserve">Modigliani, F. and Miller, M. H. (1958).</w:t>
      </w:r>
      <w:r>
        <w:t xml:space="preserve"> </w:t>
      </w:r>
      <w:r>
        <w:t xml:space="preserve">‘The cost of capital, corporate finance and the theory of investment’</w:t>
      </w:r>
      <w:r>
        <w:t xml:space="preserve">.</w:t>
      </w:r>
      <w:r>
        <w:t xml:space="preserve"> </w:t>
      </w:r>
      <w:r>
        <w:rPr>
          <w:iCs/>
          <w:i/>
        </w:rPr>
        <w:t xml:space="preserve">American Economic Review</w:t>
      </w:r>
      <w:r>
        <w:t xml:space="preserve">, 48, pp. 261–97.</w:t>
      </w:r>
    </w:p>
    <w:bookmarkEnd w:id="88"/>
    <w:bookmarkStart w:id="89" w:name="ref-nier2005bank"/>
    <w:p>
      <w:pPr>
        <w:pStyle w:val="Bibliography"/>
      </w:pPr>
      <w:r>
        <w:t xml:space="preserve">Nier, E. and Zicchino, L. (2005).</w:t>
      </w:r>
      <w:r>
        <w:t xml:space="preserve"> </w:t>
      </w:r>
      <w:r>
        <w:t xml:space="preserve">‘Bank weakness and bank loan supply’</w:t>
      </w:r>
      <w:r>
        <w:t xml:space="preserve">.</w:t>
      </w:r>
      <w:r>
        <w:t xml:space="preserve"> </w:t>
      </w:r>
      <w:r>
        <w:rPr>
          <w:iCs/>
          <w:i/>
        </w:rPr>
        <w:t xml:space="preserve">Bank of England Financial Stability Review (December)</w:t>
      </w:r>
      <w:r>
        <w:t xml:space="preserve">, pp. 85–93.</w:t>
      </w:r>
    </w:p>
    <w:bookmarkEnd w:id="89"/>
    <w:bookmarkStart w:id="90" w:name="ref-nowak2005first"/>
    <w:p>
      <w:pPr>
        <w:pStyle w:val="Bibliography"/>
      </w:pPr>
      <w:r>
        <w:t xml:space="preserve">Nowak, M. (2005).</w:t>
      </w:r>
      <w:r>
        <w:t xml:space="preserve"> </w:t>
      </w:r>
      <w:r>
        <w:t xml:space="preserve">‘The first ten years after apartheid: An overview of the south african economy’</w:t>
      </w:r>
      <w:r>
        <w:t xml:space="preserve">.</w:t>
      </w:r>
      <w:r>
        <w:t xml:space="preserve"> </w:t>
      </w:r>
      <w:r>
        <w:rPr>
          <w:iCs/>
          <w:i/>
        </w:rPr>
        <w:t xml:space="preserve">Post-Apartheid South Africa: The First Ten Years. Washington, DC: International Monetary Fund</w:t>
      </w:r>
      <w:r>
        <w:t xml:space="preserve">, pp. 1–10.</w:t>
      </w:r>
    </w:p>
    <w:bookmarkEnd w:id="90"/>
    <w:bookmarkStart w:id="91" w:name="ref-nowak2006post"/>
    <w:p>
      <w:pPr>
        <w:pStyle w:val="Bibliography"/>
      </w:pPr>
      <w:r>
        <w:t xml:space="preserve">Nowak, M. M. and Ricci, M. L. A. (2006).</w:t>
      </w:r>
      <w:r>
        <w:t xml:space="preserve"> </w:t>
      </w:r>
      <w:r>
        <w:t xml:space="preserve">‘Post-apartheid south africa: The first ten years’</w:t>
      </w:r>
      <w:r>
        <w:t xml:space="preserve">. International Monetary Fund.</w:t>
      </w:r>
    </w:p>
    <w:bookmarkEnd w:id="91"/>
    <w:bookmarkStart w:id="92" w:name="ref-peek1997international"/>
    <w:p>
      <w:pPr>
        <w:pStyle w:val="Bibliography"/>
      </w:pPr>
      <w:r>
        <w:t xml:space="preserve">Peek, J. and Rosengren, E. S. (1997).</w:t>
      </w:r>
      <w:r>
        <w:t xml:space="preserve"> </w:t>
      </w:r>
      <w:r>
        <w:t xml:space="preserve">‘The international transmission of financial shocks: The case of japan’</w:t>
      </w:r>
      <w:r>
        <w:t xml:space="preserve">.</w:t>
      </w:r>
      <w:r>
        <w:t xml:space="preserve"> </w:t>
      </w:r>
      <w:r>
        <w:rPr>
          <w:iCs/>
          <w:i/>
        </w:rPr>
        <w:t xml:space="preserve">The American Economic Review</w:t>
      </w:r>
      <w:r>
        <w:t xml:space="preserve">. JSTOR, pp. 495–505.</w:t>
      </w:r>
    </w:p>
    <w:bookmarkEnd w:id="92"/>
    <w:bookmarkStart w:id="93" w:name="ref-neryvia2023"/>
    <w:p>
      <w:pPr>
        <w:pStyle w:val="Bibliography"/>
      </w:pPr>
      <w:r>
        <w:t xml:space="preserve">Pillay, N. and Makrelov, K. (2023).</w:t>
      </w:r>
      <w:r>
        <w:t xml:space="preserve"> </w:t>
      </w:r>
      <w:r>
        <w:t xml:space="preserve">‘Capital buffers and lending in south africa (upcoming)’</w:t>
      </w:r>
      <w:r>
        <w:t xml:space="preserve">. South African Reserve Bank.</w:t>
      </w:r>
    </w:p>
    <w:bookmarkEnd w:id="93"/>
    <w:bookmarkStart w:id="94" w:name="ref-van2008welfare"/>
    <w:p>
      <w:pPr>
        <w:pStyle w:val="Bibliography"/>
      </w:pPr>
      <w:r>
        <w:t xml:space="preserve">Van den Heuvel, S. J. (2008).</w:t>
      </w:r>
      <w:r>
        <w:t xml:space="preserve"> </w:t>
      </w:r>
      <w:r>
        <w:t xml:space="preserve">‘The welfare cost of bank capital requirements’</w:t>
      </w:r>
      <w:r>
        <w:t xml:space="preserve">.</w:t>
      </w:r>
      <w:r>
        <w:t xml:space="preserve"> </w:t>
      </w:r>
      <w:r>
        <w:rPr>
          <w:iCs/>
          <w:i/>
        </w:rPr>
        <w:t xml:space="preserve">Journal of Monetary Economics</w:t>
      </w:r>
      <w:r>
        <w:t xml:space="preserve">. Elsevier, 55 (2), pp. 298–320.</w:t>
      </w:r>
    </w:p>
    <w:bookmarkEnd w:id="94"/>
    <w:bookmarkEnd w:id="95"/>
    <w:bookmarkEnd w:id="96"/>
    <w:sectPr w:rsidR="0066548E" w:rsidSect="00322633">
      <w:headerReference r:id="rId13" w:type="even"/>
      <w:headerReference r:id="rId12" w:type="default"/>
      <w:footerReference r:id="rId15" w:type="even"/>
      <w:footerReference r:id="rId14" w:type="default"/>
      <w:headerReference r:id="rId9" w:type="first"/>
      <w:footerReference r:id="rId17" w:type="first"/>
      <w:footnotePr>
        <w:numFmt w:val="chicago"/>
        <w:numRestart w:val="eachSect"/>
      </w:footnotePr>
      <w:type w:val="continuous"/>
      <w:pgSz w:code="9" w:h="16840" w:w="11907"/>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Next">
    <w:altName w:val="﷽﷽﷽﷽﷽﷽﷽﷽묱耍ĝ䳰Ľ怀"/>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E3BE" w14:textId="77777777" w:rsidR="00442AF7" w:rsidRDefault="0044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0878" w14:textId="77777777" w:rsidR="0066548E" w:rsidRDefault="0066548E">
    <w:pPr>
      <w:pStyle w:val="Footer"/>
      <w:jc w:val="center"/>
    </w:pPr>
  </w:p>
  <w:p w14:paraId="02A6D3C4" w14:textId="77777777" w:rsidR="00690C20" w:rsidRDefault="00690C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49B2" w14:textId="77777777" w:rsidR="00442AF7" w:rsidRDefault="00442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45503"/>
      <w:docPartObj>
        <w:docPartGallery w:val="Page Numbers (Bottom of Page)"/>
        <w:docPartUnique/>
      </w:docPartObj>
    </w:sdtPr>
    <w:sdtEndPr>
      <w:rPr>
        <w:noProof/>
        <w:highlight w:val="yellow"/>
      </w:rPr>
    </w:sdtEndPr>
    <w:sdtContent>
      <w:p w14:paraId="63627F72" w14:textId="4D1BB53A" w:rsidR="0066548E" w:rsidRPr="0044750B" w:rsidRDefault="0066548E" w:rsidP="006E0EB2">
        <w:pPr>
          <w:pStyle w:val="Footer"/>
          <w:spacing w:line="240" w:lineRule="auto"/>
          <w:jc w:val="center"/>
        </w:pPr>
        <w:r w:rsidRPr="00002DF3">
          <w:fldChar w:fldCharType="begin"/>
        </w:r>
        <w:r w:rsidRPr="00002DF3">
          <w:instrText xml:space="preserve"> PAGE   \* MERGEFORMAT </w:instrText>
        </w:r>
        <w:r w:rsidRPr="00002DF3">
          <w:fldChar w:fldCharType="separate"/>
        </w:r>
        <w:r w:rsidR="008C0D77">
          <w:rPr>
            <w:noProof/>
          </w:rPr>
          <w:t>2</w:t>
        </w:r>
        <w:r w:rsidRPr="00002DF3">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Macroeconomic data, except where otherwise specified, is from the IMF data mapper https://www.imf.org/external/datamapper/profile/ZAF</w:t>
      </w:r>
    </w:p>
  </w:footnote>
  <w:footnote w:id="23">
    <w:p>
      <w:pPr>
        <w:pStyle w:val="FootnoteText"/>
      </w:pPr>
      <w:r>
        <w:rPr>
          <w:rStyle w:val="FootnoteReference"/>
        </w:rPr>
        <w:footnoteRef/>
      </w:r>
      <w:r>
        <w:t xml:space="preserve"> </w:t>
      </w:r>
      <w:r>
        <w:t xml:space="preserve">Nowak (2005)</w:t>
      </w:r>
      <w:r>
        <w:t xml:space="preserve">;</w:t>
      </w:r>
      <w:r>
        <w:t xml:space="preserve"> </w:t>
      </w:r>
      <w:r>
        <w:t xml:space="preserve">Nowak and Ricci (2006)</w:t>
      </w:r>
    </w:p>
  </w:footnote>
  <w:footnote w:id="24">
    <w:p>
      <w:pPr>
        <w:pStyle w:val="FootnoteText"/>
      </w:pPr>
      <w:r>
        <w:rPr>
          <w:rStyle w:val="FootnoteReference"/>
        </w:rPr>
        <w:footnoteRef/>
      </w:r>
      <w:r>
        <w:t xml:space="preserve"> </w:t>
      </w:r>
      <w:r>
        <w:t xml:space="preserve">See the 2010 IMF Article IV consultation, Sept 2010, highlighting South Africa’s strong economic performance since the mid-1990s.</w:t>
      </w:r>
    </w:p>
  </w:footnote>
  <w:footnote w:id="25">
    <w:p>
      <w:pPr>
        <w:pStyle w:val="FootnoteText"/>
      </w:pPr>
      <w:r>
        <w:rPr>
          <w:rStyle w:val="FootnoteReference"/>
        </w:rPr>
        <w:footnoteRef/>
      </w:r>
      <w:r>
        <w:t xml:space="preserve"> </w:t>
      </w:r>
      <w:r>
        <w:t xml:space="preserve">See the IMF Article IV consultations, that of July 2011 which ascribes the lack of labour intensive growth, in part, to concentration and lack of competition in the non-financial corporate sector.</w:t>
      </w:r>
    </w:p>
  </w:footnote>
  <w:footnote w:id="26">
    <w:p>
      <w:pPr>
        <w:pStyle w:val="FootnoteText"/>
      </w:pPr>
      <w:r>
        <w:rPr>
          <w:rStyle w:val="FootnoteReference"/>
        </w:rPr>
        <w:footnoteRef/>
      </w:r>
      <w:r>
        <w:t xml:space="preserve"> </w:t>
      </w:r>
      <w:r>
        <w:t xml:space="preserve">Ateba and Prinsloo (2019)</w:t>
      </w:r>
      <w:r>
        <w:t xml:space="preserve">;</w:t>
      </w:r>
      <w:r>
        <w:t xml:space="preserve"> </w:t>
      </w:r>
      <w:r>
        <w:t xml:space="preserve">Folly (2021)</w:t>
      </w:r>
    </w:p>
  </w:footnote>
  <w:footnote w:id="28">
    <w:p>
      <w:pPr>
        <w:pStyle w:val="FootnoteText"/>
      </w:pPr>
      <w:r>
        <w:rPr>
          <w:rStyle w:val="FootnoteReference"/>
        </w:rPr>
        <w:footnoteRef/>
      </w:r>
      <w:r>
        <w:t xml:space="preserve"> </w:t>
      </w:r>
      <w:r>
        <w:t xml:space="preserve">https://www.resbank.co.za/en/home/what-we-do/Prudentialregulation/sa-registered-banks-and-representative-offices, January 2022; these consisted of 13 branches of foreign banks, 4 foreign controlled commercial bank subsidiaries, 14 locally controlled commercial banks and 3 mutual banks.</w:t>
      </w:r>
    </w:p>
  </w:footnote>
  <w:footnote w:id="29">
    <w:p>
      <w:pPr>
        <w:pStyle w:val="FootnoteText"/>
      </w:pPr>
      <w:r>
        <w:rPr>
          <w:rStyle w:val="FootnoteReference"/>
        </w:rPr>
        <w:footnoteRef/>
      </w:r>
      <w:r>
        <w:t xml:space="preserve"> </w:t>
      </w:r>
      <w:r>
        <w:t xml:space="preserve">As of April, 2020, these were (% of banking sector assets): Standard Bank of South Africa (24.1%), First Rand (20.4%), ABSA (19.8%), Nedbank (17.0%) and Investec (7.8%); the next largest bank is Capitec (2%).</w:t>
      </w:r>
    </w:p>
  </w:footnote>
  <w:footnote w:id="30">
    <w:p>
      <w:pPr>
        <w:pStyle w:val="FootnoteText"/>
      </w:pPr>
      <w:r>
        <w:rPr>
          <w:rStyle w:val="FootnoteReference"/>
        </w:rPr>
        <w:footnoteRef/>
      </w:r>
      <w:r>
        <w:t xml:space="preserve"> </w:t>
      </w:r>
      <w:r>
        <w:t xml:space="preserve">IMF financial soundness indicators</w:t>
      </w:r>
    </w:p>
  </w:footnote>
  <w:footnote w:id="36">
    <w:p>
      <w:pPr>
        <w:pStyle w:val="FootnoteText"/>
      </w:pPr>
      <w:r>
        <w:rPr>
          <w:rStyle w:val="FootnoteReference"/>
        </w:rPr>
        <w:footnoteRef/>
      </w:r>
      <w:r>
        <w:t xml:space="preserve"> </w:t>
      </w:r>
      <w:r>
        <w:t xml:space="preserve">Mainly common shares, paid-in capital and retained earning.</w:t>
      </w:r>
    </w:p>
  </w:footnote>
  <w:footnote w:id="37">
    <w:p>
      <w:pPr>
        <w:pStyle w:val="FootnoteText"/>
      </w:pPr>
      <w:r>
        <w:rPr>
          <w:rStyle w:val="FootnoteReference"/>
        </w:rPr>
        <w:footnoteRef/>
      </w:r>
      <w:r>
        <w:t xml:space="preserve"> </w:t>
      </w:r>
      <w:r>
        <w:t xml:space="preserve">common equity Tier 1 plus other instruments with no fixed maturity subordinate to debt.</w:t>
      </w:r>
    </w:p>
  </w:footnote>
  <w:footnote w:id="39">
    <w:p>
      <w:pPr>
        <w:pStyle w:val="FootnoteText"/>
      </w:pPr>
      <w:r>
        <w:rPr>
          <w:rStyle w:val="FootnoteReference"/>
        </w:rPr>
        <w:footnoteRef/>
      </w:r>
      <w:r>
        <w:t xml:space="preserve"> </w:t>
      </w:r>
      <w:r>
        <w:t xml:space="preserve">See Annexure A and B of Directive 5 of 2013 by the Office of the Register of Banks, South African Reserve Bank</w:t>
      </w:r>
    </w:p>
  </w:footnote>
  <w:footnote w:id="41">
    <w:p>
      <w:pPr>
        <w:pStyle w:val="FootnoteText"/>
      </w:pPr>
      <w:r>
        <w:rPr>
          <w:rStyle w:val="FootnoteReference"/>
        </w:rPr>
        <w:footnoteRef/>
      </w:r>
      <w:r>
        <w:t xml:space="preserve"> </w:t>
      </w:r>
      <w:r>
        <w:t xml:space="preserve">That is regulation 38 of the Bank Regulations (Bank Act, 1990)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9108" w14:textId="77777777" w:rsidR="00442AF7" w:rsidRDefault="00442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1C3C" w14:textId="77777777" w:rsidR="00442AF7" w:rsidRDefault="00442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63D2" w14:textId="77777777" w:rsidR="00442AF7" w:rsidRDefault="00442A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B93" w14:textId="77777777" w:rsidR="00690C20" w:rsidRDefault="00690C20">
    <w:pPr>
      <w:pStyle w:val="BodyText"/>
      <w:spacing w:line="14" w:lineRule="auto"/>
    </w:pPr>
    <w:r>
      <w:rPr>
        <w:noProof/>
        <w:lang w:val="en-ZA" w:eastAsia="en-ZA"/>
      </w:rPr>
      <mc:AlternateContent>
        <mc:Choice Requires="wps">
          <w:drawing>
            <wp:anchor distT="0" distB="0" distL="114300" distR="114300" simplePos="0" relativeHeight="251667456" behindDoc="1" locked="0" layoutInCell="1" allowOverlap="1" wp14:anchorId="3FC63C6E" wp14:editId="330921CD">
              <wp:simplePos x="0" y="0"/>
              <wp:positionH relativeFrom="page">
                <wp:posOffset>2265680</wp:posOffset>
              </wp:positionH>
              <wp:positionV relativeFrom="page">
                <wp:posOffset>497840</wp:posOffset>
              </wp:positionV>
              <wp:extent cx="3259455" cy="169545"/>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63C6E" id="_x0000_t202" coordsize="21600,21600" o:spt="202" path="m,l,21600r21600,l21600,xe">
              <v:stroke joinstyle="miter"/>
              <v:path gradientshapeok="t" o:connecttype="rect"/>
            </v:shapetype>
            <v:shape id="Text Box 46" o:spid="_x0000_s1026" type="#_x0000_t202" style="position:absolute;left:0;text-align:left;margin-left:178.4pt;margin-top:39.2pt;width:256.65pt;height:1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" filled="f" stroked="f">
              <v:textbox inset="0,0,0,0">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945E" w14:textId="77777777" w:rsidR="00690C20" w:rsidRPr="002E4CCF" w:rsidRDefault="00690C20" w:rsidP="002E4CC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0E328C"/>
    <w:multiLevelType w:val="hybridMultilevel"/>
    <w:tmpl w:val="DEA4CBE8"/>
    <w:lvl w:ilvl="0" w:tplc="19E48E48">
      <w:start w:val="8"/>
      <w:numFmt w:val="decimal"/>
      <w:lvlText w:val="%1."/>
      <w:lvlJc w:val="left"/>
      <w:pPr>
        <w:ind w:hanging="240" w:left="359"/>
      </w:pPr>
      <w:rPr>
        <w:rFonts w:ascii="Times New Roman" w:cs="Times New Roman" w:eastAsia="Times New Roman" w:hAnsi="Times New Roman" w:hint="default"/>
        <w:color w:val="231F20"/>
        <w:w w:val="93"/>
        <w:sz w:val="18"/>
        <w:szCs w:val="18"/>
        <w:lang w:bidi="ar-SA" w:eastAsia="en-US" w:val="en-US"/>
      </w:rPr>
    </w:lvl>
    <w:lvl w:ilvl="1" w:tplc="C3E4873E">
      <w:numFmt w:val="bullet"/>
      <w:lvlText w:val="•"/>
      <w:lvlJc w:val="left"/>
      <w:pPr>
        <w:ind w:hanging="240" w:left="1136"/>
      </w:pPr>
      <w:rPr>
        <w:rFonts w:hint="default"/>
        <w:lang w:bidi="ar-SA" w:eastAsia="en-US" w:val="en-US"/>
      </w:rPr>
    </w:lvl>
    <w:lvl w:ilvl="2" w:tplc="C83AE142">
      <w:numFmt w:val="bullet"/>
      <w:lvlText w:val="•"/>
      <w:lvlJc w:val="left"/>
      <w:pPr>
        <w:ind w:hanging="240" w:left="1912"/>
      </w:pPr>
      <w:rPr>
        <w:rFonts w:hint="default"/>
        <w:lang w:bidi="ar-SA" w:eastAsia="en-US" w:val="en-US"/>
      </w:rPr>
    </w:lvl>
    <w:lvl w:ilvl="3" w:tplc="47E4724C">
      <w:numFmt w:val="bullet"/>
      <w:lvlText w:val="•"/>
      <w:lvlJc w:val="left"/>
      <w:pPr>
        <w:ind w:hanging="240" w:left="2688"/>
      </w:pPr>
      <w:rPr>
        <w:rFonts w:hint="default"/>
        <w:lang w:bidi="ar-SA" w:eastAsia="en-US" w:val="en-US"/>
      </w:rPr>
    </w:lvl>
    <w:lvl w:ilvl="4" w:tplc="362CB408">
      <w:numFmt w:val="bullet"/>
      <w:lvlText w:val="•"/>
      <w:lvlJc w:val="left"/>
      <w:pPr>
        <w:ind w:hanging="240" w:left="3464"/>
      </w:pPr>
      <w:rPr>
        <w:rFonts w:hint="default"/>
        <w:lang w:bidi="ar-SA" w:eastAsia="en-US" w:val="en-US"/>
      </w:rPr>
    </w:lvl>
    <w:lvl w:ilvl="5" w:tplc="1340E1C0">
      <w:numFmt w:val="bullet"/>
      <w:lvlText w:val="•"/>
      <w:lvlJc w:val="left"/>
      <w:pPr>
        <w:ind w:hanging="240" w:left="4240"/>
      </w:pPr>
      <w:rPr>
        <w:rFonts w:hint="default"/>
        <w:lang w:bidi="ar-SA" w:eastAsia="en-US" w:val="en-US"/>
      </w:rPr>
    </w:lvl>
    <w:lvl w:ilvl="6" w:tplc="08D880C2">
      <w:numFmt w:val="bullet"/>
      <w:lvlText w:val="•"/>
      <w:lvlJc w:val="left"/>
      <w:pPr>
        <w:ind w:hanging="240" w:left="5016"/>
      </w:pPr>
      <w:rPr>
        <w:rFonts w:hint="default"/>
        <w:lang w:bidi="ar-SA" w:eastAsia="en-US" w:val="en-US"/>
      </w:rPr>
    </w:lvl>
    <w:lvl w:ilvl="7" w:tplc="FC98141C">
      <w:numFmt w:val="bullet"/>
      <w:lvlText w:val="•"/>
      <w:lvlJc w:val="left"/>
      <w:pPr>
        <w:ind w:hanging="240" w:left="5792"/>
      </w:pPr>
      <w:rPr>
        <w:rFonts w:hint="default"/>
        <w:lang w:bidi="ar-SA" w:eastAsia="en-US" w:val="en-US"/>
      </w:rPr>
    </w:lvl>
    <w:lvl w:ilvl="8" w:tplc="F44A8586">
      <w:numFmt w:val="bullet"/>
      <w:lvlText w:val="•"/>
      <w:lvlJc w:val="left"/>
      <w:pPr>
        <w:ind w:hanging="240" w:left="6568"/>
      </w:pPr>
      <w:rPr>
        <w:rFonts w:hint="default"/>
        <w:lang w:bidi="ar-SA" w:eastAsia="en-US" w:val="en-US"/>
      </w:rPr>
    </w:lvl>
  </w:abstractNum>
  <w:abstractNum w15:restartNumberingAfterBreak="0" w:abstractNumId="1">
    <w:nsid w:val="08AC64A2"/>
    <w:multiLevelType w:val="hybridMultilevel"/>
    <w:tmpl w:val="BFEC42DC"/>
    <w:lvl w:ilvl="0" w:tplc="86D8949A">
      <w:start w:val="25"/>
      <w:numFmt w:val="decimal"/>
      <w:lvlText w:val="%1."/>
      <w:lvlJc w:val="left"/>
      <w:pPr>
        <w:ind w:hanging="240" w:left="359"/>
      </w:pPr>
      <w:rPr>
        <w:rFonts w:ascii="Times New Roman" w:cs="Times New Roman" w:eastAsia="Times New Roman" w:hAnsi="Times New Roman" w:hint="default"/>
        <w:color w:val="231F20"/>
        <w:spacing w:val="0"/>
        <w:w w:val="90"/>
        <w:sz w:val="18"/>
        <w:szCs w:val="18"/>
        <w:lang w:bidi="ar-SA" w:eastAsia="en-US" w:val="en-US"/>
      </w:rPr>
    </w:lvl>
    <w:lvl w:ilvl="1" w:tplc="6CF8C498">
      <w:numFmt w:val="bullet"/>
      <w:lvlText w:val="•"/>
      <w:lvlJc w:val="left"/>
      <w:pPr>
        <w:ind w:hanging="240" w:left="1136"/>
      </w:pPr>
      <w:rPr>
        <w:rFonts w:hint="default"/>
        <w:lang w:bidi="ar-SA" w:eastAsia="en-US" w:val="en-US"/>
      </w:rPr>
    </w:lvl>
    <w:lvl w:ilvl="2" w:tplc="A3509E14">
      <w:numFmt w:val="bullet"/>
      <w:lvlText w:val="•"/>
      <w:lvlJc w:val="left"/>
      <w:pPr>
        <w:ind w:hanging="240" w:left="1912"/>
      </w:pPr>
      <w:rPr>
        <w:rFonts w:hint="default"/>
        <w:lang w:bidi="ar-SA" w:eastAsia="en-US" w:val="en-US"/>
      </w:rPr>
    </w:lvl>
    <w:lvl w:ilvl="3" w:tplc="DA72ED20">
      <w:numFmt w:val="bullet"/>
      <w:lvlText w:val="•"/>
      <w:lvlJc w:val="left"/>
      <w:pPr>
        <w:ind w:hanging="240" w:left="2688"/>
      </w:pPr>
      <w:rPr>
        <w:rFonts w:hint="default"/>
        <w:lang w:bidi="ar-SA" w:eastAsia="en-US" w:val="en-US"/>
      </w:rPr>
    </w:lvl>
    <w:lvl w:ilvl="4" w:tplc="90F0ADFC">
      <w:numFmt w:val="bullet"/>
      <w:lvlText w:val="•"/>
      <w:lvlJc w:val="left"/>
      <w:pPr>
        <w:ind w:hanging="240" w:left="3464"/>
      </w:pPr>
      <w:rPr>
        <w:rFonts w:hint="default"/>
        <w:lang w:bidi="ar-SA" w:eastAsia="en-US" w:val="en-US"/>
      </w:rPr>
    </w:lvl>
    <w:lvl w:ilvl="5" w:tplc="3134FC8C">
      <w:numFmt w:val="bullet"/>
      <w:lvlText w:val="•"/>
      <w:lvlJc w:val="left"/>
      <w:pPr>
        <w:ind w:hanging="240" w:left="4240"/>
      </w:pPr>
      <w:rPr>
        <w:rFonts w:hint="default"/>
        <w:lang w:bidi="ar-SA" w:eastAsia="en-US" w:val="en-US"/>
      </w:rPr>
    </w:lvl>
    <w:lvl w:ilvl="6" w:tplc="40DA4308">
      <w:numFmt w:val="bullet"/>
      <w:lvlText w:val="•"/>
      <w:lvlJc w:val="left"/>
      <w:pPr>
        <w:ind w:hanging="240" w:left="5016"/>
      </w:pPr>
      <w:rPr>
        <w:rFonts w:hint="default"/>
        <w:lang w:bidi="ar-SA" w:eastAsia="en-US" w:val="en-US"/>
      </w:rPr>
    </w:lvl>
    <w:lvl w:ilvl="7" w:tplc="1E1C59A4">
      <w:numFmt w:val="bullet"/>
      <w:lvlText w:val="•"/>
      <w:lvlJc w:val="left"/>
      <w:pPr>
        <w:ind w:hanging="240" w:left="5792"/>
      </w:pPr>
      <w:rPr>
        <w:rFonts w:hint="default"/>
        <w:lang w:bidi="ar-SA" w:eastAsia="en-US" w:val="en-US"/>
      </w:rPr>
    </w:lvl>
    <w:lvl w:ilvl="8" w:tplc="614E7348">
      <w:numFmt w:val="bullet"/>
      <w:lvlText w:val="•"/>
      <w:lvlJc w:val="left"/>
      <w:pPr>
        <w:ind w:hanging="240" w:left="6568"/>
      </w:pPr>
      <w:rPr>
        <w:rFonts w:hint="default"/>
        <w:lang w:bidi="ar-SA" w:eastAsia="en-US" w:val="en-US"/>
      </w:rPr>
    </w:lvl>
  </w:abstractNum>
  <w:abstractNum w15:restartNumberingAfterBreak="0" w:abstractNumId="2">
    <w:nsid w:val="19783F87"/>
    <w:multiLevelType w:val="hybridMultilevel"/>
    <w:tmpl w:val="BB0C5D72"/>
    <w:lvl w:ilvl="0" w:tplc="5B94B0C6">
      <w:start w:val="20"/>
      <w:numFmt w:val="decimal"/>
      <w:lvlText w:val="%1."/>
      <w:lvlJc w:val="left"/>
      <w:pPr>
        <w:ind w:hanging="240" w:left="359"/>
      </w:pPr>
      <w:rPr>
        <w:rFonts w:ascii="Times New Roman" w:cs="Times New Roman" w:eastAsia="Times New Roman" w:hAnsi="Times New Roman" w:hint="default"/>
        <w:color w:val="231F20"/>
        <w:w w:val="93"/>
        <w:sz w:val="18"/>
        <w:szCs w:val="18"/>
        <w:lang w:bidi="ar-SA" w:eastAsia="en-US" w:val="en-US"/>
      </w:rPr>
    </w:lvl>
    <w:lvl w:ilvl="1" w:tplc="071AEA36">
      <w:numFmt w:val="bullet"/>
      <w:lvlText w:val="•"/>
      <w:lvlJc w:val="left"/>
      <w:pPr>
        <w:ind w:hanging="240" w:left="1136"/>
      </w:pPr>
      <w:rPr>
        <w:rFonts w:hint="default"/>
        <w:lang w:bidi="ar-SA" w:eastAsia="en-US" w:val="en-US"/>
      </w:rPr>
    </w:lvl>
    <w:lvl w:ilvl="2" w:tplc="B1DE3F62">
      <w:numFmt w:val="bullet"/>
      <w:lvlText w:val="•"/>
      <w:lvlJc w:val="left"/>
      <w:pPr>
        <w:ind w:hanging="240" w:left="1912"/>
      </w:pPr>
      <w:rPr>
        <w:rFonts w:hint="default"/>
        <w:lang w:bidi="ar-SA" w:eastAsia="en-US" w:val="en-US"/>
      </w:rPr>
    </w:lvl>
    <w:lvl w:ilvl="3" w:tplc="0B4CBB1C">
      <w:numFmt w:val="bullet"/>
      <w:lvlText w:val="•"/>
      <w:lvlJc w:val="left"/>
      <w:pPr>
        <w:ind w:hanging="240" w:left="2688"/>
      </w:pPr>
      <w:rPr>
        <w:rFonts w:hint="default"/>
        <w:lang w:bidi="ar-SA" w:eastAsia="en-US" w:val="en-US"/>
      </w:rPr>
    </w:lvl>
    <w:lvl w:ilvl="4" w:tplc="D0783AD6">
      <w:numFmt w:val="bullet"/>
      <w:lvlText w:val="•"/>
      <w:lvlJc w:val="left"/>
      <w:pPr>
        <w:ind w:hanging="240" w:left="3464"/>
      </w:pPr>
      <w:rPr>
        <w:rFonts w:hint="default"/>
        <w:lang w:bidi="ar-SA" w:eastAsia="en-US" w:val="en-US"/>
      </w:rPr>
    </w:lvl>
    <w:lvl w:ilvl="5" w:tplc="785495FE">
      <w:numFmt w:val="bullet"/>
      <w:lvlText w:val="•"/>
      <w:lvlJc w:val="left"/>
      <w:pPr>
        <w:ind w:hanging="240" w:left="4240"/>
      </w:pPr>
      <w:rPr>
        <w:rFonts w:hint="default"/>
        <w:lang w:bidi="ar-SA" w:eastAsia="en-US" w:val="en-US"/>
      </w:rPr>
    </w:lvl>
    <w:lvl w:ilvl="6" w:tplc="CA989FCA">
      <w:numFmt w:val="bullet"/>
      <w:lvlText w:val="•"/>
      <w:lvlJc w:val="left"/>
      <w:pPr>
        <w:ind w:hanging="240" w:left="5016"/>
      </w:pPr>
      <w:rPr>
        <w:rFonts w:hint="default"/>
        <w:lang w:bidi="ar-SA" w:eastAsia="en-US" w:val="en-US"/>
      </w:rPr>
    </w:lvl>
    <w:lvl w:ilvl="7" w:tplc="A9A804A2">
      <w:numFmt w:val="bullet"/>
      <w:lvlText w:val="•"/>
      <w:lvlJc w:val="left"/>
      <w:pPr>
        <w:ind w:hanging="240" w:left="5792"/>
      </w:pPr>
      <w:rPr>
        <w:rFonts w:hint="default"/>
        <w:lang w:bidi="ar-SA" w:eastAsia="en-US" w:val="en-US"/>
      </w:rPr>
    </w:lvl>
    <w:lvl w:ilvl="8" w:tplc="FE3A9CE6">
      <w:numFmt w:val="bullet"/>
      <w:lvlText w:val="•"/>
      <w:lvlJc w:val="left"/>
      <w:pPr>
        <w:ind w:hanging="240" w:left="6568"/>
      </w:pPr>
      <w:rPr>
        <w:rFonts w:hint="default"/>
        <w:lang w:bidi="ar-SA" w:eastAsia="en-US" w:val="en-US"/>
      </w:rPr>
    </w:lvl>
  </w:abstractNum>
  <w:abstractNum w15:restartNumberingAfterBreak="0" w:abstractNumId="3">
    <w:nsid w:val="25630202"/>
    <w:multiLevelType w:val="multilevel"/>
    <w:tmpl w:val="A9B0426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3267451E"/>
    <w:multiLevelType w:val="hybridMultilevel"/>
    <w:tmpl w:val="89B211AE"/>
    <w:lvl w:ilvl="0" w:tplc="8062AE06">
      <w:start w:val="1"/>
      <w:numFmt w:val="decimal"/>
      <w:lvlText w:val="%1"/>
      <w:lvlJc w:val="left"/>
      <w:pPr>
        <w:ind w:hanging="480" w:left="599"/>
      </w:pPr>
      <w:rPr>
        <w:rFonts w:hint="default"/>
        <w:b/>
        <w:bCs/>
        <w:w w:val="67"/>
        <w:lang w:bidi="ar-SA" w:eastAsia="en-US" w:val="en-US"/>
      </w:rPr>
    </w:lvl>
    <w:lvl w:ilvl="1" w:tplc="ACA4C584">
      <w:numFmt w:val="bullet"/>
      <w:lvlText w:val="•"/>
      <w:lvlJc w:val="left"/>
      <w:pPr>
        <w:ind w:hanging="480" w:left="1083"/>
      </w:pPr>
      <w:rPr>
        <w:rFonts w:hint="default"/>
        <w:lang w:bidi="ar-SA" w:eastAsia="en-US" w:val="en-US"/>
      </w:rPr>
    </w:lvl>
    <w:lvl w:ilvl="2" w:tplc="0BBC98C4">
      <w:numFmt w:val="bullet"/>
      <w:lvlText w:val="•"/>
      <w:lvlJc w:val="left"/>
      <w:pPr>
        <w:ind w:hanging="480" w:left="1567"/>
      </w:pPr>
      <w:rPr>
        <w:rFonts w:hint="default"/>
        <w:lang w:bidi="ar-SA" w:eastAsia="en-US" w:val="en-US"/>
      </w:rPr>
    </w:lvl>
    <w:lvl w:ilvl="3" w:tplc="03A064EA">
      <w:numFmt w:val="bullet"/>
      <w:lvlText w:val="•"/>
      <w:lvlJc w:val="left"/>
      <w:pPr>
        <w:ind w:hanging="480" w:left="2051"/>
      </w:pPr>
      <w:rPr>
        <w:rFonts w:hint="default"/>
        <w:lang w:bidi="ar-SA" w:eastAsia="en-US" w:val="en-US"/>
      </w:rPr>
    </w:lvl>
    <w:lvl w:ilvl="4" w:tplc="02A4A092">
      <w:numFmt w:val="bullet"/>
      <w:lvlText w:val="•"/>
      <w:lvlJc w:val="left"/>
      <w:pPr>
        <w:ind w:hanging="480" w:left="2535"/>
      </w:pPr>
      <w:rPr>
        <w:rFonts w:hint="default"/>
        <w:lang w:bidi="ar-SA" w:eastAsia="en-US" w:val="en-US"/>
      </w:rPr>
    </w:lvl>
    <w:lvl w:ilvl="5" w:tplc="90580C6A">
      <w:numFmt w:val="bullet"/>
      <w:lvlText w:val="•"/>
      <w:lvlJc w:val="left"/>
      <w:pPr>
        <w:ind w:hanging="480" w:left="3019"/>
      </w:pPr>
      <w:rPr>
        <w:rFonts w:hint="default"/>
        <w:lang w:bidi="ar-SA" w:eastAsia="en-US" w:val="en-US"/>
      </w:rPr>
    </w:lvl>
    <w:lvl w:ilvl="6" w:tplc="82162DF8">
      <w:numFmt w:val="bullet"/>
      <w:lvlText w:val="•"/>
      <w:lvlJc w:val="left"/>
      <w:pPr>
        <w:ind w:hanging="480" w:left="3503"/>
      </w:pPr>
      <w:rPr>
        <w:rFonts w:hint="default"/>
        <w:lang w:bidi="ar-SA" w:eastAsia="en-US" w:val="en-US"/>
      </w:rPr>
    </w:lvl>
    <w:lvl w:ilvl="7" w:tplc="EF986290">
      <w:numFmt w:val="bullet"/>
      <w:lvlText w:val="•"/>
      <w:lvlJc w:val="left"/>
      <w:pPr>
        <w:ind w:hanging="480" w:left="3987"/>
      </w:pPr>
      <w:rPr>
        <w:rFonts w:hint="default"/>
        <w:lang w:bidi="ar-SA" w:eastAsia="en-US" w:val="en-US"/>
      </w:rPr>
    </w:lvl>
    <w:lvl w:ilvl="8" w:tplc="AEA46BFA">
      <w:numFmt w:val="bullet"/>
      <w:lvlText w:val="•"/>
      <w:lvlJc w:val="left"/>
      <w:pPr>
        <w:ind w:hanging="480" w:left="4471"/>
      </w:pPr>
      <w:rPr>
        <w:rFonts w:hint="default"/>
        <w:lang w:bidi="ar-SA" w:eastAsia="en-US" w:val="en-US"/>
      </w:rPr>
    </w:lvl>
  </w:abstractNum>
  <w:abstractNum w15:restartNumberingAfterBreak="0" w:abstractNumId="5">
    <w:nsid w:val="34835332"/>
    <w:multiLevelType w:val="hybridMultilevel"/>
    <w:tmpl w:val="F3B05E94"/>
    <w:lvl w:ilvl="0" w:tplc="7D98CD52">
      <w:start w:val="1"/>
      <w:numFmt w:val="decimal"/>
      <w:lvlText w:val="%1."/>
      <w:lvlJc w:val="left"/>
      <w:pPr>
        <w:ind w:hanging="360" w:left="530"/>
      </w:pPr>
    </w:lvl>
    <w:lvl w:ilvl="1" w:tentative="1" w:tplc="1C090019">
      <w:start w:val="1"/>
      <w:numFmt w:val="lowerLetter"/>
      <w:lvlText w:val="%2."/>
      <w:lvlJc w:val="left"/>
      <w:pPr>
        <w:ind w:hanging="360" w:left="1250"/>
      </w:pPr>
    </w:lvl>
    <w:lvl w:ilvl="2" w:tentative="1" w:tplc="1C09001B">
      <w:start w:val="1"/>
      <w:numFmt w:val="lowerRoman"/>
      <w:lvlText w:val="%3."/>
      <w:lvlJc w:val="right"/>
      <w:pPr>
        <w:ind w:hanging="180" w:left="1970"/>
      </w:pPr>
    </w:lvl>
    <w:lvl w:ilvl="3" w:tentative="1" w:tplc="1C09000F">
      <w:start w:val="1"/>
      <w:numFmt w:val="decimal"/>
      <w:lvlText w:val="%4."/>
      <w:lvlJc w:val="left"/>
      <w:pPr>
        <w:ind w:hanging="360" w:left="2690"/>
      </w:pPr>
    </w:lvl>
    <w:lvl w:ilvl="4" w:tentative="1" w:tplc="1C090019">
      <w:start w:val="1"/>
      <w:numFmt w:val="lowerLetter"/>
      <w:lvlText w:val="%5."/>
      <w:lvlJc w:val="left"/>
      <w:pPr>
        <w:ind w:hanging="360" w:left="3410"/>
      </w:pPr>
    </w:lvl>
    <w:lvl w:ilvl="5" w:tentative="1" w:tplc="1C09001B">
      <w:start w:val="1"/>
      <w:numFmt w:val="lowerRoman"/>
      <w:lvlText w:val="%6."/>
      <w:lvlJc w:val="right"/>
      <w:pPr>
        <w:ind w:hanging="180" w:left="4130"/>
      </w:pPr>
    </w:lvl>
    <w:lvl w:ilvl="6" w:tentative="1" w:tplc="1C09000F">
      <w:start w:val="1"/>
      <w:numFmt w:val="decimal"/>
      <w:lvlText w:val="%7."/>
      <w:lvlJc w:val="left"/>
      <w:pPr>
        <w:ind w:hanging="360" w:left="4850"/>
      </w:pPr>
    </w:lvl>
    <w:lvl w:ilvl="7" w:tentative="1" w:tplc="1C090019">
      <w:start w:val="1"/>
      <w:numFmt w:val="lowerLetter"/>
      <w:lvlText w:val="%8."/>
      <w:lvlJc w:val="left"/>
      <w:pPr>
        <w:ind w:hanging="360" w:left="5570"/>
      </w:pPr>
    </w:lvl>
    <w:lvl w:ilvl="8" w:tentative="1" w:tplc="1C09001B">
      <w:start w:val="1"/>
      <w:numFmt w:val="lowerRoman"/>
      <w:lvlText w:val="%9."/>
      <w:lvlJc w:val="right"/>
      <w:pPr>
        <w:ind w:hanging="180" w:left="6290"/>
      </w:pPr>
    </w:lvl>
  </w:abstractNum>
  <w:abstractNum w15:restartNumberingAfterBreak="0" w:abstractNumId="6">
    <w:nsid w:val="35F94D4D"/>
    <w:multiLevelType w:val="hybridMultilevel"/>
    <w:tmpl w:val="730E513C"/>
    <w:lvl w:ilvl="0" w:tplc="DE62DAE0">
      <w:start w:val="38"/>
      <w:numFmt w:val="decimal"/>
      <w:lvlText w:val="%1."/>
      <w:lvlJc w:val="left"/>
      <w:pPr>
        <w:ind w:hanging="240" w:left="359"/>
      </w:pPr>
      <w:rPr>
        <w:rFonts w:ascii="Times New Roman" w:cs="Times New Roman" w:eastAsia="Times New Roman" w:hAnsi="Times New Roman" w:hint="default"/>
        <w:color w:val="231F20"/>
        <w:spacing w:val="0"/>
        <w:w w:val="90"/>
        <w:sz w:val="18"/>
        <w:szCs w:val="18"/>
        <w:lang w:bidi="ar-SA" w:eastAsia="en-US" w:val="en-US"/>
      </w:rPr>
    </w:lvl>
    <w:lvl w:ilvl="1" w:tplc="5944FCC8">
      <w:numFmt w:val="bullet"/>
      <w:lvlText w:val="•"/>
      <w:lvlJc w:val="left"/>
      <w:pPr>
        <w:ind w:hanging="240" w:left="1136"/>
      </w:pPr>
      <w:rPr>
        <w:rFonts w:hint="default"/>
        <w:lang w:bidi="ar-SA" w:eastAsia="en-US" w:val="en-US"/>
      </w:rPr>
    </w:lvl>
    <w:lvl w:ilvl="2" w:tplc="1892EDC6">
      <w:numFmt w:val="bullet"/>
      <w:lvlText w:val="•"/>
      <w:lvlJc w:val="left"/>
      <w:pPr>
        <w:ind w:hanging="240" w:left="1912"/>
      </w:pPr>
      <w:rPr>
        <w:rFonts w:hint="default"/>
        <w:lang w:bidi="ar-SA" w:eastAsia="en-US" w:val="en-US"/>
      </w:rPr>
    </w:lvl>
    <w:lvl w:ilvl="3" w:tplc="84ECF1F2">
      <w:numFmt w:val="bullet"/>
      <w:lvlText w:val="•"/>
      <w:lvlJc w:val="left"/>
      <w:pPr>
        <w:ind w:hanging="240" w:left="2688"/>
      </w:pPr>
      <w:rPr>
        <w:rFonts w:hint="default"/>
        <w:lang w:bidi="ar-SA" w:eastAsia="en-US" w:val="en-US"/>
      </w:rPr>
    </w:lvl>
    <w:lvl w:ilvl="4" w:tplc="7CB4619E">
      <w:numFmt w:val="bullet"/>
      <w:lvlText w:val="•"/>
      <w:lvlJc w:val="left"/>
      <w:pPr>
        <w:ind w:hanging="240" w:left="3464"/>
      </w:pPr>
      <w:rPr>
        <w:rFonts w:hint="default"/>
        <w:lang w:bidi="ar-SA" w:eastAsia="en-US" w:val="en-US"/>
      </w:rPr>
    </w:lvl>
    <w:lvl w:ilvl="5" w:tplc="6C3EE6F4">
      <w:numFmt w:val="bullet"/>
      <w:lvlText w:val="•"/>
      <w:lvlJc w:val="left"/>
      <w:pPr>
        <w:ind w:hanging="240" w:left="4240"/>
      </w:pPr>
      <w:rPr>
        <w:rFonts w:hint="default"/>
        <w:lang w:bidi="ar-SA" w:eastAsia="en-US" w:val="en-US"/>
      </w:rPr>
    </w:lvl>
    <w:lvl w:ilvl="6" w:tplc="B57A9EDC">
      <w:numFmt w:val="bullet"/>
      <w:lvlText w:val="•"/>
      <w:lvlJc w:val="left"/>
      <w:pPr>
        <w:ind w:hanging="240" w:left="5016"/>
      </w:pPr>
      <w:rPr>
        <w:rFonts w:hint="default"/>
        <w:lang w:bidi="ar-SA" w:eastAsia="en-US" w:val="en-US"/>
      </w:rPr>
    </w:lvl>
    <w:lvl w:ilvl="7" w:tplc="E5DEF972">
      <w:numFmt w:val="bullet"/>
      <w:lvlText w:val="•"/>
      <w:lvlJc w:val="left"/>
      <w:pPr>
        <w:ind w:hanging="240" w:left="5792"/>
      </w:pPr>
      <w:rPr>
        <w:rFonts w:hint="default"/>
        <w:lang w:bidi="ar-SA" w:eastAsia="en-US" w:val="en-US"/>
      </w:rPr>
    </w:lvl>
    <w:lvl w:ilvl="8" w:tplc="571C4C4E">
      <w:numFmt w:val="bullet"/>
      <w:lvlText w:val="•"/>
      <w:lvlJc w:val="left"/>
      <w:pPr>
        <w:ind w:hanging="240" w:left="6568"/>
      </w:pPr>
      <w:rPr>
        <w:rFonts w:hint="default"/>
        <w:lang w:bidi="ar-SA" w:eastAsia="en-US" w:val="en-US"/>
      </w:rPr>
    </w:lvl>
  </w:abstractNum>
  <w:abstractNum w15:restartNumberingAfterBreak="0" w:abstractNumId="7">
    <w:nsid w:val="548B298F"/>
    <w:multiLevelType w:val="hybridMultilevel"/>
    <w:tmpl w:val="18EA27CA"/>
    <w:lvl w:ilvl="0" w:tplc="1C090001">
      <w:start w:val="1"/>
      <w:numFmt w:val="bullet"/>
      <w:lvlText w:val=""/>
      <w:lvlJc w:val="left"/>
      <w:pPr>
        <w:ind w:hanging="360" w:left="720"/>
      </w:pPr>
      <w:rPr>
        <w:rFonts w:ascii="Symbol" w:hAnsi="Symbol" w:hint="default"/>
      </w:rPr>
    </w:lvl>
    <w:lvl w:ilvl="1" w:tentative="1" w:tplc="1C090003">
      <w:start w:val="1"/>
      <w:numFmt w:val="bullet"/>
      <w:lvlText w:val="o"/>
      <w:lvlJc w:val="left"/>
      <w:pPr>
        <w:ind w:hanging="360" w:left="1440"/>
      </w:pPr>
      <w:rPr>
        <w:rFonts w:ascii="Courier New" w:cs="Courier New" w:hAnsi="Courier New" w:hint="default"/>
      </w:rPr>
    </w:lvl>
    <w:lvl w:ilvl="2" w:tentative="1" w:tplc="1C090005">
      <w:start w:val="1"/>
      <w:numFmt w:val="bullet"/>
      <w:lvlText w:val=""/>
      <w:lvlJc w:val="left"/>
      <w:pPr>
        <w:ind w:hanging="360" w:left="2160"/>
      </w:pPr>
      <w:rPr>
        <w:rFonts w:ascii="Wingdings" w:hAnsi="Wingdings" w:hint="default"/>
      </w:rPr>
    </w:lvl>
    <w:lvl w:ilvl="3" w:tentative="1" w:tplc="1C090001">
      <w:start w:val="1"/>
      <w:numFmt w:val="bullet"/>
      <w:lvlText w:val=""/>
      <w:lvlJc w:val="left"/>
      <w:pPr>
        <w:ind w:hanging="360" w:left="2880"/>
      </w:pPr>
      <w:rPr>
        <w:rFonts w:ascii="Symbol" w:hAnsi="Symbol" w:hint="default"/>
      </w:rPr>
    </w:lvl>
    <w:lvl w:ilvl="4" w:tentative="1" w:tplc="1C090003">
      <w:start w:val="1"/>
      <w:numFmt w:val="bullet"/>
      <w:lvlText w:val="o"/>
      <w:lvlJc w:val="left"/>
      <w:pPr>
        <w:ind w:hanging="360" w:left="3600"/>
      </w:pPr>
      <w:rPr>
        <w:rFonts w:ascii="Courier New" w:cs="Courier New" w:hAnsi="Courier New" w:hint="default"/>
      </w:rPr>
    </w:lvl>
    <w:lvl w:ilvl="5" w:tentative="1" w:tplc="1C090005">
      <w:start w:val="1"/>
      <w:numFmt w:val="bullet"/>
      <w:lvlText w:val=""/>
      <w:lvlJc w:val="left"/>
      <w:pPr>
        <w:ind w:hanging="360" w:left="4320"/>
      </w:pPr>
      <w:rPr>
        <w:rFonts w:ascii="Wingdings" w:hAnsi="Wingdings" w:hint="default"/>
      </w:rPr>
    </w:lvl>
    <w:lvl w:ilvl="6" w:tentative="1" w:tplc="1C090001">
      <w:start w:val="1"/>
      <w:numFmt w:val="bullet"/>
      <w:lvlText w:val=""/>
      <w:lvlJc w:val="left"/>
      <w:pPr>
        <w:ind w:hanging="360" w:left="5040"/>
      </w:pPr>
      <w:rPr>
        <w:rFonts w:ascii="Symbol" w:hAnsi="Symbol" w:hint="default"/>
      </w:rPr>
    </w:lvl>
    <w:lvl w:ilvl="7" w:tentative="1" w:tplc="1C090003">
      <w:start w:val="1"/>
      <w:numFmt w:val="bullet"/>
      <w:lvlText w:val="o"/>
      <w:lvlJc w:val="left"/>
      <w:pPr>
        <w:ind w:hanging="360" w:left="5760"/>
      </w:pPr>
      <w:rPr>
        <w:rFonts w:ascii="Courier New" w:cs="Courier New" w:hAnsi="Courier New" w:hint="default"/>
      </w:rPr>
    </w:lvl>
    <w:lvl w:ilvl="8" w:tentative="1" w:tplc="1C090005">
      <w:start w:val="1"/>
      <w:numFmt w:val="bullet"/>
      <w:lvlText w:val=""/>
      <w:lvlJc w:val="left"/>
      <w:pPr>
        <w:ind w:hanging="360" w:left="6480"/>
      </w:pPr>
      <w:rPr>
        <w:rFonts w:ascii="Wingdings" w:hAnsi="Wingdings" w:hint="default"/>
      </w:rPr>
    </w:lvl>
  </w:abstractNum>
  <w:abstractNum w15:restartNumberingAfterBreak="0" w:abstractNumId="8">
    <w:nsid w:val="65105DD1"/>
    <w:multiLevelType w:val="hybridMultilevel"/>
    <w:tmpl w:val="CDF0F3B6"/>
    <w:lvl w:ilvl="0" w:tplc="3B1E4E5A">
      <w:start w:val="33"/>
      <w:numFmt w:val="decimal"/>
      <w:lvlText w:val="%1."/>
      <w:lvlJc w:val="left"/>
      <w:pPr>
        <w:ind w:hanging="240" w:left="359"/>
      </w:pPr>
      <w:rPr>
        <w:rFonts w:ascii="Times New Roman" w:cs="Times New Roman" w:eastAsia="Times New Roman" w:hAnsi="Times New Roman" w:hint="default"/>
        <w:color w:val="231F20"/>
        <w:spacing w:val="-3"/>
        <w:w w:val="90"/>
        <w:sz w:val="18"/>
        <w:szCs w:val="18"/>
        <w:lang w:bidi="ar-SA" w:eastAsia="en-US" w:val="en-US"/>
      </w:rPr>
    </w:lvl>
    <w:lvl w:ilvl="1" w:tplc="3D58CD36">
      <w:numFmt w:val="bullet"/>
      <w:lvlText w:val="•"/>
      <w:lvlJc w:val="left"/>
      <w:pPr>
        <w:ind w:hanging="240" w:left="1136"/>
      </w:pPr>
      <w:rPr>
        <w:rFonts w:hint="default"/>
        <w:lang w:bidi="ar-SA" w:eastAsia="en-US" w:val="en-US"/>
      </w:rPr>
    </w:lvl>
    <w:lvl w:ilvl="2" w:tplc="5074DDC2">
      <w:numFmt w:val="bullet"/>
      <w:lvlText w:val="•"/>
      <w:lvlJc w:val="left"/>
      <w:pPr>
        <w:ind w:hanging="240" w:left="1912"/>
      </w:pPr>
      <w:rPr>
        <w:rFonts w:hint="default"/>
        <w:lang w:bidi="ar-SA" w:eastAsia="en-US" w:val="en-US"/>
      </w:rPr>
    </w:lvl>
    <w:lvl w:ilvl="3" w:tplc="039E1F4A">
      <w:numFmt w:val="bullet"/>
      <w:lvlText w:val="•"/>
      <w:lvlJc w:val="left"/>
      <w:pPr>
        <w:ind w:hanging="240" w:left="2688"/>
      </w:pPr>
      <w:rPr>
        <w:rFonts w:hint="default"/>
        <w:lang w:bidi="ar-SA" w:eastAsia="en-US" w:val="en-US"/>
      </w:rPr>
    </w:lvl>
    <w:lvl w:ilvl="4" w:tplc="BABAEFBA">
      <w:numFmt w:val="bullet"/>
      <w:lvlText w:val="•"/>
      <w:lvlJc w:val="left"/>
      <w:pPr>
        <w:ind w:hanging="240" w:left="3464"/>
      </w:pPr>
      <w:rPr>
        <w:rFonts w:hint="default"/>
        <w:lang w:bidi="ar-SA" w:eastAsia="en-US" w:val="en-US"/>
      </w:rPr>
    </w:lvl>
    <w:lvl w:ilvl="5" w:tplc="71B6D9C8">
      <w:numFmt w:val="bullet"/>
      <w:lvlText w:val="•"/>
      <w:lvlJc w:val="left"/>
      <w:pPr>
        <w:ind w:hanging="240" w:left="4240"/>
      </w:pPr>
      <w:rPr>
        <w:rFonts w:hint="default"/>
        <w:lang w:bidi="ar-SA" w:eastAsia="en-US" w:val="en-US"/>
      </w:rPr>
    </w:lvl>
    <w:lvl w:ilvl="6" w:tplc="7FCC5372">
      <w:numFmt w:val="bullet"/>
      <w:lvlText w:val="•"/>
      <w:lvlJc w:val="left"/>
      <w:pPr>
        <w:ind w:hanging="240" w:left="5016"/>
      </w:pPr>
      <w:rPr>
        <w:rFonts w:hint="default"/>
        <w:lang w:bidi="ar-SA" w:eastAsia="en-US" w:val="en-US"/>
      </w:rPr>
    </w:lvl>
    <w:lvl w:ilvl="7" w:tplc="D3A0598C">
      <w:numFmt w:val="bullet"/>
      <w:lvlText w:val="•"/>
      <w:lvlJc w:val="left"/>
      <w:pPr>
        <w:ind w:hanging="240" w:left="5792"/>
      </w:pPr>
      <w:rPr>
        <w:rFonts w:hint="default"/>
        <w:lang w:bidi="ar-SA" w:eastAsia="en-US" w:val="en-US"/>
      </w:rPr>
    </w:lvl>
    <w:lvl w:ilvl="8" w:tplc="BA76DED4">
      <w:numFmt w:val="bullet"/>
      <w:lvlText w:val="•"/>
      <w:lvlJc w:val="left"/>
      <w:pPr>
        <w:ind w:hanging="240" w:left="6568"/>
      </w:pPr>
      <w:rPr>
        <w:rFonts w:hint="default"/>
        <w:lang w:bidi="ar-SA" w:eastAsia="en-US" w:val="en-US"/>
      </w:rPr>
    </w:lvl>
  </w:abstractNum>
  <w:abstractNum w15:restartNumberingAfterBreak="0" w:abstractNumId="9">
    <w:nsid w:val="66AF218F"/>
    <w:multiLevelType w:val="hybridMultilevel"/>
    <w:tmpl w:val="24261D34"/>
    <w:lvl w:ilvl="0" w:tplc="C84CBFD6">
      <w:start w:val="17"/>
      <w:numFmt w:val="decimal"/>
      <w:lvlText w:val="%1."/>
      <w:lvlJc w:val="left"/>
      <w:pPr>
        <w:ind w:hanging="240" w:left="359"/>
      </w:pPr>
      <w:rPr>
        <w:rFonts w:ascii="Times New Roman" w:cs="Times New Roman" w:eastAsia="Times New Roman" w:hAnsi="Times New Roman" w:hint="default"/>
        <w:color w:val="231F20"/>
        <w:spacing w:val="-2"/>
        <w:w w:val="80"/>
        <w:sz w:val="18"/>
        <w:szCs w:val="18"/>
        <w:lang w:bidi="ar-SA" w:eastAsia="en-US" w:val="en-US"/>
      </w:rPr>
    </w:lvl>
    <w:lvl w:ilvl="1" w:tplc="2E40AE92">
      <w:numFmt w:val="bullet"/>
      <w:lvlText w:val="•"/>
      <w:lvlJc w:val="left"/>
      <w:pPr>
        <w:ind w:hanging="240" w:left="1136"/>
      </w:pPr>
      <w:rPr>
        <w:rFonts w:hint="default"/>
        <w:lang w:bidi="ar-SA" w:eastAsia="en-US" w:val="en-US"/>
      </w:rPr>
    </w:lvl>
    <w:lvl w:ilvl="2" w:tplc="9222A39C">
      <w:numFmt w:val="bullet"/>
      <w:lvlText w:val="•"/>
      <w:lvlJc w:val="left"/>
      <w:pPr>
        <w:ind w:hanging="240" w:left="1912"/>
      </w:pPr>
      <w:rPr>
        <w:rFonts w:hint="default"/>
        <w:lang w:bidi="ar-SA" w:eastAsia="en-US" w:val="en-US"/>
      </w:rPr>
    </w:lvl>
    <w:lvl w:ilvl="3" w:tplc="13645A64">
      <w:numFmt w:val="bullet"/>
      <w:lvlText w:val="•"/>
      <w:lvlJc w:val="left"/>
      <w:pPr>
        <w:ind w:hanging="240" w:left="2688"/>
      </w:pPr>
      <w:rPr>
        <w:rFonts w:hint="default"/>
        <w:lang w:bidi="ar-SA" w:eastAsia="en-US" w:val="en-US"/>
      </w:rPr>
    </w:lvl>
    <w:lvl w:ilvl="4" w:tplc="225C6860">
      <w:numFmt w:val="bullet"/>
      <w:lvlText w:val="•"/>
      <w:lvlJc w:val="left"/>
      <w:pPr>
        <w:ind w:hanging="240" w:left="3464"/>
      </w:pPr>
      <w:rPr>
        <w:rFonts w:hint="default"/>
        <w:lang w:bidi="ar-SA" w:eastAsia="en-US" w:val="en-US"/>
      </w:rPr>
    </w:lvl>
    <w:lvl w:ilvl="5" w:tplc="B296A9FA">
      <w:numFmt w:val="bullet"/>
      <w:lvlText w:val="•"/>
      <w:lvlJc w:val="left"/>
      <w:pPr>
        <w:ind w:hanging="240" w:left="4240"/>
      </w:pPr>
      <w:rPr>
        <w:rFonts w:hint="default"/>
        <w:lang w:bidi="ar-SA" w:eastAsia="en-US" w:val="en-US"/>
      </w:rPr>
    </w:lvl>
    <w:lvl w:ilvl="6" w:tplc="8B20DAB2">
      <w:numFmt w:val="bullet"/>
      <w:lvlText w:val="•"/>
      <w:lvlJc w:val="left"/>
      <w:pPr>
        <w:ind w:hanging="240" w:left="5016"/>
      </w:pPr>
      <w:rPr>
        <w:rFonts w:hint="default"/>
        <w:lang w:bidi="ar-SA" w:eastAsia="en-US" w:val="en-US"/>
      </w:rPr>
    </w:lvl>
    <w:lvl w:ilvl="7" w:tplc="9AD432EC">
      <w:numFmt w:val="bullet"/>
      <w:lvlText w:val="•"/>
      <w:lvlJc w:val="left"/>
      <w:pPr>
        <w:ind w:hanging="240" w:left="5792"/>
      </w:pPr>
      <w:rPr>
        <w:rFonts w:hint="default"/>
        <w:lang w:bidi="ar-SA" w:eastAsia="en-US" w:val="en-US"/>
      </w:rPr>
    </w:lvl>
    <w:lvl w:ilvl="8" w:tplc="07BAD506">
      <w:numFmt w:val="bullet"/>
      <w:lvlText w:val="•"/>
      <w:lvlJc w:val="left"/>
      <w:pPr>
        <w:ind w:hanging="240" w:left="6568"/>
      </w:pPr>
      <w:rPr>
        <w:rFonts w:hint="default"/>
        <w:lang w:bidi="ar-SA" w:eastAsia="en-US" w:val="en-US"/>
      </w:rPr>
    </w:lvl>
  </w:abstractNum>
  <w:abstractNum w15:restartNumberingAfterBreak="0" w:abstractNumId="10">
    <w:nsid w:val="68B238FE"/>
    <w:multiLevelType w:val="hybridMultilevel"/>
    <w:tmpl w:val="3200B046"/>
    <w:lvl w:ilvl="0" w:tplc="E7846922">
      <w:start w:val="14"/>
      <w:numFmt w:val="decimal"/>
      <w:lvlText w:val="%1."/>
      <w:lvlJc w:val="left"/>
      <w:pPr>
        <w:ind w:hanging="240" w:left="359"/>
      </w:pPr>
      <w:rPr>
        <w:rFonts w:ascii="Times New Roman" w:cs="Times New Roman" w:eastAsia="Times New Roman" w:hAnsi="Times New Roman" w:hint="default"/>
        <w:color w:val="231F20"/>
        <w:spacing w:val="-3"/>
        <w:w w:val="83"/>
        <w:sz w:val="18"/>
        <w:szCs w:val="18"/>
        <w:lang w:bidi="ar-SA" w:eastAsia="en-US" w:val="en-US"/>
      </w:rPr>
    </w:lvl>
    <w:lvl w:ilvl="1" w:tplc="99749048">
      <w:numFmt w:val="bullet"/>
      <w:lvlText w:val="•"/>
      <w:lvlJc w:val="left"/>
      <w:pPr>
        <w:ind w:hanging="240" w:left="1136"/>
      </w:pPr>
      <w:rPr>
        <w:rFonts w:hint="default"/>
        <w:lang w:bidi="ar-SA" w:eastAsia="en-US" w:val="en-US"/>
      </w:rPr>
    </w:lvl>
    <w:lvl w:ilvl="2" w:tplc="A7FE3066">
      <w:numFmt w:val="bullet"/>
      <w:lvlText w:val="•"/>
      <w:lvlJc w:val="left"/>
      <w:pPr>
        <w:ind w:hanging="240" w:left="1912"/>
      </w:pPr>
      <w:rPr>
        <w:rFonts w:hint="default"/>
        <w:lang w:bidi="ar-SA" w:eastAsia="en-US" w:val="en-US"/>
      </w:rPr>
    </w:lvl>
    <w:lvl w:ilvl="3" w:tplc="3D3A404C">
      <w:numFmt w:val="bullet"/>
      <w:lvlText w:val="•"/>
      <w:lvlJc w:val="left"/>
      <w:pPr>
        <w:ind w:hanging="240" w:left="2688"/>
      </w:pPr>
      <w:rPr>
        <w:rFonts w:hint="default"/>
        <w:lang w:bidi="ar-SA" w:eastAsia="en-US" w:val="en-US"/>
      </w:rPr>
    </w:lvl>
    <w:lvl w:ilvl="4" w:tplc="32A088C0">
      <w:numFmt w:val="bullet"/>
      <w:lvlText w:val="•"/>
      <w:lvlJc w:val="left"/>
      <w:pPr>
        <w:ind w:hanging="240" w:left="3464"/>
      </w:pPr>
      <w:rPr>
        <w:rFonts w:hint="default"/>
        <w:lang w:bidi="ar-SA" w:eastAsia="en-US" w:val="en-US"/>
      </w:rPr>
    </w:lvl>
    <w:lvl w:ilvl="5" w:tplc="C4C8AFDE">
      <w:numFmt w:val="bullet"/>
      <w:lvlText w:val="•"/>
      <w:lvlJc w:val="left"/>
      <w:pPr>
        <w:ind w:hanging="240" w:left="4240"/>
      </w:pPr>
      <w:rPr>
        <w:rFonts w:hint="default"/>
        <w:lang w:bidi="ar-SA" w:eastAsia="en-US" w:val="en-US"/>
      </w:rPr>
    </w:lvl>
    <w:lvl w:ilvl="6" w:tplc="7D50F4B8">
      <w:numFmt w:val="bullet"/>
      <w:lvlText w:val="•"/>
      <w:lvlJc w:val="left"/>
      <w:pPr>
        <w:ind w:hanging="240" w:left="5016"/>
      </w:pPr>
      <w:rPr>
        <w:rFonts w:hint="default"/>
        <w:lang w:bidi="ar-SA" w:eastAsia="en-US" w:val="en-US"/>
      </w:rPr>
    </w:lvl>
    <w:lvl w:ilvl="7" w:tplc="C5C0CCC4">
      <w:numFmt w:val="bullet"/>
      <w:lvlText w:val="•"/>
      <w:lvlJc w:val="left"/>
      <w:pPr>
        <w:ind w:hanging="240" w:left="5792"/>
      </w:pPr>
      <w:rPr>
        <w:rFonts w:hint="default"/>
        <w:lang w:bidi="ar-SA" w:eastAsia="en-US" w:val="en-US"/>
      </w:rPr>
    </w:lvl>
    <w:lvl w:ilvl="8" w:tplc="1400C8BA">
      <w:numFmt w:val="bullet"/>
      <w:lvlText w:val="•"/>
      <w:lvlJc w:val="left"/>
      <w:pPr>
        <w:ind w:hanging="240" w:left="6568"/>
      </w:pPr>
      <w:rPr>
        <w:rFonts w:hint="default"/>
        <w:lang w:bidi="ar-SA" w:eastAsia="en-US" w:val="en-US"/>
      </w:rPr>
    </w:lvl>
  </w:abstractNum>
  <w:abstractNum w15:restartNumberingAfterBreak="0" w:abstractNumId="11">
    <w:nsid w:val="6C717698"/>
    <w:multiLevelType w:val="hybridMultilevel"/>
    <w:tmpl w:val="13F640C2"/>
    <w:lvl w:ilvl="0" w:tplc="AEF46D7C">
      <w:start w:val="3"/>
      <w:numFmt w:val="decimal"/>
      <w:lvlText w:val="%1."/>
      <w:lvlJc w:val="left"/>
      <w:pPr>
        <w:ind w:hanging="240" w:left="359"/>
      </w:pPr>
      <w:rPr>
        <w:rFonts w:ascii="Times New Roman" w:cs="Times New Roman" w:eastAsia="Times New Roman" w:hAnsi="Times New Roman" w:hint="default"/>
        <w:color w:val="231F20"/>
        <w:w w:val="90"/>
        <w:sz w:val="18"/>
        <w:szCs w:val="18"/>
        <w:lang w:bidi="ar-SA" w:eastAsia="en-US" w:val="en-US"/>
      </w:rPr>
    </w:lvl>
    <w:lvl w:ilvl="1" w:tplc="B980EE52">
      <w:numFmt w:val="bullet"/>
      <w:lvlText w:val="•"/>
      <w:lvlJc w:val="left"/>
      <w:pPr>
        <w:ind w:hanging="240" w:left="1136"/>
      </w:pPr>
      <w:rPr>
        <w:rFonts w:hint="default"/>
        <w:lang w:bidi="ar-SA" w:eastAsia="en-US" w:val="en-US"/>
      </w:rPr>
    </w:lvl>
    <w:lvl w:ilvl="2" w:tplc="48FC723A">
      <w:numFmt w:val="bullet"/>
      <w:lvlText w:val="•"/>
      <w:lvlJc w:val="left"/>
      <w:pPr>
        <w:ind w:hanging="240" w:left="1912"/>
      </w:pPr>
      <w:rPr>
        <w:rFonts w:hint="default"/>
        <w:lang w:bidi="ar-SA" w:eastAsia="en-US" w:val="en-US"/>
      </w:rPr>
    </w:lvl>
    <w:lvl w:ilvl="3" w:tplc="89E80606">
      <w:numFmt w:val="bullet"/>
      <w:lvlText w:val="•"/>
      <w:lvlJc w:val="left"/>
      <w:pPr>
        <w:ind w:hanging="240" w:left="2688"/>
      </w:pPr>
      <w:rPr>
        <w:rFonts w:hint="default"/>
        <w:lang w:bidi="ar-SA" w:eastAsia="en-US" w:val="en-US"/>
      </w:rPr>
    </w:lvl>
    <w:lvl w:ilvl="4" w:tplc="94C0F876">
      <w:numFmt w:val="bullet"/>
      <w:lvlText w:val="•"/>
      <w:lvlJc w:val="left"/>
      <w:pPr>
        <w:ind w:hanging="240" w:left="3464"/>
      </w:pPr>
      <w:rPr>
        <w:rFonts w:hint="default"/>
        <w:lang w:bidi="ar-SA" w:eastAsia="en-US" w:val="en-US"/>
      </w:rPr>
    </w:lvl>
    <w:lvl w:ilvl="5" w:tplc="4BC2A3D2">
      <w:numFmt w:val="bullet"/>
      <w:lvlText w:val="•"/>
      <w:lvlJc w:val="left"/>
      <w:pPr>
        <w:ind w:hanging="240" w:left="4240"/>
      </w:pPr>
      <w:rPr>
        <w:rFonts w:hint="default"/>
        <w:lang w:bidi="ar-SA" w:eastAsia="en-US" w:val="en-US"/>
      </w:rPr>
    </w:lvl>
    <w:lvl w:ilvl="6" w:tplc="5D726FBC">
      <w:numFmt w:val="bullet"/>
      <w:lvlText w:val="•"/>
      <w:lvlJc w:val="left"/>
      <w:pPr>
        <w:ind w:hanging="240" w:left="5016"/>
      </w:pPr>
      <w:rPr>
        <w:rFonts w:hint="default"/>
        <w:lang w:bidi="ar-SA" w:eastAsia="en-US" w:val="en-US"/>
      </w:rPr>
    </w:lvl>
    <w:lvl w:ilvl="7" w:tplc="E0CC94C6">
      <w:numFmt w:val="bullet"/>
      <w:lvlText w:val="•"/>
      <w:lvlJc w:val="left"/>
      <w:pPr>
        <w:ind w:hanging="240" w:left="5792"/>
      </w:pPr>
      <w:rPr>
        <w:rFonts w:hint="default"/>
        <w:lang w:bidi="ar-SA" w:eastAsia="en-US" w:val="en-US"/>
      </w:rPr>
    </w:lvl>
    <w:lvl w:ilvl="8" w:tplc="10CA9A8C">
      <w:numFmt w:val="bullet"/>
      <w:lvlText w:val="•"/>
      <w:lvlJc w:val="left"/>
      <w:pPr>
        <w:ind w:hanging="240" w:left="6568"/>
      </w:pPr>
      <w:rPr>
        <w:rFonts w:hint="default"/>
        <w:lang w:bidi="ar-SA" w:eastAsia="en-US" w:val="en-US"/>
      </w:rPr>
    </w:lvl>
  </w:abstractNum>
  <w:abstractNum w15:restartNumberingAfterBreak="0" w:abstractNumId="12">
    <w:nsid w:val="71550ECC"/>
    <w:multiLevelType w:val="multilevel"/>
    <w:tmpl w:val="1C09001F"/>
    <w:lvl w:ilvl="0">
      <w:start w:val="1"/>
      <w:numFmt w:val="decimal"/>
      <w:lvlText w:val="%1."/>
      <w:lvlJc w:val="left"/>
      <w:pPr>
        <w:ind w:hanging="360" w:left="360"/>
      </w:pPr>
      <w:rPr>
        <w:rFonts w:hint="default"/>
        <w:b/>
        <w:sz w:val="24"/>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73886B48"/>
    <w:multiLevelType w:val="multilevel"/>
    <w:tmpl w:val="E264BB02"/>
    <w:lvl w:ilvl="0">
      <w:start w:val="1"/>
      <w:numFmt w:val="decimal"/>
      <w:lvlText w:val="%1"/>
      <w:lvlJc w:val="left"/>
      <w:pPr>
        <w:ind w:hanging="360" w:left="360"/>
      </w:pPr>
      <w:rPr>
        <w:rFonts w:hint="default"/>
      </w:rPr>
    </w:lvl>
    <w:lvl w:ilvl="1">
      <w:start w:val="1"/>
      <w:numFmt w:val="decimal"/>
      <w:lvlText w:val="%1.%2"/>
      <w:lvlJc w:val="left"/>
      <w:pPr>
        <w:ind w:hanging="360" w:left="530"/>
      </w:pPr>
      <w:rPr>
        <w:rFonts w:hint="default"/>
      </w:rPr>
    </w:lvl>
    <w:lvl w:ilvl="2">
      <w:start w:val="1"/>
      <w:numFmt w:val="decimal"/>
      <w:lvlText w:val="%1.%2.%3"/>
      <w:lvlJc w:val="left"/>
      <w:pPr>
        <w:ind w:hanging="720" w:left="1060"/>
      </w:pPr>
      <w:rPr>
        <w:rFonts w:hint="default"/>
      </w:rPr>
    </w:lvl>
    <w:lvl w:ilvl="3">
      <w:start w:val="1"/>
      <w:numFmt w:val="decimal"/>
      <w:lvlText w:val="%1.%2.%3.%4"/>
      <w:lvlJc w:val="left"/>
      <w:pPr>
        <w:ind w:hanging="1080" w:left="1590"/>
      </w:pPr>
      <w:rPr>
        <w:rFonts w:hint="default"/>
      </w:rPr>
    </w:lvl>
    <w:lvl w:ilvl="4">
      <w:start w:val="1"/>
      <w:numFmt w:val="decimal"/>
      <w:lvlText w:val="%1.%2.%3.%4.%5"/>
      <w:lvlJc w:val="left"/>
      <w:pPr>
        <w:ind w:hanging="1080" w:left="1760"/>
      </w:pPr>
      <w:rPr>
        <w:rFonts w:hint="default"/>
      </w:rPr>
    </w:lvl>
    <w:lvl w:ilvl="5">
      <w:start w:val="1"/>
      <w:numFmt w:val="decimal"/>
      <w:lvlText w:val="%1.%2.%3.%4.%5.%6"/>
      <w:lvlJc w:val="left"/>
      <w:pPr>
        <w:ind w:hanging="1440" w:left="2290"/>
      </w:pPr>
      <w:rPr>
        <w:rFonts w:hint="default"/>
      </w:rPr>
    </w:lvl>
    <w:lvl w:ilvl="6">
      <w:start w:val="1"/>
      <w:numFmt w:val="decimal"/>
      <w:lvlText w:val="%1.%2.%3.%4.%5.%6.%7"/>
      <w:lvlJc w:val="left"/>
      <w:pPr>
        <w:ind w:hanging="1440" w:left="2460"/>
      </w:pPr>
      <w:rPr>
        <w:rFonts w:hint="default"/>
      </w:rPr>
    </w:lvl>
    <w:lvl w:ilvl="7">
      <w:start w:val="1"/>
      <w:numFmt w:val="decimal"/>
      <w:lvlText w:val="%1.%2.%3.%4.%5.%6.%7.%8"/>
      <w:lvlJc w:val="left"/>
      <w:pPr>
        <w:ind w:hanging="1800" w:left="2990"/>
      </w:pPr>
      <w:rPr>
        <w:rFonts w:hint="default"/>
      </w:rPr>
    </w:lvl>
    <w:lvl w:ilvl="8">
      <w:start w:val="1"/>
      <w:numFmt w:val="decimal"/>
      <w:lvlText w:val="%1.%2.%3.%4.%5.%6.%7.%8.%9"/>
      <w:lvlJc w:val="left"/>
      <w:pPr>
        <w:ind w:hanging="1800" w:left="316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959605741" w:numId="1">
    <w:abstractNumId w:val="6"/>
  </w:num>
  <w:num w16cid:durableId="1538660461" w:numId="2">
    <w:abstractNumId w:val="8"/>
  </w:num>
  <w:num w16cid:durableId="85733380" w:numId="3">
    <w:abstractNumId w:val="1"/>
  </w:num>
  <w:num w16cid:durableId="1381171823" w:numId="4">
    <w:abstractNumId w:val="2"/>
  </w:num>
  <w:num w16cid:durableId="1105732855" w:numId="5">
    <w:abstractNumId w:val="9"/>
  </w:num>
  <w:num w16cid:durableId="2123842053" w:numId="6">
    <w:abstractNumId w:val="10"/>
  </w:num>
  <w:num w16cid:durableId="1359963147" w:numId="7">
    <w:abstractNumId w:val="0"/>
  </w:num>
  <w:num w16cid:durableId="1854957730" w:numId="8">
    <w:abstractNumId w:val="11"/>
  </w:num>
  <w:num w16cid:durableId="841625367" w:numId="9">
    <w:abstractNumId w:val="4"/>
  </w:num>
  <w:num w16cid:durableId="1289968773" w:numId="10">
    <w:abstractNumId w:val="7"/>
  </w:num>
  <w:num w16cid:durableId="626816976" w:numId="11">
    <w:abstractNumId w:val="12"/>
  </w:num>
  <w:num w16cid:durableId="606011983" w:numId="12">
    <w:abstractNumId w:val="3"/>
  </w:num>
  <w:num w16cid:durableId="1696733201" w:numId="13">
    <w:abstractNumId w:val="5"/>
  </w:num>
  <w:num w16cid:durableId="1175148616" w:numId="14">
    <w:abstractNumId w:val="13"/>
  </w:num>
  <w:num w16cid:durableId="1942492237" w:numId="15">
    <w:abstractNumId w:val="3"/>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6"/>
  <w:proofState w:grammar="clean" w:spelling="clean"/>
  <w:defaultTabStop w:val="113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Z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ZA"/>
      </w:rPr>
    </w:rPrDefault>
    <w:pPrDefault>
      <w:pPr>
        <w:spacing w:after="160" w:line="259" w:lineRule="auto"/>
      </w:pPr>
    </w:pPrDefault>
  </w:docDefaults>
  <w:latentStyles w:count="376" w:defLockedState="0" w:defQFormat="0" w:defSemiHidden="0" w:defUIPriority="99" w:defUnhideWhenUsed="0">
    <w:lsdException w:name="Normal" w:qFormat="1" w:uiPriority="1"/>
    <w:lsdException w:name="heading 1" w:qFormat="1" w:uiPriority="1"/>
    <w:lsdException w:name="heading 2" w:qFormat="1" w:semiHidden="1" w:uiPriority="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rsid w:val="00F44D54"/>
    <w:pPr>
      <w:widowControl w:val="0"/>
      <w:tabs>
        <w:tab w:pos="170" w:val="left"/>
      </w:tabs>
      <w:autoSpaceDE w:val="0"/>
      <w:autoSpaceDN w:val="0"/>
      <w:spacing w:after="240" w:line="360" w:lineRule="auto"/>
      <w:jc w:val="both"/>
    </w:pPr>
    <w:rPr>
      <w:rFonts w:ascii="Arial" w:cs="Times New Roman" w:eastAsia="Times New Roman" w:hAnsi="Arial"/>
      <w:sz w:val="24"/>
      <w:lang w:val="en-GB"/>
    </w:rPr>
  </w:style>
  <w:style w:styleId="Heading1" w:type="paragraph">
    <w:name w:val="heading 1"/>
    <w:basedOn w:val="Normal"/>
    <w:link w:val="Heading1Char"/>
    <w:autoRedefine/>
    <w:uiPriority w:val="1"/>
    <w:qFormat/>
    <w:rsid w:val="001B247C"/>
    <w:pPr>
      <w:tabs>
        <w:tab w:pos="170" w:val="clear"/>
      </w:tabs>
      <w:spacing w:after="120"/>
      <w:ind w:hanging="737" w:left="737"/>
      <w:outlineLvl w:val="0"/>
    </w:pPr>
    <w:rPr>
      <w:rFonts w:cs="Arial" w:eastAsia="Arial"/>
      <w:b/>
      <w:bCs/>
      <w:szCs w:val="24"/>
    </w:rPr>
  </w:style>
  <w:style w:styleId="Heading2" w:type="paragraph">
    <w:name w:val="heading 2"/>
    <w:basedOn w:val="Normal"/>
    <w:link w:val="Heading2Char"/>
    <w:uiPriority w:val="1"/>
    <w:qFormat/>
    <w:rsid w:val="001B247C"/>
    <w:pPr>
      <w:widowControl/>
      <w:tabs>
        <w:tab w:pos="170" w:val="clear"/>
      </w:tabs>
      <w:autoSpaceDE/>
      <w:autoSpaceDN/>
      <w:spacing w:after="120"/>
      <w:ind w:hanging="737" w:left="737"/>
      <w:outlineLvl w:val="1"/>
    </w:pPr>
    <w:rPr>
      <w:rFonts w:cs="Arial" w:eastAsiaTheme="minorHAnsi"/>
      <w:b/>
    </w:rPr>
  </w:style>
  <w:style w:styleId="Heading3" w:type="paragraph">
    <w:name w:val="heading 3"/>
    <w:basedOn w:val="Normal"/>
    <w:next w:val="Normal"/>
    <w:link w:val="Heading3Char"/>
    <w:uiPriority w:val="9"/>
    <w:unhideWhenUsed/>
    <w:qFormat/>
    <w:rsid w:val="001B247C"/>
    <w:pPr>
      <w:widowControl/>
      <w:tabs>
        <w:tab w:pos="170" w:val="clear"/>
      </w:tabs>
      <w:autoSpaceDE/>
      <w:autoSpaceDN/>
      <w:spacing w:after="120"/>
      <w:ind w:hanging="737" w:left="737"/>
      <w:outlineLvl w:val="2"/>
    </w:pPr>
    <w:rPr>
      <w:rFonts w:cs="Arial" w:eastAsiaTheme="minorHAnsi"/>
      <w:b/>
    </w:rPr>
  </w:style>
  <w:style w:styleId="Heading4" w:type="paragraph">
    <w:name w:val="heading 4"/>
    <w:basedOn w:val="Normal"/>
    <w:next w:val="Normal"/>
    <w:link w:val="Heading4Char"/>
    <w:uiPriority w:val="9"/>
    <w:unhideWhenUsed/>
    <w:qFormat/>
    <w:rsid w:val="009D31B9"/>
    <w:pPr>
      <w:keepNext/>
      <w:adjustRightInd w:val="0"/>
      <w:spacing w:line="240" w:lineRule="auto"/>
      <w:outlineLvl w:val="3"/>
    </w:pPr>
    <w:rPr>
      <w:rFonts w:cs="Arial"/>
      <w:b/>
      <w:bCs/>
      <w:color w:themeColor="text1" w:val="000000"/>
      <w:sz w:val="52"/>
      <w:szCs w:val="52"/>
    </w:rPr>
  </w:style>
  <w:style w:styleId="Heading5" w:type="paragraph">
    <w:name w:val="heading 5"/>
    <w:basedOn w:val="Normal"/>
    <w:next w:val="Normal"/>
    <w:link w:val="Heading5Char"/>
    <w:uiPriority w:val="9"/>
    <w:unhideWhenUsed/>
    <w:qFormat/>
    <w:rsid w:val="009D31B9"/>
    <w:pPr>
      <w:keepNext/>
      <w:spacing w:line="240" w:lineRule="auto"/>
      <w:outlineLvl w:val="4"/>
    </w:pPr>
    <w:rPr>
      <w:rFonts w:cs="Arial"/>
      <w:b/>
      <w:bCs/>
      <w:color w:themeColor="text1" w:val="000000"/>
      <w:sz w:val="30"/>
      <w:szCs w:val="3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1"/>
    <w:rsid w:val="001B247C"/>
    <w:rPr>
      <w:rFonts w:ascii="Arial" w:cs="Arial" w:eastAsia="Arial" w:hAnsi="Arial"/>
      <w:b/>
      <w:bCs/>
      <w:sz w:val="24"/>
      <w:szCs w:val="24"/>
      <w:lang w:val="en-GB"/>
    </w:rPr>
  </w:style>
  <w:style w:customStyle="1" w:styleId="Heading2Char" w:type="character">
    <w:name w:val="Heading 2 Char"/>
    <w:basedOn w:val="DefaultParagraphFont"/>
    <w:link w:val="Heading2"/>
    <w:uiPriority w:val="1"/>
    <w:rsid w:val="001B247C"/>
    <w:rPr>
      <w:rFonts w:ascii="Arial" w:cs="Arial" w:hAnsi="Arial"/>
      <w:b/>
      <w:sz w:val="24"/>
      <w:lang w:val="en-GB"/>
    </w:rPr>
  </w:style>
  <w:style w:styleId="BodyText" w:type="paragraph">
    <w:name w:val="Body Text"/>
    <w:basedOn w:val="Normal"/>
    <w:link w:val="BodyTextChar"/>
    <w:uiPriority w:val="1"/>
    <w:qFormat/>
    <w:rsid w:val="00A73CCA"/>
    <w:rPr>
      <w:szCs w:val="20"/>
    </w:rPr>
  </w:style>
  <w:style w:customStyle="1" w:styleId="BodyTextChar" w:type="character">
    <w:name w:val="Body Text Char"/>
    <w:basedOn w:val="DefaultParagraphFont"/>
    <w:link w:val="BodyText"/>
    <w:uiPriority w:val="1"/>
    <w:rsid w:val="00A73CCA"/>
    <w:rPr>
      <w:rFonts w:ascii="Times New Roman" w:cs="Times New Roman" w:eastAsia="Times New Roman" w:hAnsi="Times New Roman"/>
      <w:sz w:val="20"/>
      <w:szCs w:val="20"/>
      <w:lang w:val="en-US"/>
    </w:rPr>
  </w:style>
  <w:style w:styleId="Title" w:type="paragraph">
    <w:name w:val="Title"/>
    <w:basedOn w:val="Normal"/>
    <w:link w:val="TitleChar"/>
    <w:uiPriority w:val="1"/>
    <w:qFormat/>
    <w:rsid w:val="00A73CCA"/>
    <w:pPr>
      <w:spacing w:before="268"/>
      <w:ind w:left="120" w:right="1408"/>
    </w:pPr>
    <w:rPr>
      <w:rFonts w:ascii="Verdana" w:cs="Verdana" w:eastAsia="Verdana" w:hAnsi="Verdana"/>
      <w:sz w:val="30"/>
      <w:szCs w:val="30"/>
    </w:rPr>
  </w:style>
  <w:style w:customStyle="1" w:styleId="TitleChar" w:type="character">
    <w:name w:val="Title Char"/>
    <w:basedOn w:val="DefaultParagraphFont"/>
    <w:link w:val="Title"/>
    <w:uiPriority w:val="1"/>
    <w:rsid w:val="00A73CCA"/>
    <w:rPr>
      <w:rFonts w:ascii="Verdana" w:cs="Verdana" w:eastAsia="Verdana" w:hAnsi="Verdana"/>
      <w:sz w:val="30"/>
      <w:szCs w:val="30"/>
      <w:lang w:val="en-US"/>
    </w:rPr>
  </w:style>
  <w:style w:styleId="ListParagraph" w:type="paragraph">
    <w:name w:val="List Paragraph"/>
    <w:basedOn w:val="Normal"/>
    <w:uiPriority w:val="1"/>
    <w:qFormat/>
    <w:rsid w:val="00A73CCA"/>
    <w:pPr>
      <w:spacing w:before="1"/>
      <w:ind w:hanging="240" w:left="359" w:right="797"/>
    </w:pPr>
  </w:style>
  <w:style w:customStyle="1" w:styleId="TableParagraph" w:type="paragraph">
    <w:name w:val="Table Paragraph"/>
    <w:basedOn w:val="Normal"/>
    <w:uiPriority w:val="1"/>
    <w:qFormat/>
    <w:rsid w:val="00A73CCA"/>
  </w:style>
  <w:style w:styleId="Header" w:type="paragraph">
    <w:name w:val="header"/>
    <w:basedOn w:val="Normal"/>
    <w:link w:val="HeaderChar"/>
    <w:uiPriority w:val="99"/>
    <w:unhideWhenUsed/>
    <w:rsid w:val="00A73CCA"/>
    <w:pPr>
      <w:tabs>
        <w:tab w:pos="4513" w:val="center"/>
        <w:tab w:pos="9026" w:val="right"/>
      </w:tabs>
    </w:pPr>
  </w:style>
  <w:style w:customStyle="1" w:styleId="HeaderChar" w:type="character">
    <w:name w:val="Header Char"/>
    <w:basedOn w:val="DefaultParagraphFont"/>
    <w:link w:val="Header"/>
    <w:uiPriority w:val="99"/>
    <w:rsid w:val="00A73CCA"/>
    <w:rPr>
      <w:rFonts w:ascii="Times New Roman" w:cs="Times New Roman" w:eastAsia="Times New Roman" w:hAnsi="Times New Roman"/>
      <w:lang w:val="en-US"/>
    </w:rPr>
  </w:style>
  <w:style w:styleId="Footer" w:type="paragraph">
    <w:name w:val="footer"/>
    <w:basedOn w:val="Normal"/>
    <w:link w:val="FooterChar"/>
    <w:uiPriority w:val="99"/>
    <w:unhideWhenUsed/>
    <w:rsid w:val="00A73CCA"/>
    <w:pPr>
      <w:tabs>
        <w:tab w:pos="4513" w:val="center"/>
        <w:tab w:pos="9026" w:val="right"/>
      </w:tabs>
    </w:pPr>
  </w:style>
  <w:style w:customStyle="1" w:styleId="FooterChar" w:type="character">
    <w:name w:val="Footer Char"/>
    <w:basedOn w:val="DefaultParagraphFont"/>
    <w:link w:val="Footer"/>
    <w:uiPriority w:val="99"/>
    <w:rsid w:val="00A73CCA"/>
    <w:rPr>
      <w:rFonts w:ascii="Times New Roman" w:cs="Times New Roman" w:eastAsia="Times New Roman" w:hAnsi="Times New Roman"/>
      <w:lang w:val="en-US"/>
    </w:rPr>
  </w:style>
  <w:style w:styleId="FootnoteText" w:type="paragraph">
    <w:name w:val="footnote text"/>
    <w:basedOn w:val="Normal"/>
    <w:link w:val="FootnoteTextChar"/>
    <w:autoRedefine/>
    <w:uiPriority w:val="99"/>
    <w:unhideWhenUsed/>
    <w:qFormat/>
    <w:rsid w:val="00A52E7D"/>
    <w:pPr>
      <w:tabs>
        <w:tab w:pos="170" w:val="clear"/>
        <w:tab w:pos="567" w:val="left"/>
      </w:tabs>
      <w:spacing w:after="60" w:line="240" w:lineRule="auto"/>
      <w:ind w:hanging="567" w:left="567"/>
    </w:pPr>
    <w:rPr>
      <w:sz w:val="20"/>
      <w:szCs w:val="20"/>
    </w:rPr>
  </w:style>
  <w:style w:customStyle="1" w:styleId="FootnoteTextChar" w:type="character">
    <w:name w:val="Footnote Text Char"/>
    <w:basedOn w:val="DefaultParagraphFont"/>
    <w:link w:val="FootnoteText"/>
    <w:uiPriority w:val="99"/>
    <w:rsid w:val="00A52E7D"/>
    <w:rPr>
      <w:rFonts w:ascii="Arial" w:cs="Times New Roman" w:eastAsia="Times New Roman" w:hAnsi="Arial"/>
      <w:sz w:val="20"/>
      <w:szCs w:val="20"/>
      <w:lang w:val="en-GB"/>
    </w:rPr>
  </w:style>
  <w:style w:styleId="FootnoteReference" w:type="character">
    <w:name w:val="footnote reference"/>
    <w:basedOn w:val="DefaultParagraphFont"/>
    <w:uiPriority w:val="99"/>
    <w:unhideWhenUsed/>
    <w:rsid w:val="004F3F54"/>
    <w:rPr>
      <w:vertAlign w:val="superscript"/>
    </w:rPr>
  </w:style>
  <w:style w:customStyle="1" w:styleId="EndNoteBibliographyTitle" w:type="paragraph">
    <w:name w:val="EndNote Bibliography Title"/>
    <w:basedOn w:val="Normal"/>
    <w:link w:val="EndNoteBibliographyTitleChar"/>
    <w:rsid w:val="004F3F54"/>
    <w:pPr>
      <w:jc w:val="center"/>
    </w:pPr>
    <w:rPr>
      <w:rFonts w:ascii="Times New Roman" w:hAnsi="Times New Roman"/>
      <w:noProof/>
    </w:rPr>
  </w:style>
  <w:style w:customStyle="1" w:styleId="EndNoteBibliographyTitleChar" w:type="character">
    <w:name w:val="EndNote Bibliography Title Char"/>
    <w:basedOn w:val="FootnoteTextChar"/>
    <w:link w:val="EndNoteBibliographyTitle"/>
    <w:rsid w:val="004F3F54"/>
    <w:rPr>
      <w:rFonts w:ascii="Times New Roman" w:cs="Times New Roman" w:eastAsia="Times New Roman" w:hAnsi="Times New Roman"/>
      <w:noProof/>
      <w:sz w:val="18"/>
      <w:szCs w:val="20"/>
      <w:lang w:val="en-US"/>
    </w:rPr>
  </w:style>
  <w:style w:customStyle="1" w:styleId="EndNoteBibliography" w:type="paragraph">
    <w:name w:val="EndNote Bibliography"/>
    <w:basedOn w:val="Normal"/>
    <w:link w:val="EndNoteBibliographyChar"/>
    <w:rsid w:val="004F3F54"/>
    <w:rPr>
      <w:rFonts w:ascii="Times New Roman" w:hAnsi="Times New Roman"/>
      <w:noProof/>
    </w:rPr>
  </w:style>
  <w:style w:customStyle="1" w:styleId="EndNoteBibliographyChar" w:type="character">
    <w:name w:val="EndNote Bibliography Char"/>
    <w:basedOn w:val="FootnoteTextChar"/>
    <w:link w:val="EndNoteBibliography"/>
    <w:rsid w:val="004F3F54"/>
    <w:rPr>
      <w:rFonts w:ascii="Times New Roman" w:cs="Times New Roman" w:eastAsia="Times New Roman" w:hAnsi="Times New Roman"/>
      <w:noProof/>
      <w:sz w:val="18"/>
      <w:szCs w:val="20"/>
      <w:lang w:val="en-US"/>
    </w:rPr>
  </w:style>
  <w:style w:styleId="Hyperlink" w:type="character">
    <w:name w:val="Hyperlink"/>
    <w:basedOn w:val="DefaultParagraphFont"/>
    <w:uiPriority w:val="99"/>
    <w:unhideWhenUsed/>
    <w:rsid w:val="004F3F54"/>
    <w:rPr>
      <w:color w:themeColor="hyperlink" w:val="0563C1"/>
      <w:u w:val="single"/>
    </w:rPr>
  </w:style>
  <w:style w:styleId="NoSpacing" w:type="paragraph">
    <w:name w:val="No Spacing"/>
    <w:uiPriority w:val="1"/>
    <w:qFormat/>
    <w:rsid w:val="00FE5B9F"/>
    <w:pPr>
      <w:widowControl w:val="0"/>
      <w:autoSpaceDE w:val="0"/>
      <w:autoSpaceDN w:val="0"/>
      <w:spacing w:after="0" w:line="240" w:lineRule="auto"/>
    </w:pPr>
    <w:rPr>
      <w:rFonts w:ascii="Times New Roman" w:cs="Times New Roman" w:eastAsia="Times New Roman" w:hAnsi="Times New Roman"/>
      <w:lang w:val="en-US"/>
    </w:rPr>
  </w:style>
  <w:style w:styleId="CommentReference" w:type="character">
    <w:name w:val="annotation reference"/>
    <w:basedOn w:val="DefaultParagraphFont"/>
    <w:uiPriority w:val="99"/>
    <w:semiHidden/>
    <w:unhideWhenUsed/>
    <w:rsid w:val="001E4EA8"/>
    <w:rPr>
      <w:sz w:val="16"/>
      <w:szCs w:val="16"/>
    </w:rPr>
  </w:style>
  <w:style w:styleId="CommentText" w:type="paragraph">
    <w:name w:val="annotation text"/>
    <w:basedOn w:val="Normal"/>
    <w:link w:val="CommentTextChar"/>
    <w:uiPriority w:val="99"/>
    <w:semiHidden/>
    <w:unhideWhenUsed/>
    <w:rsid w:val="001E4EA8"/>
    <w:rPr>
      <w:szCs w:val="20"/>
    </w:rPr>
  </w:style>
  <w:style w:customStyle="1" w:styleId="CommentTextChar" w:type="character">
    <w:name w:val="Comment Text Char"/>
    <w:basedOn w:val="DefaultParagraphFont"/>
    <w:link w:val="CommentText"/>
    <w:uiPriority w:val="99"/>
    <w:semiHidden/>
    <w:rsid w:val="001E4EA8"/>
    <w:rPr>
      <w:rFonts w:ascii="Times New Roman" w:cs="Times New Roman" w:eastAsia="Times New Roman" w:hAnsi="Times New Roman"/>
      <w:sz w:val="20"/>
      <w:szCs w:val="20"/>
      <w:lang w:val="en-US"/>
    </w:rPr>
  </w:style>
  <w:style w:styleId="CommentSubject" w:type="paragraph">
    <w:name w:val="annotation subject"/>
    <w:basedOn w:val="CommentText"/>
    <w:next w:val="CommentText"/>
    <w:link w:val="CommentSubjectChar"/>
    <w:uiPriority w:val="99"/>
    <w:semiHidden/>
    <w:unhideWhenUsed/>
    <w:rsid w:val="001E4EA8"/>
    <w:rPr>
      <w:b/>
      <w:bCs/>
    </w:rPr>
  </w:style>
  <w:style w:customStyle="1" w:styleId="CommentSubjectChar" w:type="character">
    <w:name w:val="Comment Subject Char"/>
    <w:basedOn w:val="CommentTextChar"/>
    <w:link w:val="CommentSubject"/>
    <w:uiPriority w:val="99"/>
    <w:semiHidden/>
    <w:rsid w:val="001E4EA8"/>
    <w:rPr>
      <w:rFonts w:ascii="Times New Roman" w:cs="Times New Roman" w:eastAsia="Times New Roman" w:hAnsi="Times New Roman"/>
      <w:b/>
      <w:bCs/>
      <w:sz w:val="20"/>
      <w:szCs w:val="20"/>
      <w:lang w:val="en-US"/>
    </w:rPr>
  </w:style>
  <w:style w:styleId="BalloonText" w:type="paragraph">
    <w:name w:val="Balloon Text"/>
    <w:basedOn w:val="Normal"/>
    <w:link w:val="BalloonTextChar"/>
    <w:uiPriority w:val="99"/>
    <w:semiHidden/>
    <w:unhideWhenUsed/>
    <w:rsid w:val="001E4EA8"/>
    <w:rPr>
      <w:rFonts w:ascii="Segoe UI" w:cs="Segoe UI" w:hAnsi="Segoe UI"/>
      <w:sz w:val="18"/>
      <w:szCs w:val="18"/>
    </w:rPr>
  </w:style>
  <w:style w:customStyle="1" w:styleId="BalloonTextChar" w:type="character">
    <w:name w:val="Balloon Text Char"/>
    <w:basedOn w:val="DefaultParagraphFont"/>
    <w:link w:val="BalloonText"/>
    <w:uiPriority w:val="99"/>
    <w:semiHidden/>
    <w:rsid w:val="001E4EA8"/>
    <w:rPr>
      <w:rFonts w:ascii="Segoe UI" w:cs="Segoe UI" w:eastAsia="Times New Roman" w:hAnsi="Segoe UI"/>
      <w:sz w:val="18"/>
      <w:szCs w:val="18"/>
      <w:lang w:val="en-US"/>
    </w:rPr>
  </w:style>
  <w:style w:customStyle="1" w:styleId="Style1" w:type="paragraph">
    <w:name w:val="Style1"/>
    <w:basedOn w:val="BodyText"/>
    <w:uiPriority w:val="1"/>
    <w:qFormat/>
    <w:rsid w:val="000950CB"/>
    <w:pPr>
      <w:spacing w:before="30" w:line="271" w:lineRule="auto"/>
      <w:ind w:firstLine="240"/>
    </w:pPr>
    <w:rPr>
      <w:color w:val="231F20"/>
    </w:rPr>
  </w:style>
  <w:style w:styleId="Caption" w:type="paragraph">
    <w:name w:val="caption"/>
    <w:basedOn w:val="Normal"/>
    <w:next w:val="Normal"/>
    <w:uiPriority w:val="35"/>
    <w:qFormat/>
    <w:rsid w:val="00D87D72"/>
    <w:pPr>
      <w:widowControl/>
      <w:autoSpaceDE/>
      <w:autoSpaceDN/>
      <w:spacing w:before="60"/>
    </w:pPr>
    <w:rPr>
      <w:rFonts w:cs="Arial"/>
      <w:b/>
      <w:bCs/>
      <w:iCs/>
      <w:color w:themeColor="text1" w:val="000000"/>
      <w:szCs w:val="16"/>
    </w:rPr>
  </w:style>
  <w:style w:styleId="EndnoteText" w:type="paragraph">
    <w:name w:val="endnote text"/>
    <w:basedOn w:val="Normal"/>
    <w:link w:val="EndnoteTextChar"/>
    <w:uiPriority w:val="99"/>
    <w:semiHidden/>
    <w:unhideWhenUsed/>
    <w:rsid w:val="005B474E"/>
    <w:rPr>
      <w:sz w:val="20"/>
      <w:szCs w:val="20"/>
    </w:rPr>
  </w:style>
  <w:style w:customStyle="1" w:styleId="EndnoteTextChar" w:type="character">
    <w:name w:val="Endnote Text Char"/>
    <w:basedOn w:val="DefaultParagraphFont"/>
    <w:link w:val="EndnoteText"/>
    <w:uiPriority w:val="99"/>
    <w:semiHidden/>
    <w:rsid w:val="005B474E"/>
    <w:rPr>
      <w:rFonts w:ascii="Arial" w:cs="Times New Roman" w:eastAsia="Times New Roman" w:hAnsi="Arial"/>
      <w:sz w:val="20"/>
      <w:szCs w:val="20"/>
      <w:lang w:val="en-US"/>
    </w:rPr>
  </w:style>
  <w:style w:styleId="EndnoteReference" w:type="character">
    <w:name w:val="endnote reference"/>
    <w:basedOn w:val="DefaultParagraphFont"/>
    <w:uiPriority w:val="99"/>
    <w:semiHidden/>
    <w:unhideWhenUsed/>
    <w:rsid w:val="005B474E"/>
    <w:rPr>
      <w:vertAlign w:val="superscript"/>
    </w:rPr>
  </w:style>
  <w:style w:styleId="IntenseReference" w:type="character">
    <w:name w:val="Intense Reference"/>
    <w:basedOn w:val="DefaultParagraphFont"/>
    <w:uiPriority w:val="32"/>
    <w:qFormat/>
    <w:rsid w:val="000C3C39"/>
    <w:rPr>
      <w:b/>
      <w:bCs/>
      <w:smallCaps/>
      <w:color w:themeColor="accent1" w:val="5B9BD5"/>
      <w:spacing w:val="5"/>
    </w:rPr>
  </w:style>
  <w:style w:customStyle="1" w:styleId="ChartNormal" w:type="paragraph">
    <w:name w:val="__Chart_Normal"/>
    <w:basedOn w:val="Normal"/>
    <w:rsid w:val="001149CC"/>
    <w:pPr>
      <w:keepNext/>
      <w:framePr w:hAnchor="margin" w:hSpace="57" w:vAnchor="text" w:vSpace="57" w:wrap="around" w:x="1" w:y="1"/>
      <w:widowControl/>
      <w:tabs>
        <w:tab w:pos="170" w:val="clear"/>
      </w:tabs>
      <w:autoSpaceDE/>
      <w:autoSpaceDN/>
      <w:jc w:val="left"/>
    </w:pPr>
    <w:rPr>
      <w:rFonts w:ascii="Arial Narrow" w:cs="Arial" w:eastAsia="SimSun" w:hAnsi="Arial Narrow"/>
      <w:color w:val="000000"/>
      <w:sz w:val="14"/>
      <w:szCs w:val="20"/>
    </w:rPr>
  </w:style>
  <w:style w:customStyle="1" w:styleId="ChartObject" w:type="character">
    <w:name w:val="_Chart Object"/>
    <w:basedOn w:val="DefaultParagraphFont"/>
    <w:rsid w:val="001149CC"/>
  </w:style>
  <w:style w:customStyle="1" w:styleId="ChartSource" w:type="character">
    <w:name w:val="_Chart Source"/>
    <w:basedOn w:val="DefaultParagraphFont"/>
    <w:rsid w:val="001149CC"/>
    <w:rPr>
      <w:rFonts w:ascii="Arial Narrow" w:eastAsia="SimSun" w:hAnsi="Arial Narrow"/>
      <w:i w:val="0"/>
      <w:sz w:val="12"/>
      <w:bdr w:color="auto" w:space="0" w:sz="0" w:val="none"/>
      <w:shd w:color="auto" w:fill="F2F2F2" w:themeFill="background1" w:themeFillShade="F2" w:val="clear"/>
    </w:rPr>
  </w:style>
  <w:style w:customStyle="1" w:styleId="ChartTitle" w:type="character">
    <w:name w:val="_Chart Title"/>
    <w:basedOn w:val="DefaultParagraphFont"/>
    <w:rsid w:val="001149CC"/>
    <w:rPr>
      <w:rFonts w:ascii="Arial" w:eastAsia="SimHei" w:hAnsi="Arial"/>
      <w:b/>
      <w:sz w:val="18"/>
    </w:rPr>
  </w:style>
  <w:style w:customStyle="1" w:styleId="TableSubtitle" w:type="character">
    <w:name w:val="_Table Subtitle"/>
    <w:basedOn w:val="DefaultParagraphFont"/>
    <w:rsid w:val="00243684"/>
    <w:rPr>
      <w:rFonts w:ascii="Arial Narrow" w:eastAsia="SimSun" w:hAnsi="Arial Narrow"/>
      <w:b/>
      <w:sz w:val="14"/>
    </w:rPr>
  </w:style>
  <w:style w:styleId="Revision" w:type="paragraph">
    <w:name w:val="Revision"/>
    <w:hidden/>
    <w:uiPriority w:val="99"/>
    <w:semiHidden/>
    <w:rsid w:val="00B16664"/>
    <w:pPr>
      <w:spacing w:after="0" w:line="240" w:lineRule="auto"/>
    </w:pPr>
    <w:rPr>
      <w:rFonts w:ascii="Arial" w:cs="Times New Roman" w:eastAsia="Times New Roman" w:hAnsi="Arial"/>
      <w:lang w:val="en-US"/>
    </w:rPr>
  </w:style>
  <w:style w:styleId="FollowedHyperlink" w:type="character">
    <w:name w:val="FollowedHyperlink"/>
    <w:basedOn w:val="DefaultParagraphFont"/>
    <w:uiPriority w:val="99"/>
    <w:semiHidden/>
    <w:unhideWhenUsed/>
    <w:rsid w:val="00916F21"/>
    <w:rPr>
      <w:color w:themeColor="followedHyperlink" w:val="954F72"/>
      <w:u w:val="single"/>
    </w:rPr>
  </w:style>
  <w:style w:styleId="BodyText2" w:type="paragraph">
    <w:name w:val="Body Text 2"/>
    <w:basedOn w:val="Normal"/>
    <w:link w:val="BodyText2Char"/>
    <w:uiPriority w:val="99"/>
    <w:unhideWhenUsed/>
    <w:rsid w:val="007E5901"/>
    <w:pPr>
      <w:widowControl/>
      <w:tabs>
        <w:tab w:pos="170" w:val="clear"/>
      </w:tabs>
      <w:autoSpaceDE/>
      <w:autoSpaceDN/>
      <w:spacing w:line="288" w:lineRule="auto"/>
      <w:jc w:val="center"/>
    </w:pPr>
    <w:rPr>
      <w:rFonts w:cs="Arial" w:eastAsiaTheme="minorHAnsi"/>
      <w:b/>
      <w:sz w:val="28"/>
    </w:rPr>
  </w:style>
  <w:style w:customStyle="1" w:styleId="BodyText2Char" w:type="character">
    <w:name w:val="Body Text 2 Char"/>
    <w:basedOn w:val="DefaultParagraphFont"/>
    <w:link w:val="BodyText2"/>
    <w:uiPriority w:val="99"/>
    <w:rsid w:val="007E5901"/>
    <w:rPr>
      <w:rFonts w:ascii="Arial" w:cs="Arial" w:hAnsi="Arial"/>
      <w:b/>
      <w:sz w:val="28"/>
      <w:lang w:val="en-US"/>
    </w:rPr>
  </w:style>
  <w:style w:styleId="BodyText3" w:type="paragraph">
    <w:name w:val="Body Text 3"/>
    <w:basedOn w:val="Normal"/>
    <w:link w:val="BodyText3Char"/>
    <w:uiPriority w:val="99"/>
    <w:unhideWhenUsed/>
    <w:rsid w:val="00006603"/>
    <w:pPr>
      <w:widowControl/>
      <w:tabs>
        <w:tab w:pos="170" w:val="clear"/>
      </w:tabs>
      <w:autoSpaceDE/>
      <w:autoSpaceDN/>
      <w:spacing w:line="288" w:lineRule="auto"/>
    </w:pPr>
    <w:rPr>
      <w:rFonts w:cs="Arial" w:eastAsiaTheme="minorHAnsi"/>
    </w:rPr>
  </w:style>
  <w:style w:customStyle="1" w:styleId="BodyText3Char" w:type="character">
    <w:name w:val="Body Text 3 Char"/>
    <w:basedOn w:val="DefaultParagraphFont"/>
    <w:link w:val="BodyText3"/>
    <w:uiPriority w:val="99"/>
    <w:rsid w:val="00006603"/>
    <w:rPr>
      <w:rFonts w:ascii="Arial" w:cs="Arial" w:hAnsi="Arial"/>
      <w:lang w:val="en-US"/>
    </w:rPr>
  </w:style>
  <w:style w:customStyle="1" w:styleId="Default" w:type="paragraph">
    <w:name w:val="Default"/>
    <w:rsid w:val="003F05F8"/>
    <w:pPr>
      <w:autoSpaceDE w:val="0"/>
      <w:autoSpaceDN w:val="0"/>
      <w:adjustRightInd w:val="0"/>
      <w:spacing w:after="0" w:line="240" w:lineRule="auto"/>
    </w:pPr>
    <w:rPr>
      <w:rFonts w:ascii="Arial" w:cs="Arial" w:eastAsia="Cambria" w:hAnsi="Arial"/>
      <w:color w:val="000000"/>
      <w:sz w:val="24"/>
      <w:szCs w:val="24"/>
      <w:lang w:eastAsia="en-GB" w:val="en-US"/>
    </w:rPr>
  </w:style>
  <w:style w:customStyle="1" w:styleId="Heading3Char" w:type="character">
    <w:name w:val="Heading 3 Char"/>
    <w:basedOn w:val="DefaultParagraphFont"/>
    <w:link w:val="Heading3"/>
    <w:uiPriority w:val="9"/>
    <w:rsid w:val="001B247C"/>
    <w:rPr>
      <w:rFonts w:ascii="Arial" w:cs="Arial" w:hAnsi="Arial"/>
      <w:b/>
      <w:sz w:val="24"/>
      <w:lang w:val="en-GB"/>
    </w:rPr>
  </w:style>
  <w:style w:customStyle="1" w:styleId="Heading4Char" w:type="character">
    <w:name w:val="Heading 4 Char"/>
    <w:basedOn w:val="DefaultParagraphFont"/>
    <w:link w:val="Heading4"/>
    <w:uiPriority w:val="9"/>
    <w:rsid w:val="009D31B9"/>
    <w:rPr>
      <w:rFonts w:ascii="Arial" w:cs="Arial" w:eastAsia="Times New Roman" w:hAnsi="Arial"/>
      <w:b/>
      <w:bCs/>
      <w:color w:themeColor="text1" w:val="000000"/>
      <w:sz w:val="52"/>
      <w:szCs w:val="52"/>
      <w:lang w:val="en-GB"/>
    </w:rPr>
  </w:style>
  <w:style w:customStyle="1" w:styleId="Heading5Char" w:type="character">
    <w:name w:val="Heading 5 Char"/>
    <w:basedOn w:val="DefaultParagraphFont"/>
    <w:link w:val="Heading5"/>
    <w:uiPriority w:val="9"/>
    <w:rsid w:val="009D31B9"/>
    <w:rPr>
      <w:rFonts w:ascii="Arial" w:cs="Arial" w:eastAsia="Times New Roman" w:hAnsi="Arial"/>
      <w:b/>
      <w:bCs/>
      <w:color w:themeColor="text1" w:val="000000"/>
      <w:sz w:val="30"/>
      <w:szCs w:val="30"/>
      <w:lang w:val="en-GB"/>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5.xml" Type="http://schemas.openxmlformats.org/officeDocument/2006/relationships/header" /><Relationship Id="rId11" Target="header4.xml" Type="http://schemas.openxmlformats.org/officeDocument/2006/relationships/header" /><Relationship Id="rId12" Target="header2.xml" Type="http://schemas.openxmlformats.org/officeDocument/2006/relationships/header" /><Relationship Id="rId13" Target="header1.xml" Type="http://schemas.openxmlformats.org/officeDocument/2006/relationships/header" /><Relationship Id="rId14" Target="footer2.xml" Type="http://schemas.openxmlformats.org/officeDocument/2006/relationships/footer" /><Relationship Id="rId15" Target="footer1.xml" Type="http://schemas.openxmlformats.org/officeDocument/2006/relationships/footer" /><Relationship Id="rId16" Target="footer4.xml" Type="http://schemas.openxmlformats.org/officeDocument/2006/relationships/footer" /><Relationship Id="rId17" Target="footer3.xml" Type="http://schemas.openxmlformats.org/officeDocument/2006/relationships/footer"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2023-12-06T09:45:24Z</dcterms:created>
  <dcterms:modified xsi:type="dcterms:W3CDTF">2023-12-06T09:45:24Z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ucl-institute-of-education-harvard.csl</vt:lpwstr>
  </property>
  <property fmtid="{D5CDD505-2E9C-101B-9397-08002B2CF9AE}" pid="5" name="execute">
    <vt:lpwstr/>
  </property>
  <property fmtid="{D5CDD505-2E9C-101B-9397-08002B2CF9AE}" pid="6" name="fig-cap-location">
    <vt:lpwstr>bottom</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estretch">
    <vt:lpwstr>1.5</vt:lpwstr>
  </property>
  <property fmtid="{D5CDD505-2E9C-101B-9397-08002B2CF9AE}" pid="12" name="natbiboptions">
    <vt:lpwstr>round</vt:lpwstr>
  </property>
  <property fmtid="{D5CDD505-2E9C-101B-9397-08002B2CF9AE}" pid="13" name="toc-title">
    <vt:lpwstr>Table of contents</vt:lpwstr>
  </property>
</Properties>
</file>