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33A1" w14:textId="4105C852" w:rsidR="00B37C0F" w:rsidRPr="00B37C0F" w:rsidRDefault="00B37C0F" w:rsidP="00B37C0F">
      <w:pPr>
        <w:pStyle w:val="BodyText"/>
        <w:jc w:val="center"/>
        <w:rPr>
          <w:sz w:val="28"/>
          <w:szCs w:val="28"/>
          <w:lang w:val="en-ZA"/>
        </w:rPr>
      </w:pPr>
      <w:bookmarkStart w:id="0" w:name="introduction"/>
      <w:r w:rsidRPr="00B37C0F">
        <w:rPr>
          <w:sz w:val="28"/>
          <w:szCs w:val="28"/>
          <w:lang w:val="en-ZA"/>
        </w:rPr>
        <w:t xml:space="preserve">The impact of Basel III implementation on bank lending in South Africa </w:t>
      </w:r>
    </w:p>
    <w:p w14:paraId="4E85FCE4" w14:textId="17BF0158" w:rsidR="00FE0F87" w:rsidRDefault="00FE0F87" w:rsidP="00FE0F87">
      <w:pPr>
        <w:pStyle w:val="BodyText"/>
        <w:jc w:val="center"/>
      </w:pPr>
      <w:r>
        <w:t>Xolani Sibande</w:t>
      </w:r>
      <w:r>
        <w:rPr>
          <w:rStyle w:val="FootnoteReference"/>
        </w:rPr>
        <w:footnoteReference w:id="2"/>
      </w:r>
      <w:r>
        <w:t xml:space="preserve"> </w:t>
      </w:r>
      <w:r w:rsidR="00B424BD">
        <w:t xml:space="preserve">and </w:t>
      </w:r>
      <w:r>
        <w:t>Alistair Milne</w:t>
      </w:r>
      <w:r w:rsidR="00B37C0F">
        <w:rPr>
          <w:rStyle w:val="FootnoteReference"/>
        </w:rPr>
        <w:footnoteReference w:id="3"/>
      </w:r>
    </w:p>
    <w:p w14:paraId="0543844F" w14:textId="77777777" w:rsidR="00FE0F87" w:rsidRDefault="00FE0F87" w:rsidP="00FE0F87">
      <w:pPr>
        <w:pStyle w:val="BodyText"/>
        <w:jc w:val="center"/>
      </w:pPr>
    </w:p>
    <w:p w14:paraId="0A377723" w14:textId="7823CAC4" w:rsidR="00FE0F87" w:rsidRPr="005B3253" w:rsidRDefault="00FE0F87" w:rsidP="00FE0F87">
      <w:pPr>
        <w:pStyle w:val="BodyText"/>
        <w:jc w:val="center"/>
        <w:rPr>
          <w:sz w:val="20"/>
        </w:rPr>
      </w:pPr>
      <w:r>
        <w:rPr>
          <w:sz w:val="20"/>
        </w:rPr>
        <w:t xml:space="preserve">This version: </w:t>
      </w:r>
      <w:r w:rsidR="00B37C0F">
        <w:rPr>
          <w:sz w:val="20"/>
        </w:rPr>
        <w:t>May 15</w:t>
      </w:r>
      <w:r w:rsidRPr="005B3253">
        <w:rPr>
          <w:sz w:val="20"/>
        </w:rPr>
        <w:t>, 2023</w:t>
      </w:r>
    </w:p>
    <w:p w14:paraId="0CE2222E" w14:textId="77777777" w:rsidR="00FE0F87" w:rsidRDefault="00FE0F87" w:rsidP="00FE0F87">
      <w:pPr>
        <w:pStyle w:val="BodyText"/>
        <w:jc w:val="center"/>
        <w:rPr>
          <w:b/>
          <w:bCs/>
          <w:sz w:val="20"/>
        </w:rPr>
      </w:pPr>
      <w:r w:rsidRPr="005B3253">
        <w:rPr>
          <w:b/>
          <w:bCs/>
          <w:sz w:val="20"/>
        </w:rPr>
        <w:t>Abstract</w:t>
      </w:r>
    </w:p>
    <w:p w14:paraId="086205DE" w14:textId="6AFD9138" w:rsidR="00B37C0F" w:rsidRDefault="00B37C0F" w:rsidP="00B37C0F">
      <w:pPr>
        <w:pStyle w:val="BodyText"/>
      </w:pPr>
      <w:r w:rsidRPr="00FE0F87">
        <w:t xml:space="preserve">This study </w:t>
      </w:r>
      <w:r w:rsidR="00ED06C5">
        <w:t>investigates</w:t>
      </w:r>
      <w:r w:rsidRPr="00FE0F87">
        <w:t xml:space="preserve"> the impact of the Basel III capital requirement on </w:t>
      </w:r>
      <w:r w:rsidR="00ED06C5">
        <w:t xml:space="preserve">the supply of bank credit </w:t>
      </w:r>
      <w:r w:rsidRPr="00FE0F87">
        <w:t xml:space="preserve">in South Africa. </w:t>
      </w:r>
      <w:r w:rsidR="008F73B5">
        <w:t>The literature offers greatly</w:t>
      </w:r>
      <w:r w:rsidR="00ED06C5">
        <w:t xml:space="preserve"> </w:t>
      </w:r>
      <w:r w:rsidR="00896B97">
        <w:t>varying estimates of the impact of bank capital requirements</w:t>
      </w:r>
      <w:r w:rsidR="008F73B5">
        <w:t xml:space="preserve"> on loan supply. </w:t>
      </w:r>
      <w:r w:rsidR="00896B97">
        <w:t xml:space="preserve"> </w:t>
      </w:r>
      <w:r w:rsidR="008F73B5">
        <w:t xml:space="preserve">Using a specification closely modelled on the related study of </w:t>
      </w:r>
      <w:r w:rsidR="000F6F3F">
        <w:t>Peru by</w:t>
      </w:r>
      <w:r w:rsidRPr="00FE0F87">
        <w:t xml:space="preserve"> Fang et al. (2020),</w:t>
      </w:r>
      <w:r w:rsidR="00B424BD">
        <w:t xml:space="preserve"> </w:t>
      </w:r>
      <w:r w:rsidR="000F6F3F">
        <w:t>we report</w:t>
      </w:r>
      <w:r w:rsidRPr="00FE0F87">
        <w:t xml:space="preserve"> panel regressions using monthly balance sheet data f</w:t>
      </w:r>
      <w:r w:rsidR="000F6F3F">
        <w:t>or</w:t>
      </w:r>
      <w:r w:rsidRPr="00FE0F87">
        <w:t xml:space="preserve"> the biggest four banks</w:t>
      </w:r>
      <w:r w:rsidR="000F6F3F">
        <w:t xml:space="preserve"> in South Africa </w:t>
      </w:r>
      <w:r w:rsidR="000849F7">
        <w:t xml:space="preserve">distinguishing </w:t>
      </w:r>
      <w:r w:rsidR="00586410">
        <w:t>three</w:t>
      </w:r>
      <w:r w:rsidR="000849F7">
        <w:t xml:space="preserve"> different categ</w:t>
      </w:r>
      <w:r w:rsidR="00586410">
        <w:t>o</w:t>
      </w:r>
      <w:r w:rsidR="000849F7">
        <w:t xml:space="preserve">ries of </w:t>
      </w:r>
      <w:r w:rsidR="00B424BD">
        <w:t>bank lending</w:t>
      </w:r>
      <w:r w:rsidR="000849F7">
        <w:t xml:space="preserve"> </w:t>
      </w:r>
      <w:r w:rsidR="00586410">
        <w:t xml:space="preserve">for both household and corporate borrowers; </w:t>
      </w:r>
      <w:proofErr w:type="gramStart"/>
      <w:r w:rsidR="000849F7">
        <w:t>and</w:t>
      </w:r>
      <w:r w:rsidR="00586410">
        <w:t xml:space="preserve"> also</w:t>
      </w:r>
      <w:proofErr w:type="gramEnd"/>
      <w:r w:rsidR="00586410">
        <w:t xml:space="preserve"> reporting</w:t>
      </w:r>
      <w:r w:rsidR="000849F7">
        <w:t xml:space="preserve"> a complementary </w:t>
      </w:r>
      <w:r w:rsidR="008A6F2F">
        <w:t>local projection estimate4s to capture dynamic impacts. We find</w:t>
      </w:r>
      <w:r w:rsidR="00FA2BF9">
        <w:t xml:space="preserve"> </w:t>
      </w:r>
      <w:r w:rsidR="008A6F2F">
        <w:t xml:space="preserve">little evidence that the introduction of higher capital requirements </w:t>
      </w:r>
      <w:r w:rsidR="00FA2BF9">
        <w:t>under Basel III has reduced the supply of bank credit in South Africa. W</w:t>
      </w:r>
      <w:r w:rsidRPr="00FE0F87">
        <w:t>e surmise this is mainly due to the</w:t>
      </w:r>
      <w:r w:rsidR="00FA2BF9">
        <w:t xml:space="preserve"> large</w:t>
      </w:r>
      <w:r w:rsidRPr="00FE0F87">
        <w:t xml:space="preserve"> banks being well-capitalised</w:t>
      </w:r>
      <w:r w:rsidR="00FA2BF9">
        <w:t xml:space="preserve"> and operating with large </w:t>
      </w:r>
      <w:r w:rsidRPr="00FE0F87">
        <w:t>buffers</w:t>
      </w:r>
      <w:r w:rsidR="00FA2BF9">
        <w:t xml:space="preserve"> of capital over and above regulatory minimum requ</w:t>
      </w:r>
      <w:r w:rsidR="0089141A">
        <w:t>ir</w:t>
      </w:r>
      <w:r w:rsidR="00FA2BF9">
        <w:t>eme</w:t>
      </w:r>
      <w:r w:rsidR="0089141A">
        <w:t>nt</w:t>
      </w:r>
      <w:r w:rsidR="00FA2BF9">
        <w:t>s</w:t>
      </w:r>
      <w:r w:rsidR="00586410">
        <w:t>.</w:t>
      </w:r>
    </w:p>
    <w:p w14:paraId="7B51615D" w14:textId="77777777" w:rsidR="00B37C0F" w:rsidRPr="00B37C0F" w:rsidRDefault="00FE0F87" w:rsidP="00B37C0F">
      <w:pPr>
        <w:pStyle w:val="BodyText"/>
        <w:spacing w:line="240" w:lineRule="auto"/>
        <w:rPr>
          <w:sz w:val="20"/>
          <w:lang w:val="en-ZA"/>
        </w:rPr>
      </w:pPr>
      <w:r w:rsidRPr="005B3253">
        <w:rPr>
          <w:b/>
          <w:bCs/>
          <w:sz w:val="20"/>
        </w:rPr>
        <w:t>Keywords:</w:t>
      </w:r>
      <w:r>
        <w:rPr>
          <w:b/>
          <w:bCs/>
          <w:sz w:val="20"/>
        </w:rPr>
        <w:t xml:space="preserve"> </w:t>
      </w:r>
      <w:r w:rsidR="00B37C0F" w:rsidRPr="00B37C0F">
        <w:rPr>
          <w:sz w:val="20"/>
          <w:lang w:val="en-ZA"/>
        </w:rPr>
        <w:t xml:space="preserve">Bank capital, Bank regulation, Credit </w:t>
      </w:r>
    </w:p>
    <w:p w14:paraId="5145CC18" w14:textId="77777777" w:rsidR="00D20E4A" w:rsidRDefault="00FE0F87" w:rsidP="0050345B">
      <w:pPr>
        <w:pStyle w:val="BodyText"/>
        <w:spacing w:line="240" w:lineRule="auto"/>
        <w:rPr>
          <w:sz w:val="20"/>
          <w:lang w:val="en-ZA"/>
        </w:rPr>
        <w:sectPr w:rsidR="00D20E4A" w:rsidSect="00580183">
          <w:headerReference w:type="even" r:id="rId8"/>
          <w:headerReference w:type="default" r:id="rId9"/>
          <w:footerReference w:type="even" r:id="rId10"/>
          <w:footerReference w:type="default" r:id="rId11"/>
          <w:headerReference w:type="first" r:id="rId12"/>
          <w:footerReference w:type="first" r:id="rId13"/>
          <w:footnotePr>
            <w:numFmt w:val="chicago"/>
            <w:numRestart w:val="eachSect"/>
          </w:footnotePr>
          <w:pgSz w:w="11907" w:h="16840" w:code="9"/>
          <w:pgMar w:top="1418" w:right="1418" w:bottom="1418" w:left="1418" w:header="720" w:footer="720" w:gutter="0"/>
          <w:cols w:space="720"/>
        </w:sectPr>
      </w:pPr>
      <w:r w:rsidRPr="005B3253">
        <w:rPr>
          <w:b/>
          <w:bCs/>
          <w:sz w:val="20"/>
        </w:rPr>
        <w:t>JEL Codes</w:t>
      </w:r>
      <w:r w:rsidRPr="005B3253">
        <w:rPr>
          <w:sz w:val="20"/>
        </w:rPr>
        <w:t xml:space="preserve">: </w:t>
      </w:r>
      <w:r w:rsidR="00B37C0F" w:rsidRPr="00B37C0F">
        <w:rPr>
          <w:sz w:val="20"/>
          <w:lang w:val="en-ZA"/>
        </w:rPr>
        <w:t>G01, G18, G28, G32, G38</w:t>
      </w:r>
    </w:p>
    <w:p w14:paraId="4437541A" w14:textId="4B46674A" w:rsidR="00370EF6" w:rsidRDefault="00D00CD1" w:rsidP="00717C6A">
      <w:pPr>
        <w:pStyle w:val="Heading1"/>
      </w:pPr>
      <w:r>
        <w:lastRenderedPageBreak/>
        <w:t>1</w:t>
      </w:r>
      <w:r>
        <w:tab/>
        <w:t>Introduction</w:t>
      </w:r>
    </w:p>
    <w:p w14:paraId="0007C430" w14:textId="061CE1DF" w:rsidR="00370EF6" w:rsidRDefault="00D00CD1" w:rsidP="00AA195D">
      <w:r>
        <w:t xml:space="preserve">This paper investigates the impact </w:t>
      </w:r>
      <w:r w:rsidR="00920C1E">
        <w:t xml:space="preserve">on bank credit supply </w:t>
      </w:r>
      <w:r>
        <w:t>of the higher regulatory capital requirements of the implementation of the Basel III in South Africa between 2013 and 2019.</w:t>
      </w:r>
      <w:r w:rsidR="00AA195D">
        <w:t xml:space="preserve"> </w:t>
      </w:r>
      <w:r>
        <w:t xml:space="preserve">Following </w:t>
      </w:r>
      <w:r w:rsidR="003A49CC">
        <w:t>earlier</w:t>
      </w:r>
      <w:r>
        <w:t xml:space="preserve"> literature, the investigation reported here focuses on the impact of changes in minimum required levels of bank capital </w:t>
      </w:r>
      <w:proofErr w:type="gramStart"/>
      <w:r>
        <w:t>and also</w:t>
      </w:r>
      <w:proofErr w:type="gramEnd"/>
      <w:r>
        <w:t xml:space="preserve"> of changes in the ‘buffers’ 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data used in other related empirical studies.</w:t>
      </w:r>
    </w:p>
    <w:p w14:paraId="44FE1D7C" w14:textId="3246C705" w:rsidR="00370EF6" w:rsidRDefault="00D00CD1">
      <w:pPr>
        <w:pStyle w:val="BodyText"/>
      </w:pPr>
      <w:r>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w:t>
      </w:r>
      <w:proofErr w:type="gramStart"/>
      <w:r>
        <w:t>in particular on</w:t>
      </w:r>
      <w:proofErr w:type="gramEnd"/>
      <w:r>
        <w:t xml:space="preserve"> their Basel III net stable funding ratios. It also though has the disadvantage of providing only a relative small data set, over a period in which banks faced no substantial problems of balance sheet capital</w:t>
      </w:r>
      <w:r w:rsidR="00D14FF7">
        <w:t xml:space="preserve"> management</w:t>
      </w:r>
      <w:r>
        <w:t>.</w:t>
      </w:r>
    </w:p>
    <w:p w14:paraId="09182792" w14:textId="714CB5DF" w:rsidR="00370EF6" w:rsidRDefault="00D00CD1">
      <w:pPr>
        <w:pStyle w:val="BodyText"/>
      </w:pPr>
      <w:r>
        <w:t xml:space="preserve">Section 2 is our literature review. This summarises the findings of similar empirical studies of the impact of changes in capital and capital requirements on bank credit supply, most of which are for developed countries. </w:t>
      </w:r>
      <w:r w:rsidR="00D14FF7">
        <w:t xml:space="preserve">It </w:t>
      </w:r>
      <w:r w:rsidR="00625225">
        <w:t xml:space="preserve">states </w:t>
      </w:r>
      <w:r w:rsidR="009F703D">
        <w:t xml:space="preserve">several </w:t>
      </w:r>
      <w:r w:rsidR="00625225">
        <w:t>grounds for caution about the interpretation of the reported coefficie</w:t>
      </w:r>
      <w:r w:rsidR="009C5BCB">
        <w:t xml:space="preserve">nts in </w:t>
      </w:r>
      <w:r w:rsidR="00170683">
        <w:t>existing</w:t>
      </w:r>
      <w:r w:rsidR="009C5BCB">
        <w:t xml:space="preserve"> studies. </w:t>
      </w:r>
      <w:r>
        <w:t xml:space="preserve">Section 3 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 4 describes our data set and sets out our empirical specification. </w:t>
      </w:r>
      <w:r w:rsidR="00763365">
        <w:t xml:space="preserve">Section 5 presents our main results. </w:t>
      </w:r>
      <w:r>
        <w:t>Section 6 concludes.</w:t>
      </w:r>
      <w:r w:rsidR="00494800">
        <w:t xml:space="preserve"> Th</w:t>
      </w:r>
      <w:r w:rsidR="002C2D6C">
        <w:t>ere are three</w:t>
      </w:r>
      <w:r w:rsidR="00494800">
        <w:t xml:space="preserve"> Appendices</w:t>
      </w:r>
      <w:r w:rsidR="002C2D6C">
        <w:t>: one</w:t>
      </w:r>
      <w:r w:rsidR="00494800">
        <w:t xml:space="preserve"> provid</w:t>
      </w:r>
      <w:r w:rsidR="002C2D6C">
        <w:t>ing</w:t>
      </w:r>
      <w:r w:rsidR="00494800">
        <w:t xml:space="preserve"> a theoretical framework</w:t>
      </w:r>
      <w:r w:rsidR="00DA7A67">
        <w:t xml:space="preserve"> for understanding the impact of bank capital on the supply lending</w:t>
      </w:r>
      <w:r w:rsidR="002C2D6C">
        <w:t xml:space="preserve">; a second </w:t>
      </w:r>
      <w:r w:rsidR="004A4EC6">
        <w:t>details o</w:t>
      </w:r>
      <w:r w:rsidR="002C2D6C">
        <w:t>f</w:t>
      </w:r>
      <w:r w:rsidR="004A4EC6">
        <w:t xml:space="preserve"> data sources and </w:t>
      </w:r>
      <w:r w:rsidR="002C2D6C">
        <w:t xml:space="preserve">a third some </w:t>
      </w:r>
      <w:r w:rsidR="004A4EC6">
        <w:t xml:space="preserve">alternative </w:t>
      </w:r>
      <w:r w:rsidR="00763365">
        <w:t>estimation results.</w:t>
      </w:r>
    </w:p>
    <w:p w14:paraId="662EF0F1" w14:textId="77777777" w:rsidR="00AA195D" w:rsidRDefault="00AA195D">
      <w:pPr>
        <w:pStyle w:val="BodyText"/>
      </w:pPr>
    </w:p>
    <w:p w14:paraId="7EB2CD00" w14:textId="77777777" w:rsidR="00370EF6" w:rsidRDefault="00D00CD1" w:rsidP="00717C6A">
      <w:pPr>
        <w:pStyle w:val="Heading1"/>
      </w:pPr>
      <w:bookmarkStart w:id="1" w:name="literature"/>
      <w:bookmarkEnd w:id="0"/>
      <w:r>
        <w:lastRenderedPageBreak/>
        <w:t>2</w:t>
      </w:r>
      <w:r>
        <w:tab/>
        <w:t>Existing empirical literature</w:t>
      </w:r>
    </w:p>
    <w:p w14:paraId="20C07DA1" w14:textId="5C059A2E" w:rsidR="00F30F1F" w:rsidRDefault="00F30F1F">
      <w:r>
        <w:t xml:space="preserve">This section provides an overview of the empirical literature on </w:t>
      </w:r>
      <w:r w:rsidR="00D1168E">
        <w:t>the impact of bank capital, bank regulatory requirements and of bank capital buffers (the difference between capital and capital requirements) on the supply of bank credit.</w:t>
      </w:r>
      <w:r w:rsidR="00FF15E3">
        <w:rPr>
          <w:rStyle w:val="FootnoteReference"/>
        </w:rPr>
        <w:footnoteReference w:id="4"/>
      </w:r>
      <w:r w:rsidR="00D1168E">
        <w:t xml:space="preserve"> </w:t>
      </w:r>
      <w:r w:rsidR="00F17E0E">
        <w:t>The</w:t>
      </w:r>
      <w:r w:rsidR="00004B77">
        <w:t xml:space="preserve"> estimation</w:t>
      </w:r>
      <w:r w:rsidR="008B59AF">
        <w:t xml:space="preserve"> attempted in this empirical literature</w:t>
      </w:r>
      <w:r w:rsidR="00004B77">
        <w:t xml:space="preserve"> is extremely challenging. </w:t>
      </w:r>
      <w:r w:rsidR="005E6DA2">
        <w:t>One reason</w:t>
      </w:r>
      <w:r w:rsidR="008B59AF">
        <w:t xml:space="preserve"> for this</w:t>
      </w:r>
      <w:r w:rsidR="005E6DA2">
        <w:t xml:space="preserve">, </w:t>
      </w:r>
      <w:r w:rsidR="008B59AF">
        <w:t>a prediction of</w:t>
      </w:r>
      <w:r w:rsidR="00004B77">
        <w:t xml:space="preserve"> the theory of bank capital </w:t>
      </w:r>
      <w:r w:rsidR="00F51345">
        <w:t>a</w:t>
      </w:r>
      <w:r w:rsidR="00004B77">
        <w:t>s summarised in Appendix 1</w:t>
      </w:r>
      <w:r w:rsidR="005E6DA2">
        <w:t>, is</w:t>
      </w:r>
      <w:r w:rsidR="00004B77">
        <w:t xml:space="preserve"> that the relationships involved </w:t>
      </w:r>
      <w:r w:rsidR="005E6DA2">
        <w:t>are</w:t>
      </w:r>
      <w:r w:rsidR="00004B77">
        <w:t xml:space="preserve"> highly non-linear</w:t>
      </w:r>
      <w:r w:rsidR="00F51345">
        <w:t xml:space="preserve">. </w:t>
      </w:r>
      <w:r w:rsidR="0097421E">
        <w:t xml:space="preserve">For well capitalised banks </w:t>
      </w:r>
      <w:r w:rsidR="005066E2">
        <w:t>with substantial capital buffers</w:t>
      </w:r>
      <w:r w:rsidR="00E24C2C">
        <w:t xml:space="preserve">, </w:t>
      </w:r>
      <w:r w:rsidR="000770A2">
        <w:t>whe</w:t>
      </w:r>
      <w:r w:rsidR="009113E9">
        <w:t>n</w:t>
      </w:r>
      <w:r w:rsidR="000770A2">
        <w:t xml:space="preserve"> </w:t>
      </w:r>
      <w:r w:rsidR="00E24C2C">
        <w:t xml:space="preserve">there is </w:t>
      </w:r>
      <w:r w:rsidR="00823DA9">
        <w:t>very low probability of</w:t>
      </w:r>
      <w:r w:rsidR="00E24C2C">
        <w:t xml:space="preserve"> breaching </w:t>
      </w:r>
      <w:r w:rsidR="00711DFB">
        <w:t xml:space="preserve">minimum </w:t>
      </w:r>
      <w:r w:rsidR="00E24C2C">
        <w:t>required cap</w:t>
      </w:r>
      <w:r w:rsidR="000770A2">
        <w:t xml:space="preserve">ital requirements </w:t>
      </w:r>
      <w:r w:rsidR="00C22667">
        <w:t>over the period</w:t>
      </w:r>
      <w:r w:rsidR="00711DFB">
        <w:t xml:space="preserve"> for which credit is extended</w:t>
      </w:r>
      <w:r w:rsidR="00823DA9">
        <w:t xml:space="preserve">, then </w:t>
      </w:r>
      <w:r w:rsidR="004834F3">
        <w:t xml:space="preserve">changes in </w:t>
      </w:r>
      <w:r w:rsidR="005066E2">
        <w:t xml:space="preserve">the level of bank capital or of required regulatory requirements have a relatively small impact on </w:t>
      </w:r>
      <w:r w:rsidR="00C93A7B">
        <w:t xml:space="preserve">overall cost of funding and </w:t>
      </w:r>
      <w:r w:rsidR="00F87171">
        <w:t xml:space="preserve">credit </w:t>
      </w:r>
      <w:r w:rsidR="00C93A7B">
        <w:t>supply</w:t>
      </w:r>
      <w:r w:rsidR="00B55B88">
        <w:t xml:space="preserve">. </w:t>
      </w:r>
      <w:r w:rsidR="00F87171">
        <w:t>As</w:t>
      </w:r>
      <w:r w:rsidR="00E24C2C">
        <w:t xml:space="preserve"> capital buffers fall </w:t>
      </w:r>
      <w:r w:rsidR="00F87171">
        <w:t>the probability of a breach of minimum capital requirements increases</w:t>
      </w:r>
      <w:r w:rsidR="009113E9">
        <w:t xml:space="preserve"> </w:t>
      </w:r>
      <w:r w:rsidR="007B5F21">
        <w:t>non-monotonically</w:t>
      </w:r>
      <w:r w:rsidR="0025116A">
        <w:t xml:space="preserve"> as buffers fall towards zero</w:t>
      </w:r>
      <w:r w:rsidR="007B5F21">
        <w:t>, at first only slightly and then much more substantially</w:t>
      </w:r>
      <w:r w:rsidR="0025116A">
        <w:t>. The impact of a change in capital requirements on</w:t>
      </w:r>
      <w:r w:rsidR="00F507FF">
        <w:t xml:space="preserve"> credit supply increases non-monoton</w:t>
      </w:r>
      <w:r w:rsidR="00534DFB">
        <w:t>i</w:t>
      </w:r>
      <w:r w:rsidR="00F507FF">
        <w:t xml:space="preserve">cally along with the increase in </w:t>
      </w:r>
      <w:r w:rsidR="0025116A">
        <w:t>probability of breach</w:t>
      </w:r>
      <w:r w:rsidR="00F507FF">
        <w:t>.</w:t>
      </w:r>
      <w:r w:rsidR="00951AD8">
        <w:t xml:space="preserve"> </w:t>
      </w:r>
    </w:p>
    <w:p w14:paraId="7D5D3322" w14:textId="577F6612" w:rsidR="00534DFB" w:rsidRDefault="00534DFB">
      <w:r>
        <w:t xml:space="preserve">A second reason is </w:t>
      </w:r>
      <w:r w:rsidR="00C26834">
        <w:t xml:space="preserve">the confounding impact of </w:t>
      </w:r>
      <w:r w:rsidR="004B56C0">
        <w:t xml:space="preserve">both </w:t>
      </w:r>
      <w:r w:rsidR="00C26834">
        <w:t>credit demand</w:t>
      </w:r>
      <w:r w:rsidR="004B56C0">
        <w:t xml:space="preserve"> and of banks own </w:t>
      </w:r>
      <w:r w:rsidR="00AA5BF8">
        <w:t>risk and capital management</w:t>
      </w:r>
      <w:r w:rsidR="004B56C0">
        <w:t>. For example</w:t>
      </w:r>
      <w:r w:rsidR="006C1B52">
        <w:t>,</w:t>
      </w:r>
      <w:r w:rsidR="004B56C0">
        <w:t xml:space="preserve"> </w:t>
      </w:r>
      <w:r w:rsidR="00FA195D">
        <w:t xml:space="preserve">bank capital may fall and </w:t>
      </w:r>
      <w:r w:rsidR="004B56C0">
        <w:t xml:space="preserve">bank capital requirements may be increased </w:t>
      </w:r>
      <w:r w:rsidR="00AA5BF8">
        <w:t xml:space="preserve">at the same time as the bank’s </w:t>
      </w:r>
      <w:proofErr w:type="gramStart"/>
      <w:r w:rsidR="00AA5BF8">
        <w:t>own  borrowers</w:t>
      </w:r>
      <w:proofErr w:type="gramEnd"/>
      <w:r w:rsidR="00AA5BF8">
        <w:t xml:space="preserve"> are reducing demand for credit</w:t>
      </w:r>
      <w:r w:rsidR="00FA195D">
        <w:t>;</w:t>
      </w:r>
      <w:r w:rsidR="00AA5BF8">
        <w:t xml:space="preserve"> and </w:t>
      </w:r>
      <w:r w:rsidR="00181597">
        <w:t>additionally</w:t>
      </w:r>
      <w:r w:rsidR="00AA5BF8">
        <w:t xml:space="preserve"> the bank itself </w:t>
      </w:r>
      <w:r w:rsidR="00181597">
        <w:t>may be</w:t>
      </w:r>
      <w:r w:rsidR="00AA5BF8">
        <w:t xml:space="preserve"> </w:t>
      </w:r>
      <w:r w:rsidR="00902832">
        <w:t>increasing its assessment</w:t>
      </w:r>
      <w:r w:rsidR="00181597">
        <w:t>s</w:t>
      </w:r>
      <w:r w:rsidR="00902832">
        <w:t xml:space="preserve"> </w:t>
      </w:r>
      <w:r w:rsidR="00181597">
        <w:t xml:space="preserve">of </w:t>
      </w:r>
      <w:r w:rsidR="00902832">
        <w:t>borrower’s risk of default</w:t>
      </w:r>
      <w:r w:rsidR="00181597">
        <w:t xml:space="preserve">. For both these reasons banks may </w:t>
      </w:r>
      <w:r w:rsidR="00902832">
        <w:t>reduc</w:t>
      </w:r>
      <w:r w:rsidR="00181597">
        <w:t>e</w:t>
      </w:r>
      <w:r w:rsidR="00902832">
        <w:t xml:space="preserve"> lending to that borrower independently of any associated change in </w:t>
      </w:r>
      <w:r w:rsidR="006F7C22">
        <w:t>capital requirements or capital buffers. Furthermore</w:t>
      </w:r>
      <w:r w:rsidR="000442DD">
        <w:t>,</w:t>
      </w:r>
      <w:r w:rsidR="006F7C22">
        <w:t xml:space="preserve"> </w:t>
      </w:r>
      <w:r w:rsidR="0030110A">
        <w:t>it is also necessary to take account of the dynamics of bank capital management</w:t>
      </w:r>
      <w:r w:rsidR="00DC2189">
        <w:t xml:space="preserve"> and the consequen</w:t>
      </w:r>
      <w:r w:rsidR="00F5065F">
        <w:t xml:space="preserve">t </w:t>
      </w:r>
      <w:r w:rsidR="00792EB6">
        <w:t>endogeneity</w:t>
      </w:r>
      <w:r w:rsidR="00F5065F">
        <w:t xml:space="preserve"> of changes in </w:t>
      </w:r>
      <w:r w:rsidR="00DC2189">
        <w:t>bank capital and bank capital buffers</w:t>
      </w:r>
      <w:r w:rsidR="00F5065F">
        <w:t>. Specifically</w:t>
      </w:r>
      <w:r w:rsidR="00DC2189">
        <w:t xml:space="preserve"> </w:t>
      </w:r>
      <w:r w:rsidR="006F7C22">
        <w:t xml:space="preserve">(this is the case </w:t>
      </w:r>
      <w:r w:rsidR="00052010">
        <w:t xml:space="preserve">for the changes in Basel III minimum capital requirements in South Africa investigated in the present paper) </w:t>
      </w:r>
      <w:r w:rsidR="00640757">
        <w:t>changes in capital requirement can be announced</w:t>
      </w:r>
      <w:r w:rsidR="00173305">
        <w:t xml:space="preserve"> well before they are implemented, giving banks the opportunity to </w:t>
      </w:r>
      <w:r w:rsidR="00F5065F">
        <w:t xml:space="preserve">increase capital buffers and </w:t>
      </w:r>
      <w:r w:rsidR="00443DA4">
        <w:t xml:space="preserve">both smooth and </w:t>
      </w:r>
      <w:r w:rsidR="00F5065F">
        <w:t xml:space="preserve">minimise the portfolio impact of changed capital requirements when they are </w:t>
      </w:r>
      <w:r w:rsidR="00F5065F">
        <w:lastRenderedPageBreak/>
        <w:t>implemented.</w:t>
      </w:r>
      <w:r w:rsidR="00052010">
        <w:t xml:space="preserve"> </w:t>
      </w:r>
    </w:p>
    <w:p w14:paraId="2C6F6559" w14:textId="0173A286" w:rsidR="00370EF6" w:rsidRDefault="00443DA4">
      <w:r>
        <w:t xml:space="preserve">Despite these empirical challenges, the literature </w:t>
      </w:r>
      <w:r w:rsidR="00570AEF">
        <w:t xml:space="preserve">does reveal that bank capital </w:t>
      </w:r>
      <w:proofErr w:type="gramStart"/>
      <w:r w:rsidR="00570AEF">
        <w:t>and also</w:t>
      </w:r>
      <w:proofErr w:type="gramEnd"/>
      <w:r w:rsidR="00570AEF">
        <w:t xml:space="preserve"> </w:t>
      </w:r>
      <w:r w:rsidR="000442DD">
        <w:t>changing</w:t>
      </w:r>
      <w:r w:rsidR="00570AEF">
        <w:t xml:space="preserve"> bank capital requirements can have a substantial impact on bank credit supply</w:t>
      </w:r>
      <w:r w:rsidR="00FD5FA4">
        <w:t xml:space="preserve"> </w:t>
      </w:r>
      <w:r w:rsidR="00570AEF">
        <w:t xml:space="preserve">when banks </w:t>
      </w:r>
      <w:r w:rsidR="00FD5FA4">
        <w:t xml:space="preserve">are capital constrained. </w:t>
      </w:r>
      <w:r w:rsidR="00172EE7">
        <w:t>An</w:t>
      </w:r>
      <w:r w:rsidR="00424038">
        <w:t xml:space="preserve"> early</w:t>
      </w:r>
      <w:r w:rsidR="00D00CD1">
        <w:t xml:space="preserve"> branch of th</w:t>
      </w:r>
      <w:r w:rsidR="005204D6">
        <w:t>is</w:t>
      </w:r>
      <w:r w:rsidR="00D00CD1">
        <w:t xml:space="preserve"> literature exploits differences in capitalisation of bank holding companies and bank subsidiaries/ branches (to correct for the endogeneity of bank capital, resulting from the impact of credit demand on bank earnings and hence capital) </w:t>
      </w:r>
      <w:proofErr w:type="gramStart"/>
      <w:r w:rsidR="00172EE7">
        <w:t xml:space="preserve">in order </w:t>
      </w:r>
      <w:r w:rsidR="00D00CD1">
        <w:t>to</w:t>
      </w:r>
      <w:proofErr w:type="gramEnd"/>
      <w:r w:rsidR="00D00CD1">
        <w:t xml:space="preserve"> quantify the impact of a fall of capitalisation on the supply of bank credit. Peek and Rosengren (1997) find that in the period 1989H1 to 1995:H2 a 1% reduction in the Japanese bank parent risk-based capital ratio, due to the Japanese financial </w:t>
      </w:r>
      <w:proofErr w:type="gramStart"/>
      <w:r w:rsidR="00D00CD1">
        <w:t>crisis ,</w:t>
      </w:r>
      <w:proofErr w:type="gramEnd"/>
      <w:r w:rsidR="00D00CD1">
        <w:t xml:space="preserve"> reduces the six-monthly growth rate of total lending by Japanese bank branches in the US by approximately 1.9% of total branch assets and C&amp;I lending by 0.8% of total assets.</w:t>
      </w:r>
    </w:p>
    <w:p w14:paraId="488FD3FC" w14:textId="2AB30C38" w:rsidR="00370EF6" w:rsidRDefault="00D00CD1">
      <w:pPr>
        <w:pStyle w:val="BodyText"/>
      </w:pPr>
      <w:r>
        <w:t xml:space="preserve">Houston, James and Marcus (1997) </w:t>
      </w:r>
      <w:r w:rsidR="00732DAA">
        <w:t xml:space="preserve">similarly </w:t>
      </w:r>
      <w:r>
        <w:t>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rsidR="000D126D">
        <w:t xml:space="preserve">. </w:t>
      </w:r>
      <w:r>
        <w:t xml:space="preserve">Calomiris and Wilson, </w:t>
      </w:r>
      <w:r w:rsidR="00D44B24">
        <w:t>(</w:t>
      </w:r>
      <w:r w:rsidR="00F01003">
        <w:t>2004</w:t>
      </w:r>
      <w:r w:rsidR="00D44B24">
        <w:t>)</w:t>
      </w:r>
      <w:r>
        <w:t xml:space="preserve"> </w:t>
      </w:r>
      <w:r w:rsidR="004D1E0B">
        <w:t>review</w:t>
      </w:r>
      <w:r w:rsidR="00465C1D">
        <w:t xml:space="preserve"> </w:t>
      </w:r>
      <w:r w:rsidR="004D1E0B">
        <w:t xml:space="preserve">the </w:t>
      </w:r>
      <w:r w:rsidR="00357209">
        <w:t xml:space="preserve">data on </w:t>
      </w:r>
      <w:r w:rsidR="004D1E0B">
        <w:t xml:space="preserve">large declines in </w:t>
      </w:r>
      <w:r w:rsidR="00641493">
        <w:t xml:space="preserve">book and market value of equity capital </w:t>
      </w:r>
      <w:r w:rsidR="00A40056">
        <w:t xml:space="preserve">of large New York City banks </w:t>
      </w:r>
      <w:r w:rsidR="00641493">
        <w:t>during the great depression of the 1</w:t>
      </w:r>
      <w:r w:rsidR="00A40056">
        <w:t>930s</w:t>
      </w:r>
      <w:r w:rsidR="00357209">
        <w:t xml:space="preserve"> and infer, from</w:t>
      </w:r>
      <w:r w:rsidR="00641493">
        <w:t xml:space="preserve"> substantial </w:t>
      </w:r>
      <w:r w:rsidR="00062D17">
        <w:t xml:space="preserve">deposit withdrawals and increased </w:t>
      </w:r>
      <w:r w:rsidR="00417316">
        <w:t xml:space="preserve">credit spread on remaining uninsured deposits, that this resulted </w:t>
      </w:r>
      <w:r w:rsidR="00667D80">
        <w:t xml:space="preserve">a </w:t>
      </w:r>
      <w:r w:rsidR="00417316">
        <w:t xml:space="preserve">substantial </w:t>
      </w:r>
      <w:r w:rsidR="00641493">
        <w:t>reduction in the</w:t>
      </w:r>
      <w:r w:rsidR="00A40056">
        <w:t>ir</w:t>
      </w:r>
      <w:r w:rsidR="00641493">
        <w:t xml:space="preserve"> supply of credit</w:t>
      </w:r>
      <w:r>
        <w:t>.</w:t>
      </w:r>
      <w:r w:rsidR="002E1A95">
        <w:t xml:space="preserve"> </w:t>
      </w:r>
      <w:r>
        <w:t xml:space="preserve">Several other papers find lower rates of credit expansion for banks close the regulatory minimum level of capital (see, Hancock and Wilcox, 1994; Berger and </w:t>
      </w:r>
      <w:proofErr w:type="spellStart"/>
      <w:r>
        <w:t>Udell</w:t>
      </w:r>
      <w:proofErr w:type="spellEnd"/>
      <w:r>
        <w:t xml:space="preserve">, 1994; </w:t>
      </w:r>
      <w:proofErr w:type="spellStart"/>
      <w:r>
        <w:t>Gambacorta</w:t>
      </w:r>
      <w:proofErr w:type="spellEnd"/>
      <w:r>
        <w:t xml:space="preserve"> and </w:t>
      </w:r>
      <w:proofErr w:type="spellStart"/>
      <w:r>
        <w:t>Mistrulli</w:t>
      </w:r>
      <w:proofErr w:type="spellEnd"/>
      <w:r>
        <w:t xml:space="preserve">, 2004; </w:t>
      </w:r>
      <w:proofErr w:type="spellStart"/>
      <w:r>
        <w:t>Nier</w:t>
      </w:r>
      <w:proofErr w:type="spellEnd"/>
      <w:r>
        <w:t xml:space="preserve"> and </w:t>
      </w:r>
      <w:proofErr w:type="spellStart"/>
      <w:r>
        <w:t>Zicchino</w:t>
      </w:r>
      <w:proofErr w:type="spellEnd"/>
      <w:r>
        <w:t xml:space="preserve">, 2005; Van den Heuvel, 2008; </w:t>
      </w:r>
      <w:proofErr w:type="spellStart"/>
      <w:r>
        <w:t>Berrospide</w:t>
      </w:r>
      <w:proofErr w:type="spellEnd"/>
      <w:r>
        <w:t xml:space="preserve"> and Edge, 2010).</w:t>
      </w:r>
    </w:p>
    <w:p w14:paraId="50C43D6B" w14:textId="3A2A366D" w:rsidR="00370EF6" w:rsidRDefault="00D00CD1">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 ‘trigger ratios’ for minimum risk-weighted capital, higher than the Basel international minima, breach of which prompts additional supervisory intervention. Francis and Osborne (2012) investigate the impact of changes in buffer </w:t>
      </w:r>
      <w:r>
        <w:lastRenderedPageBreak/>
        <w:t xml:space="preserve">capital, finding that a decline of </w:t>
      </w:r>
      <w:r w:rsidR="001B64DA">
        <w:t xml:space="preserve">1% in </w:t>
      </w:r>
      <w:r>
        <w:t xml:space="preserve">risk weighted capital relative to an estimated target reduces risk-weighted assets by 7% (but the impact is relatively small when the result of a recent change in capital requirements and has no statistically significant impact on unweighted lending or total assets). Aiyar </w:t>
      </w:r>
      <w:r>
        <w:rPr>
          <w:i/>
          <w:iCs/>
        </w:rPr>
        <w:t>et al.</w:t>
      </w:r>
      <w:r>
        <w:t xml:space="preserve"> (2014) and Aiyar, Calomiris and </w:t>
      </w:r>
      <w:proofErr w:type="spellStart"/>
      <w:r>
        <w:t>Wieladek</w:t>
      </w:r>
      <w:proofErr w:type="spellEnd"/>
      <w:r>
        <w:t xml:space="preserve"> (2016) exploit the same UK data individual changes in bank capital requirements to quantify the direct impact of a change in the UK </w:t>
      </w:r>
      <w:r w:rsidR="003F6346">
        <w:t>“</w:t>
      </w:r>
      <w:r>
        <w:t>trigger ratios</w:t>
      </w:r>
      <w:r w:rsidR="003F6346">
        <w:t xml:space="preserve">”, </w:t>
      </w:r>
      <w:r w:rsidR="00BE5BE2">
        <w:t xml:space="preserve">the </w:t>
      </w:r>
      <w:r w:rsidR="003F6346">
        <w:t>bank specific capital ratios set higher than the Basel minima</w:t>
      </w:r>
      <w:r w:rsidR="00BE5BE2">
        <w:t>.</w:t>
      </w:r>
      <w:r w:rsidR="003F6346">
        <w:t xml:space="preserve"> </w:t>
      </w:r>
    </w:p>
    <w:p w14:paraId="137507AB" w14:textId="2E36C9D4" w:rsidR="00370EF6" w:rsidRDefault="00D00CD1">
      <w:pPr>
        <w:pStyle w:val="BodyText"/>
      </w:pPr>
      <w:r>
        <w:t xml:space="preserve">Aiyar </w:t>
      </w:r>
      <w:r>
        <w:rPr>
          <w:i/>
          <w:iCs/>
        </w:rPr>
        <w:t>et al.</w:t>
      </w:r>
      <w:r>
        <w:t xml:space="preserve"> (2014) investigate the impact </w:t>
      </w:r>
      <w:r w:rsidR="00DA026B">
        <w:t xml:space="preserve">of changes in the UK bank trigger ratio </w:t>
      </w:r>
      <w:r>
        <w:t xml:space="preserve">on credit growth, using quarterly data for the period 1998-2007, employing the current and three lags of changes in the trigger ratio (i.e. a similar specification to that used in this paper). They report that “an increase in the capital requirement ratio of 100 basis points, induces on average a cumulative fall in loan growth of 5.7 and 6 percentage points.” These estimates include a bank specific credit demand proxy, based on weighted average employment growth in 14 industrial sectors and bank lending shares, but this proxy is not statistically significant. Aiyar, Calomiris and </w:t>
      </w:r>
      <w:proofErr w:type="spellStart"/>
      <w:r>
        <w:t>Wieladek</w:t>
      </w:r>
      <w:proofErr w:type="spellEnd"/>
      <w:r>
        <w:t xml:space="preserve"> (2016</w:t>
      </w:r>
      <w:r w:rsidR="00CF0CCD">
        <w:t>a</w:t>
      </w:r>
      <w:r>
        <w:t xml:space="preserve">) extend the specification to include changes in interest rates, reporting a similar </w:t>
      </w:r>
      <w:r w:rsidR="00AE0975">
        <w:t>but</w:t>
      </w:r>
      <w:r>
        <w:t xml:space="preserve"> slightly smaller loan responses to changes in the trigger ratio. Aiyar, Calomiris and </w:t>
      </w:r>
      <w:proofErr w:type="spellStart"/>
      <w:r>
        <w:t>Wieladek</w:t>
      </w:r>
      <w:proofErr w:type="spellEnd"/>
      <w:r>
        <w:t xml:space="preserve"> (201</w:t>
      </w:r>
      <w:r w:rsidR="00EB0867">
        <w:t>4</w:t>
      </w:r>
      <w:r w:rsidR="00CF0CCD">
        <w:t>b</w:t>
      </w:r>
      <w:r>
        <w:t>) focus on impact on international lending by UK banks, allowing a stronger control for credit demand based on country specific time effects, reporting cumulative fall of international lending of between 5.5%.</w:t>
      </w:r>
    </w:p>
    <w:p w14:paraId="15F21FC9" w14:textId="0F7DAA66" w:rsidR="00944F92" w:rsidRDefault="00855C5C" w:rsidP="00C2343F">
      <w:pPr>
        <w:pStyle w:val="BodyText"/>
      </w:pPr>
      <w:r>
        <w:t>A</w:t>
      </w:r>
      <w:r w:rsidR="00C2343F">
        <w:t xml:space="preserve"> </w:t>
      </w:r>
      <w:r w:rsidR="00DA026B">
        <w:t xml:space="preserve">concern with </w:t>
      </w:r>
      <w:r w:rsidR="00C4586B">
        <w:t xml:space="preserve">these estimates of the impact of a change in the UK trigger ratio on bank credit supply is that these are typically increased when supervisors are concerned about </w:t>
      </w:r>
      <w:r w:rsidR="00382B0E">
        <w:t xml:space="preserve">increased bank risk exposure. The reported estimates may reflect the response of the bank to this increased risk exposure rather than </w:t>
      </w:r>
      <w:r w:rsidR="00C2343F">
        <w:t>the impact of higher capital requirements. This criticism does not apply to the estimates of</w:t>
      </w:r>
      <w:r w:rsidR="00BE0CD1">
        <w:t xml:space="preserve"> </w:t>
      </w:r>
      <w:r w:rsidR="00D00CD1">
        <w:t xml:space="preserve">Jiménez </w:t>
      </w:r>
      <w:r w:rsidR="00D00CD1">
        <w:rPr>
          <w:i/>
          <w:iCs/>
        </w:rPr>
        <w:t>et al.</w:t>
      </w:r>
      <w:r w:rsidR="00D00CD1">
        <w:t xml:space="preserve"> (2017), exploiting the dynamic forward looking loan loss provisioning in Spain combined with firm-bank level data to identify credit supply impacts</w:t>
      </w:r>
      <w:r w:rsidR="00465623">
        <w:t xml:space="preserve">. </w:t>
      </w:r>
      <w:r w:rsidR="00155849">
        <w:t>Th</w:t>
      </w:r>
      <w:r w:rsidR="00786F3B">
        <w:t>eir</w:t>
      </w:r>
      <w:r w:rsidR="00BE0CD1">
        <w:t xml:space="preserve"> </w:t>
      </w:r>
      <w:proofErr w:type="spellStart"/>
      <w:r w:rsidR="00BE0CD1">
        <w:t>idenfication</w:t>
      </w:r>
      <w:proofErr w:type="spellEnd"/>
      <w:r w:rsidR="00BE0CD1">
        <w:t xml:space="preserve"> follows the approach</w:t>
      </w:r>
      <w:r w:rsidR="008E14BF">
        <w:t xml:space="preserve"> pioneered by Khwaja and Mian (</w:t>
      </w:r>
      <w:r w:rsidR="00862FCB">
        <w:t xml:space="preserve">2008), exploiting </w:t>
      </w:r>
      <w:r w:rsidR="00DB721D">
        <w:t xml:space="preserve">firm-bank level </w:t>
      </w:r>
      <w:r w:rsidR="00862FCB">
        <w:t xml:space="preserve">data on borrowing by firms with multiple (two or more) bank credit relationships. </w:t>
      </w:r>
      <w:r w:rsidR="006F0068">
        <w:t xml:space="preserve">Where </w:t>
      </w:r>
      <w:r w:rsidR="00E50FA9">
        <w:t xml:space="preserve">a shock has a varying </w:t>
      </w:r>
      <w:r w:rsidR="00111B00">
        <w:t xml:space="preserve">bank </w:t>
      </w:r>
      <w:r w:rsidR="00E50FA9">
        <w:t>impact, then the credit supply impact of the shock can be estimated</w:t>
      </w:r>
      <w:r w:rsidR="00293C59">
        <w:t xml:space="preserve"> </w:t>
      </w:r>
      <w:r w:rsidR="00111B00">
        <w:t>as</w:t>
      </w:r>
      <w:r w:rsidR="00293C59">
        <w:t xml:space="preserve"> a</w:t>
      </w:r>
      <w:r w:rsidR="00E50FA9">
        <w:t xml:space="preserve"> </w:t>
      </w:r>
      <w:r w:rsidR="0001796C">
        <w:t>‘difference in difference’</w:t>
      </w:r>
      <w:r w:rsidR="004A16EE">
        <w:t xml:space="preserve">. For Jiménez </w:t>
      </w:r>
      <w:r w:rsidR="004A16EE">
        <w:rPr>
          <w:i/>
          <w:iCs/>
        </w:rPr>
        <w:t>et al.</w:t>
      </w:r>
      <w:r w:rsidR="004A16EE">
        <w:t xml:space="preserve"> (2017) this is an estimate </w:t>
      </w:r>
      <w:r w:rsidR="004A16EE">
        <w:lastRenderedPageBreak/>
        <w:t xml:space="preserve">of </w:t>
      </w:r>
      <w:r w:rsidR="00AC2341">
        <w:t xml:space="preserve">the impact of the </w:t>
      </w:r>
      <w:r w:rsidR="00720008">
        <w:t>differe</w:t>
      </w:r>
      <w:r w:rsidR="000E5156">
        <w:t>nces</w:t>
      </w:r>
      <w:r w:rsidR="00621CF3">
        <w:t xml:space="preserve"> between banks</w:t>
      </w:r>
      <w:r w:rsidR="000E5156">
        <w:t xml:space="preserve"> in</w:t>
      </w:r>
      <w:r w:rsidR="00F5297B">
        <w:t xml:space="preserve"> </w:t>
      </w:r>
      <w:r w:rsidR="00DF3F51">
        <w:t>changes in capital requirement</w:t>
      </w:r>
      <w:r w:rsidR="00AC2341">
        <w:t xml:space="preserve"> (</w:t>
      </w:r>
      <w:r w:rsidR="00144233">
        <w:t>arising</w:t>
      </w:r>
      <w:r w:rsidR="00AC2341">
        <w:t xml:space="preserve"> from the Spanish </w:t>
      </w:r>
      <w:r w:rsidR="00BA6995">
        <w:t xml:space="preserve">regime of </w:t>
      </w:r>
      <w:proofErr w:type="gramStart"/>
      <w:r w:rsidR="000E5156">
        <w:t>forward looking</w:t>
      </w:r>
      <w:proofErr w:type="gramEnd"/>
      <w:r w:rsidR="000E5156">
        <w:t xml:space="preserve"> </w:t>
      </w:r>
      <w:r w:rsidR="00BA6995">
        <w:t xml:space="preserve">dynamic provisioning </w:t>
      </w:r>
      <w:r w:rsidR="00D416BE">
        <w:t>introduce</w:t>
      </w:r>
      <w:r w:rsidR="00144233">
        <w:t>d</w:t>
      </w:r>
      <w:r w:rsidR="00D416BE">
        <w:t xml:space="preserve"> in 200Q3</w:t>
      </w:r>
      <w:r w:rsidR="00AC2341">
        <w:t>)</w:t>
      </w:r>
      <w:r w:rsidR="00DF3F51">
        <w:t xml:space="preserve"> on the difference in</w:t>
      </w:r>
      <w:r w:rsidR="00994E8B">
        <w:t xml:space="preserve"> </w:t>
      </w:r>
      <w:r w:rsidR="008F1320">
        <w:t>growth of credit by banks</w:t>
      </w:r>
      <w:r w:rsidR="00AC2341">
        <w:t xml:space="preserve"> whenever they lend</w:t>
      </w:r>
      <w:r w:rsidR="008F1320">
        <w:t xml:space="preserve"> to the same firm. </w:t>
      </w:r>
      <w:r w:rsidR="00144233">
        <w:t xml:space="preserve">Specifically they focus on ‘bad times’, the reduction in </w:t>
      </w:r>
      <w:r w:rsidR="005A7373">
        <w:t xml:space="preserve">the required </w:t>
      </w:r>
      <w:r w:rsidR="00621CF3">
        <w:t>capit</w:t>
      </w:r>
      <w:r w:rsidR="00A60F0A">
        <w:t>al</w:t>
      </w:r>
      <w:r w:rsidR="00621CF3">
        <w:t xml:space="preserve"> for anticipated loan loss provisions from 33% to 10% in 2008Q4 and then from 10% to 0% in </w:t>
      </w:r>
      <w:proofErr w:type="gramStart"/>
      <w:r w:rsidR="005B1FEC">
        <w:t>2009:Q</w:t>
      </w:r>
      <w:proofErr w:type="gramEnd"/>
      <w:r w:rsidR="005B1FEC">
        <w:t xml:space="preserve">4. </w:t>
      </w:r>
      <w:r w:rsidR="00786F3B">
        <w:t>They</w:t>
      </w:r>
      <w:r w:rsidR="00D00CD1">
        <w:t xml:space="preserve"> find that</w:t>
      </w:r>
      <w:r w:rsidR="00A60F0A">
        <w:t xml:space="preserve"> the re</w:t>
      </w:r>
      <w:r w:rsidR="00FE1B70">
        <w:t>su</w:t>
      </w:r>
      <w:r w:rsidR="00A60F0A">
        <w:t>lting</w:t>
      </w:r>
      <w:r w:rsidR="00D00CD1">
        <w:t xml:space="preserve"> countercyclical reductions in capital requirements in </w:t>
      </w:r>
      <w:r w:rsidR="00C6329E">
        <w:t>these ‘</w:t>
      </w:r>
      <w:r w:rsidR="00D00CD1">
        <w:t>bad times</w:t>
      </w:r>
      <w:r w:rsidR="00C6329E">
        <w:t>’</w:t>
      </w:r>
      <w:r w:rsidR="00D00CD1">
        <w:t>, help</w:t>
      </w:r>
      <w:r w:rsidR="00FE1B70">
        <w:t>ed</w:t>
      </w:r>
      <w:r w:rsidR="00D00CD1">
        <w:t xml:space="preserve"> sustain credit growth (</w:t>
      </w:r>
      <w:r w:rsidR="00D805C7">
        <w:t>a</w:t>
      </w:r>
      <w:r w:rsidR="00D00CD1">
        <w:t xml:space="preserve"> 1 percentage point increase in capital buffers </w:t>
      </w:r>
      <w:r w:rsidR="00317B68">
        <w:t>increas</w:t>
      </w:r>
      <w:r w:rsidR="00846834">
        <w:t>ing</w:t>
      </w:r>
      <w:r w:rsidR="00FE1B70">
        <w:t xml:space="preserve"> </w:t>
      </w:r>
      <w:r w:rsidR="00D00CD1">
        <w:t xml:space="preserve">credit to firms by 9 percentage points). </w:t>
      </w:r>
    </w:p>
    <w:p w14:paraId="7B36D574" w14:textId="1E12C878" w:rsidR="00214404" w:rsidRDefault="00214404" w:rsidP="00A60F0A">
      <w:pPr>
        <w:pStyle w:val="BodyText"/>
      </w:pPr>
      <w:r>
        <w:t xml:space="preserve">De </w:t>
      </w:r>
      <w:proofErr w:type="spellStart"/>
      <w:r>
        <w:t>Jonghe</w:t>
      </w:r>
      <w:proofErr w:type="spellEnd"/>
      <w:r>
        <w:t xml:space="preserve"> et. al. (2</w:t>
      </w:r>
      <w:r w:rsidR="000932B3">
        <w:t xml:space="preserve">019) </w:t>
      </w:r>
      <w:r w:rsidR="00846834">
        <w:t xml:space="preserve">use </w:t>
      </w:r>
      <w:r w:rsidR="00DC585D">
        <w:t>a similar</w:t>
      </w:r>
      <w:r w:rsidR="00846834">
        <w:t xml:space="preserve"> approach to identification in their </w:t>
      </w:r>
      <w:r w:rsidR="000932B3">
        <w:t>examin</w:t>
      </w:r>
      <w:r w:rsidR="000120A3">
        <w:t>ation</w:t>
      </w:r>
      <w:r w:rsidR="000932B3">
        <w:t xml:space="preserve"> </w:t>
      </w:r>
      <w:r w:rsidR="00322ACE">
        <w:t xml:space="preserve">the impact on corporate lending </w:t>
      </w:r>
      <w:r w:rsidR="0005791D">
        <w:t xml:space="preserve">in Belgium </w:t>
      </w:r>
      <w:r w:rsidR="00322ACE">
        <w:t xml:space="preserve">of </w:t>
      </w:r>
      <w:r w:rsidR="00F6264B">
        <w:t xml:space="preserve">discretionary </w:t>
      </w:r>
      <w:r w:rsidR="000932B3">
        <w:t xml:space="preserve">supervisory </w:t>
      </w:r>
      <w:r w:rsidR="00322ACE">
        <w:t>adjustments</w:t>
      </w:r>
      <w:r w:rsidR="0005791D">
        <w:t xml:space="preserve"> </w:t>
      </w:r>
      <w:r w:rsidR="00060990">
        <w:t xml:space="preserve">to </w:t>
      </w:r>
      <w:r w:rsidR="00F6264B">
        <w:t>additional</w:t>
      </w:r>
      <w:r w:rsidR="00060990">
        <w:t xml:space="preserve"> </w:t>
      </w:r>
      <w:proofErr w:type="spellStart"/>
      <w:r w:rsidR="00060990">
        <w:t>disretionary</w:t>
      </w:r>
      <w:proofErr w:type="spellEnd"/>
      <w:r w:rsidR="006E3483">
        <w:t xml:space="preserve"> capital requirements</w:t>
      </w:r>
      <w:r w:rsidR="00060990">
        <w:t xml:space="preserve"> (over and above the Basel II minima)</w:t>
      </w:r>
      <w:r w:rsidR="00F6264B">
        <w:t xml:space="preserve">, between April 2011 and November 2014. </w:t>
      </w:r>
      <w:r w:rsidR="00060990">
        <w:t xml:space="preserve">These adjustments </w:t>
      </w:r>
      <w:r w:rsidR="00E610E0">
        <w:t xml:space="preserve">were made periodically on a bank by bank basis, in much the same way as in the </w:t>
      </w:r>
      <w:r w:rsidR="00846834">
        <w:t xml:space="preserve">changes in </w:t>
      </w:r>
      <w:r w:rsidR="00E610E0">
        <w:t xml:space="preserve">UK </w:t>
      </w:r>
      <w:r w:rsidR="00846834">
        <w:t>trigger ratios exploited</w:t>
      </w:r>
      <w:r w:rsidR="00EF018E">
        <w:t xml:space="preserve"> </w:t>
      </w:r>
      <w:r w:rsidR="00953882">
        <w:t xml:space="preserve">by </w:t>
      </w:r>
      <w:r w:rsidR="00EF018E">
        <w:t>Aiyar et. al.</w:t>
      </w:r>
      <w:r w:rsidR="00D971C7">
        <w:t xml:space="preserve"> (2014).</w:t>
      </w:r>
      <w:r w:rsidR="00EF018E">
        <w:t xml:space="preserve"> Belg</w:t>
      </w:r>
      <w:r w:rsidR="00096A6F">
        <w:t>ian</w:t>
      </w:r>
      <w:r w:rsidR="00EF018E">
        <w:t xml:space="preserve"> </w:t>
      </w:r>
      <w:r w:rsidR="00720326">
        <w:t xml:space="preserve">credit registry data </w:t>
      </w:r>
      <w:r w:rsidR="007F4239">
        <w:t xml:space="preserve">for firms borrowing from </w:t>
      </w:r>
      <w:proofErr w:type="spellStart"/>
      <w:r w:rsidR="007F4239">
        <w:t>multiplebanks</w:t>
      </w:r>
      <w:proofErr w:type="spellEnd"/>
      <w:r w:rsidR="007F4239">
        <w:t xml:space="preserve"> </w:t>
      </w:r>
      <w:r w:rsidR="00720326">
        <w:t xml:space="preserve">allows </w:t>
      </w:r>
      <w:r w:rsidR="00803DB7">
        <w:t xml:space="preserve">them to </w:t>
      </w:r>
      <w:r w:rsidR="00BB16F3">
        <w:t>compare</w:t>
      </w:r>
      <w:r w:rsidR="00916DDE">
        <w:t xml:space="preserve"> </w:t>
      </w:r>
      <w:r w:rsidR="002C5C34">
        <w:t xml:space="preserve">quarterly </w:t>
      </w:r>
      <w:r w:rsidR="00916DDE">
        <w:t xml:space="preserve">credit growth </w:t>
      </w:r>
      <w:r w:rsidR="00D06392">
        <w:t xml:space="preserve">from a bank impacted by a change in required capital </w:t>
      </w:r>
      <w:r w:rsidR="00BB16F3">
        <w:t xml:space="preserve">to </w:t>
      </w:r>
      <w:r w:rsidR="007F4239">
        <w:t xml:space="preserve">credit growth </w:t>
      </w:r>
      <w:r w:rsidR="00953882">
        <w:t xml:space="preserve">with credit growth by </w:t>
      </w:r>
      <w:r w:rsidR="007F4239">
        <w:t xml:space="preserve">other banks to the same borrower. </w:t>
      </w:r>
      <w:r w:rsidR="0060367B">
        <w:t xml:space="preserve">They </w:t>
      </w:r>
      <w:r w:rsidR="001B64DA">
        <w:t>find</w:t>
      </w:r>
      <w:r w:rsidR="00166F71">
        <w:t xml:space="preserve"> that an increase in required regulatory capital of 1.5% re</w:t>
      </w:r>
      <w:r w:rsidR="00953882">
        <w:t xml:space="preserve">sults I 0.19% lower </w:t>
      </w:r>
      <w:r w:rsidR="00166F71">
        <w:t xml:space="preserve">credit growth </w:t>
      </w:r>
      <w:r w:rsidR="001B64DA">
        <w:t>i.e. an impact that</w:t>
      </w:r>
      <w:r w:rsidR="006C1D17">
        <w:t xml:space="preserve"> </w:t>
      </w:r>
      <w:r w:rsidR="001B64DA">
        <w:t xml:space="preserve">is an order of magnitude smaller than reported by </w:t>
      </w:r>
      <w:r w:rsidR="0060367B">
        <w:t xml:space="preserve">Aiyar </w:t>
      </w:r>
      <w:r w:rsidR="001B64DA">
        <w:t>et al. (</w:t>
      </w:r>
      <w:r w:rsidR="00AB1909">
        <w:t>2014</w:t>
      </w:r>
      <w:r w:rsidR="001B64DA">
        <w:t>)</w:t>
      </w:r>
      <w:r w:rsidR="00ED22D8">
        <w:t xml:space="preserve"> and </w:t>
      </w:r>
      <w:proofErr w:type="spellStart"/>
      <w:r w:rsidR="00ED22D8">
        <w:t>Jiminez</w:t>
      </w:r>
      <w:proofErr w:type="spellEnd"/>
      <w:r w:rsidR="00ED22D8">
        <w:t xml:space="preserve"> et al. (</w:t>
      </w:r>
      <w:r w:rsidR="001F4DE9">
        <w:t>2017</w:t>
      </w:r>
      <w:r w:rsidR="00ED22D8">
        <w:t>).</w:t>
      </w:r>
      <w:r w:rsidR="00AB1909">
        <w:t xml:space="preserve"> </w:t>
      </w:r>
    </w:p>
    <w:p w14:paraId="0BB3DDC7" w14:textId="789057F1" w:rsidR="00370EF6" w:rsidRDefault="00D00CD1" w:rsidP="00A60F0A">
      <w:pPr>
        <w:pStyle w:val="BodyText"/>
      </w:pPr>
      <w:proofErr w:type="spellStart"/>
      <w:r>
        <w:t>Fraisse</w:t>
      </w:r>
      <w:proofErr w:type="spellEnd"/>
      <w:r>
        <w:t xml:space="preserve">, </w:t>
      </w:r>
      <w:proofErr w:type="spellStart"/>
      <w:r>
        <w:t>Lé</w:t>
      </w:r>
      <w:proofErr w:type="spellEnd"/>
      <w:r>
        <w:t xml:space="preserve"> and </w:t>
      </w:r>
      <w:proofErr w:type="spellStart"/>
      <w:r>
        <w:t>Thesmar</w:t>
      </w:r>
      <w:proofErr w:type="spellEnd"/>
      <w:r>
        <w:t xml:space="preserve"> (2020)</w:t>
      </w:r>
      <w:r w:rsidR="00C4348A">
        <w:t>,</w:t>
      </w:r>
      <w:r w:rsidR="0017613B">
        <w:t xml:space="preserve"> using </w:t>
      </w:r>
      <w:r w:rsidR="00A512E4">
        <w:t>the</w:t>
      </w:r>
      <w:r w:rsidR="00CC5987">
        <w:t xml:space="preserve"> same</w:t>
      </w:r>
      <w:r w:rsidR="00A512E4">
        <w:t xml:space="preserve"> ‘difference in difference’ </w:t>
      </w:r>
      <w:r w:rsidR="0040074C">
        <w:t>approach</w:t>
      </w:r>
      <w:r w:rsidR="00A512E4">
        <w:t xml:space="preserve"> </w:t>
      </w:r>
      <w:r w:rsidR="00161372">
        <w:t xml:space="preserve">to </w:t>
      </w:r>
      <w:proofErr w:type="gramStart"/>
      <w:r w:rsidR="00161372">
        <w:t>identification</w:t>
      </w:r>
      <w:r w:rsidR="00B44AEA">
        <w:t>,</w:t>
      </w:r>
      <w:r w:rsidR="0040074C">
        <w:t>,</w:t>
      </w:r>
      <w:proofErr w:type="gramEnd"/>
      <w:r>
        <w:t xml:space="preserve"> look at the impact </w:t>
      </w:r>
      <w:r w:rsidR="009E03D2">
        <w:t xml:space="preserve">of </w:t>
      </w:r>
      <w:r w:rsidR="00C67880">
        <w:t>borrower</w:t>
      </w:r>
      <w:r w:rsidR="009E03D2">
        <w:t xml:space="preserve"> specific capital weights </w:t>
      </w:r>
      <w:r>
        <w:t xml:space="preserve">on </w:t>
      </w:r>
      <w:r w:rsidR="00AC6006">
        <w:t xml:space="preserve">corporate </w:t>
      </w:r>
      <w:r w:rsidR="00CC5987">
        <w:t xml:space="preserve">credit </w:t>
      </w:r>
      <w:r w:rsidR="00C25E4F">
        <w:t xml:space="preserve">extended </w:t>
      </w:r>
      <w:r w:rsidR="00F1462D">
        <w:t>by</w:t>
      </w:r>
      <w:r w:rsidR="00CC5987">
        <w:t xml:space="preserve"> </w:t>
      </w:r>
      <w:r w:rsidR="00DB0615">
        <w:t xml:space="preserve">the six largest </w:t>
      </w:r>
      <w:r>
        <w:t>French bank</w:t>
      </w:r>
      <w:r w:rsidR="00DB0615">
        <w:t>ing groups</w:t>
      </w:r>
      <w:r>
        <w:t xml:space="preserve"> </w:t>
      </w:r>
      <w:r w:rsidR="008C26FF">
        <w:t xml:space="preserve">and their subsidiaries </w:t>
      </w:r>
      <w:r w:rsidR="00CC5987">
        <w:t>under the</w:t>
      </w:r>
      <w:r>
        <w:t xml:space="preserve"> Basel II</w:t>
      </w:r>
      <w:r w:rsidR="00CC5987">
        <w:t xml:space="preserve"> </w:t>
      </w:r>
      <w:r w:rsidR="00DB0615">
        <w:t>i</w:t>
      </w:r>
      <w:r w:rsidR="00CC5987">
        <w:t>nterna</w:t>
      </w:r>
      <w:r w:rsidR="00F1462D">
        <w:t xml:space="preserve">l </w:t>
      </w:r>
      <w:r w:rsidR="00DB0615">
        <w:t>m</w:t>
      </w:r>
      <w:r w:rsidR="00F1462D">
        <w:t>odel</w:t>
      </w:r>
      <w:r w:rsidR="00DB0615">
        <w:t xml:space="preserve">s based determination of </w:t>
      </w:r>
      <w:r w:rsidR="00FF19B6">
        <w:t xml:space="preserve">risk weighted assets </w:t>
      </w:r>
      <w:r w:rsidR="009E03D2">
        <w:t>for</w:t>
      </w:r>
      <w:r w:rsidR="00F1462D">
        <w:t xml:space="preserve"> the </w:t>
      </w:r>
      <w:r w:rsidR="00FF19B6">
        <w:t>years</w:t>
      </w:r>
      <w:r w:rsidR="00F1462D">
        <w:t xml:space="preserve"> 2008-2011. </w:t>
      </w:r>
      <w:r w:rsidR="00764E0B">
        <w:t xml:space="preserve">They find that a 1% increase in </w:t>
      </w:r>
      <w:r w:rsidR="00423421">
        <w:t xml:space="preserve">the </w:t>
      </w:r>
      <w:r w:rsidR="00AF6D42">
        <w:t xml:space="preserve">risk </w:t>
      </w:r>
      <w:r w:rsidR="00423421">
        <w:t>capital weig</w:t>
      </w:r>
      <w:r w:rsidR="00AF6D42">
        <w:t xml:space="preserve">hting </w:t>
      </w:r>
      <w:proofErr w:type="gramStart"/>
      <w:r w:rsidR="00AF6D42">
        <w:t>of  a</w:t>
      </w:r>
      <w:proofErr w:type="gramEnd"/>
      <w:r w:rsidR="00AF6D42">
        <w:t xml:space="preserve"> firm reduces lending to that firm by </w:t>
      </w:r>
      <w:r w:rsidR="001B399B">
        <w:t>1.4%</w:t>
      </w:r>
      <w:r w:rsidR="00AF6D42">
        <w:t>-</w:t>
      </w:r>
      <w:r w:rsidR="00CE320A">
        <w:t>2.1</w:t>
      </w:r>
      <w:r w:rsidR="001B399B">
        <w:t>%</w:t>
      </w:r>
      <w:r w:rsidR="00CE320A">
        <w:t xml:space="preserve"> (at the intensive margin i.e. </w:t>
      </w:r>
      <w:r w:rsidR="007F3798">
        <w:t xml:space="preserve">conditional on lending </w:t>
      </w:r>
      <w:r w:rsidR="0049049A">
        <w:t xml:space="preserve">still </w:t>
      </w:r>
      <w:r w:rsidR="007F3798">
        <w:t>taking place</w:t>
      </w:r>
      <w:r w:rsidR="00CE320A">
        <w:t>)</w:t>
      </w:r>
      <w:r w:rsidR="007F3798">
        <w:t xml:space="preserve"> and reducing overall credit by </w:t>
      </w:r>
      <w:r w:rsidR="009E0E1F">
        <w:t xml:space="preserve">2.3%-4.5% (allowing also for the extensive margin, i.e. </w:t>
      </w:r>
      <w:r w:rsidR="0049049A">
        <w:t xml:space="preserve">a </w:t>
      </w:r>
      <w:r w:rsidR="009E0E1F">
        <w:t>decision to completely cease lending).</w:t>
      </w:r>
      <w:r w:rsidR="001B399B">
        <w:t xml:space="preserve"> </w:t>
      </w:r>
      <w:r w:rsidR="006B0216">
        <w:t xml:space="preserve">While the identification strategy is similar, this is otherwise a very different approach that of </w:t>
      </w:r>
      <w:proofErr w:type="spellStart"/>
      <w:r w:rsidR="006B0216">
        <w:t>Jiminez</w:t>
      </w:r>
      <w:proofErr w:type="spellEnd"/>
      <w:r w:rsidR="006B0216">
        <w:t xml:space="preserve"> et. al.</w:t>
      </w:r>
      <w:r w:rsidR="002F0D38">
        <w:t xml:space="preserve"> (2008)</w:t>
      </w:r>
      <w:r w:rsidR="00CE320A">
        <w:t xml:space="preserve">. </w:t>
      </w:r>
      <w:r w:rsidR="007F3798">
        <w:t>They</w:t>
      </w:r>
      <w:r w:rsidR="002F0D38">
        <w:t xml:space="preserve"> ‘saturate’ their panel estimation with bank-y</w:t>
      </w:r>
      <w:r w:rsidR="0097204E">
        <w:t xml:space="preserve">ear dummies, thus consciously </w:t>
      </w:r>
      <w:r w:rsidR="00CE320A">
        <w:t>excluding</w:t>
      </w:r>
      <w:r w:rsidR="00937828">
        <w:t xml:space="preserve"> the impact of aggregate capital requirements or aggregate capital buffers</w:t>
      </w:r>
      <w:r w:rsidR="00C14D88">
        <w:t xml:space="preserve"> on the supply of bank credit.</w:t>
      </w:r>
      <w:r w:rsidR="004C4DD0">
        <w:t xml:space="preserve"> They focus instead of how differences in </w:t>
      </w:r>
      <w:r w:rsidR="004C4DD0">
        <w:lastRenderedPageBreak/>
        <w:t xml:space="preserve">banks internal risk weights for individual firms </w:t>
      </w:r>
      <w:r w:rsidR="003B5F81">
        <w:t xml:space="preserve">impact on the supply of bank credit to </w:t>
      </w:r>
      <w:r w:rsidR="00B01BCF">
        <w:t xml:space="preserve">those </w:t>
      </w:r>
      <w:r w:rsidR="003B5F81">
        <w:t xml:space="preserve">firms. </w:t>
      </w:r>
      <w:r w:rsidR="00D505D1">
        <w:t>This tells us that internal capital allocation has</w:t>
      </w:r>
      <w:r w:rsidR="0049049A">
        <w:t xml:space="preserve"> an impact on relative credit supply</w:t>
      </w:r>
      <w:r w:rsidR="00D505D1">
        <w:t xml:space="preserve"> </w:t>
      </w:r>
      <w:r w:rsidR="0049049A">
        <w:t xml:space="preserve">to different firms but </w:t>
      </w:r>
      <w:r w:rsidR="00DC57A2">
        <w:t>is not informative about the impact of overall capital requirements or capital buffers</w:t>
      </w:r>
      <w:r w:rsidR="00730F28">
        <w:t xml:space="preserve"> on bank credit</w:t>
      </w:r>
      <w:r w:rsidR="00DC57A2">
        <w:t>.</w:t>
      </w:r>
      <w:r w:rsidR="00C14D88">
        <w:t xml:space="preserve"> </w:t>
      </w:r>
      <w:r w:rsidR="002F0D38">
        <w:t xml:space="preserve"> </w:t>
      </w:r>
    </w:p>
    <w:p w14:paraId="423D2668" w14:textId="11192631" w:rsidR="005050FE" w:rsidRDefault="00D00CD1">
      <w:pPr>
        <w:pStyle w:val="BodyText"/>
      </w:pPr>
      <w:r>
        <w:t xml:space="preserve">There are </w:t>
      </w:r>
      <w:r w:rsidR="009911E7">
        <w:t xml:space="preserve">very </w:t>
      </w:r>
      <w:r>
        <w:t>few studies for emerging markets investigating the impact of bank capital requirements on credit supply in emerging markets.</w:t>
      </w:r>
      <w:r w:rsidR="009911E7">
        <w:t xml:space="preserve"> One is</w:t>
      </w:r>
      <w:r>
        <w:t xml:space="preserve"> Fang </w:t>
      </w:r>
      <w:r>
        <w:rPr>
          <w:i/>
          <w:iCs/>
        </w:rPr>
        <w:t>et al.</w:t>
      </w:r>
      <w:r>
        <w:t xml:space="preserve"> (2020) model bank loan growth, using a specification </w:t>
      </w:r>
      <w:proofErr w:type="gramStart"/>
      <w:r>
        <w:t>similar to</w:t>
      </w:r>
      <w:proofErr w:type="gramEnd"/>
      <w:r>
        <w:t xml:space="preserve"> Aiyar, Calomiris and </w:t>
      </w:r>
      <w:proofErr w:type="spellStart"/>
      <w:r>
        <w:t>Wieladek</w:t>
      </w:r>
      <w:proofErr w:type="spellEnd"/>
      <w:r>
        <w:t xml:space="preserve"> (</w:t>
      </w:r>
      <w:r w:rsidR="00B4644D">
        <w:t xml:space="preserve">2014, </w:t>
      </w:r>
      <w:r>
        <w:t>2016</w:t>
      </w:r>
      <w:r w:rsidR="00CF0CCD">
        <w:t>a</w:t>
      </w:r>
      <w:r>
        <w:t xml:space="preserve">), including a similar demand proxy, and </w:t>
      </w:r>
      <w:r w:rsidR="00550302">
        <w:t xml:space="preserve">using </w:t>
      </w:r>
      <w:r>
        <w:t>quarterly bank data 2005- 2016 for Peru</w:t>
      </w:r>
      <w:r w:rsidR="00476A02">
        <w:t xml:space="preserve">. Their data </w:t>
      </w:r>
      <w:r>
        <w:t>includ</w:t>
      </w:r>
      <w:r w:rsidR="00476A02">
        <w:t>es</w:t>
      </w:r>
      <w:r>
        <w:t xml:space="preserve"> </w:t>
      </w:r>
      <w:r w:rsidR="000025D0">
        <w:t xml:space="preserve">an increase in minimum required capital from 9.`1% to 10% of risk weighted assets </w:t>
      </w:r>
      <w:r w:rsidR="003A3A31">
        <w:t>announced in July 20</w:t>
      </w:r>
      <w:r w:rsidR="00EC04D0">
        <w:t>08</w:t>
      </w:r>
      <w:r w:rsidR="003A3A31">
        <w:t xml:space="preserve"> and </w:t>
      </w:r>
      <w:r w:rsidR="00753679">
        <w:t xml:space="preserve">implemented </w:t>
      </w:r>
      <w:r w:rsidR="000025D0">
        <w:t xml:space="preserve">in </w:t>
      </w:r>
      <w:r w:rsidR="004D7A93">
        <w:t>three</w:t>
      </w:r>
      <w:r w:rsidR="000025D0">
        <w:t xml:space="preserve"> st</w:t>
      </w:r>
      <w:r w:rsidR="00EC04D0">
        <w:t>ages</w:t>
      </w:r>
      <w:r w:rsidR="004D7A93">
        <w:t xml:space="preserve">, </w:t>
      </w:r>
      <w:r w:rsidR="000A2804">
        <w:t>in J</w:t>
      </w:r>
      <w:r w:rsidR="00753679">
        <w:t>u</w:t>
      </w:r>
      <w:r w:rsidR="000A2804">
        <w:t>ly of</w:t>
      </w:r>
      <w:r w:rsidR="00EC04D0">
        <w:t xml:space="preserve"> the following three years: in </w:t>
      </w:r>
      <w:r w:rsidR="000A2804">
        <w:t>2009</w:t>
      </w:r>
      <w:r w:rsidR="00BD521E">
        <w:t xml:space="preserve"> (</w:t>
      </w:r>
      <w:r w:rsidR="00EC04D0">
        <w:t xml:space="preserve">to </w:t>
      </w:r>
      <w:r w:rsidR="00BD521E">
        <w:t>9.5%)</w:t>
      </w:r>
      <w:r w:rsidR="000A2804">
        <w:t>, 2010</w:t>
      </w:r>
      <w:r w:rsidR="00BD521E">
        <w:t xml:space="preserve"> (</w:t>
      </w:r>
      <w:r w:rsidR="00EC04D0">
        <w:t xml:space="preserve">to </w:t>
      </w:r>
      <w:r w:rsidR="00BD521E">
        <w:t>9.8%)</w:t>
      </w:r>
      <w:r w:rsidR="000A2804">
        <w:t xml:space="preserve"> and </w:t>
      </w:r>
      <w:r w:rsidR="00EC04D0">
        <w:t xml:space="preserve">in </w:t>
      </w:r>
      <w:r w:rsidR="000A2804">
        <w:t>2011</w:t>
      </w:r>
      <w:r w:rsidR="00BD521E">
        <w:t xml:space="preserve"> (</w:t>
      </w:r>
      <w:r w:rsidR="00EC04D0">
        <w:t xml:space="preserve">to </w:t>
      </w:r>
      <w:r w:rsidR="00BD521E">
        <w:t>10.0%)</w:t>
      </w:r>
      <w:r w:rsidR="00476A02">
        <w:t>;</w:t>
      </w:r>
      <w:r w:rsidR="000025D0">
        <w:t xml:space="preserve"> </w:t>
      </w:r>
      <w:r>
        <w:t xml:space="preserve">together with </w:t>
      </w:r>
      <w:r w:rsidR="000025D0">
        <w:t xml:space="preserve">the introduction of </w:t>
      </w:r>
      <w:r w:rsidR="0064639E">
        <w:t xml:space="preserve">a regime </w:t>
      </w:r>
      <w:r w:rsidR="001B7100">
        <w:t xml:space="preserve">of </w:t>
      </w:r>
      <w:r>
        <w:t xml:space="preserve">additional </w:t>
      </w:r>
      <w:r w:rsidR="003A3A31">
        <w:t xml:space="preserve">bank specific </w:t>
      </w:r>
      <w:r>
        <w:t>capital buffer</w:t>
      </w:r>
      <w:r w:rsidR="00753679">
        <w:t>s</w:t>
      </w:r>
      <w:r>
        <w:t xml:space="preserve"> </w:t>
      </w:r>
      <w:r w:rsidR="0064639E">
        <w:t xml:space="preserve">again </w:t>
      </w:r>
      <w:r w:rsidR="001736E9">
        <w:t xml:space="preserve">implemented </w:t>
      </w:r>
      <w:r>
        <w:t xml:space="preserve">in </w:t>
      </w:r>
      <w:r w:rsidR="001736E9">
        <w:t xml:space="preserve">July of each year over the period </w:t>
      </w:r>
      <w:r>
        <w:t>201</w:t>
      </w:r>
      <w:r w:rsidR="00753679">
        <w:t>2-2016</w:t>
      </w:r>
      <w:r>
        <w:t xml:space="preserve">. </w:t>
      </w:r>
      <w:r w:rsidR="0032321C">
        <w:t>The</w:t>
      </w:r>
      <w:r w:rsidR="000025D0">
        <w:t>y</w:t>
      </w:r>
      <w:r w:rsidR="0032321C">
        <w:t xml:space="preserve"> report that a</w:t>
      </w:r>
      <w:r>
        <w:t xml:space="preserve"> one percentage increase in the capital requirement </w:t>
      </w:r>
      <w:r w:rsidR="00257F3F">
        <w:t xml:space="preserve">– during the </w:t>
      </w:r>
      <w:r w:rsidR="00997EBF">
        <w:t xml:space="preserve">second phase of additional </w:t>
      </w:r>
      <w:r w:rsidR="00E35D93">
        <w:t xml:space="preserve">bank specific </w:t>
      </w:r>
      <w:r w:rsidR="00997EBF">
        <w:t xml:space="preserve">capital buffers </w:t>
      </w:r>
      <w:r w:rsidR="00E35D93">
        <w:t xml:space="preserve">- </w:t>
      </w:r>
      <w:r>
        <w:t>reduces lending by 4-6 percent in the same quarter</w:t>
      </w:r>
      <w:r w:rsidR="007A618D">
        <w:t xml:space="preserve">; </w:t>
      </w:r>
      <w:r w:rsidR="00E35D93">
        <w:t>however</w:t>
      </w:r>
      <w:r w:rsidR="007A618D">
        <w:t xml:space="preserve"> strikingly this impact </w:t>
      </w:r>
      <w:r w:rsidR="00954B7A">
        <w:t xml:space="preserve">lasts only one quarter, by the following quarter the impact is </w:t>
      </w:r>
      <w:r w:rsidR="005A752C">
        <w:t>no longer statistically significant</w:t>
      </w:r>
      <w:r w:rsidR="00954B7A">
        <w:t>.</w:t>
      </w:r>
      <w:r w:rsidR="008105A4">
        <w:t xml:space="preserve"> </w:t>
      </w:r>
      <w:r w:rsidR="001B5683">
        <w:t>Th</w:t>
      </w:r>
      <w:r w:rsidR="00F31FD0">
        <w:t>eir specification</w:t>
      </w:r>
      <w:r w:rsidR="00A81109">
        <w:t xml:space="preserve"> addresses the concern</w:t>
      </w:r>
      <w:r w:rsidR="00045AA0">
        <w:t xml:space="preserve"> with Aiyar et. al. (2014)</w:t>
      </w:r>
      <w:r w:rsidR="00A81109">
        <w:t xml:space="preserve"> about changing bank risk as a confounding variable, correlated</w:t>
      </w:r>
      <w:r w:rsidR="00AB0C46">
        <w:t xml:space="preserve"> </w:t>
      </w:r>
      <w:r w:rsidR="0064639E">
        <w:t>with changes in discretionary adjustment to bank capital, b</w:t>
      </w:r>
      <w:r w:rsidR="00993CB0">
        <w:t xml:space="preserve">y using only the relatively large changes to required capital in July of the years 2012-2016 </w:t>
      </w:r>
      <w:r w:rsidR="002A7579">
        <w:t xml:space="preserve">(‘jumps’) </w:t>
      </w:r>
      <w:r w:rsidR="00993CB0">
        <w:t>and</w:t>
      </w:r>
      <w:r w:rsidR="0064639E">
        <w:t xml:space="preserve"> ignoring small changes </w:t>
      </w:r>
      <w:r w:rsidR="002A7579">
        <w:t>(‘wiggles’) in other months.</w:t>
      </w:r>
      <w:r w:rsidR="0032321C">
        <w:t xml:space="preserve"> </w:t>
      </w:r>
      <w:r w:rsidR="002A7579">
        <w:t xml:space="preserve"> We will use the same approach in our own estimation</w:t>
      </w:r>
      <w:r w:rsidR="00F31FD0">
        <w:t>; but acknowledging a problem not considered by Fang et al. (2020) about seasonal variation in the distribution of bank credit across banks.</w:t>
      </w:r>
    </w:p>
    <w:p w14:paraId="0E4FC6AE" w14:textId="179B5D42" w:rsidR="00370EF6" w:rsidRDefault="005050FE">
      <w:pPr>
        <w:pStyle w:val="BodyText"/>
      </w:pPr>
      <w:r>
        <w:t xml:space="preserve">Aiyar et al. (2014), Fang </w:t>
      </w:r>
      <w:r>
        <w:rPr>
          <w:i/>
          <w:iCs/>
        </w:rPr>
        <w:t>et al.</w:t>
      </w:r>
      <w:r>
        <w:t xml:space="preserve"> (2020) control for credit demand using a measure based on sector-specific lending weights as a proportion of sector output. Pillay and </w:t>
      </w:r>
      <w:proofErr w:type="spellStart"/>
      <w:r>
        <w:t>Makrelov</w:t>
      </w:r>
      <w:proofErr w:type="spellEnd"/>
      <w:r>
        <w:t xml:space="preserve"> (2023) construct the same measure in the South African context. </w:t>
      </w:r>
      <w:r w:rsidR="00E922EA">
        <w:t>B</w:t>
      </w:r>
      <w:r>
        <w:t xml:space="preserve">oth Fang </w:t>
      </w:r>
      <w:r>
        <w:rPr>
          <w:i/>
          <w:iCs/>
        </w:rPr>
        <w:t>et al.</w:t>
      </w:r>
      <w:r>
        <w:t xml:space="preserve"> (2020) and Pillay and </w:t>
      </w:r>
      <w:proofErr w:type="spellStart"/>
      <w:r>
        <w:t>Makrelov</w:t>
      </w:r>
      <w:proofErr w:type="spellEnd"/>
      <w:r>
        <w:t xml:space="preserve"> (2023) find that this measure was not significant.</w:t>
      </w:r>
      <w:r w:rsidR="00E922EA">
        <w:t xml:space="preserve"> As described below we use a different approach to control for demand</w:t>
      </w:r>
      <w:r w:rsidR="00D627D1">
        <w:t xml:space="preserve"> based on bank specific loan product lending rates.</w:t>
      </w:r>
    </w:p>
    <w:p w14:paraId="70339DF7" w14:textId="77777777" w:rsidR="00EC5667" w:rsidRDefault="00EC5667">
      <w:pPr>
        <w:widowControl/>
        <w:tabs>
          <w:tab w:val="clear" w:pos="170"/>
        </w:tabs>
        <w:autoSpaceDE/>
        <w:autoSpaceDN/>
        <w:spacing w:after="160" w:line="259" w:lineRule="auto"/>
        <w:jc w:val="left"/>
        <w:rPr>
          <w:rFonts w:eastAsia="Arial" w:cs="Arial"/>
          <w:b/>
          <w:bCs/>
          <w:szCs w:val="24"/>
        </w:rPr>
      </w:pPr>
      <w:bookmarkStart w:id="2" w:name="economic"/>
      <w:bookmarkEnd w:id="1"/>
      <w:r>
        <w:br w:type="page"/>
      </w:r>
    </w:p>
    <w:p w14:paraId="2585BB35" w14:textId="28556C97" w:rsidR="00370EF6" w:rsidRDefault="00D00CD1" w:rsidP="00717C6A">
      <w:pPr>
        <w:pStyle w:val="Heading1"/>
      </w:pPr>
      <w:r>
        <w:lastRenderedPageBreak/>
        <w:t>3</w:t>
      </w:r>
      <w:r>
        <w:tab/>
        <w:t>Developments in South African Banking</w:t>
      </w:r>
    </w:p>
    <w:p w14:paraId="166BAA5C" w14:textId="77777777" w:rsidR="00370EF6" w:rsidRDefault="00D00CD1">
      <w:pPr>
        <w:pStyle w:val="Heading2"/>
      </w:pPr>
      <w:bookmarkStart w:id="3" w:name="economic-background."/>
      <w:r>
        <w:t>3.1</w:t>
      </w:r>
      <w:r>
        <w:tab/>
        <w:t>Economic background.</w:t>
      </w:r>
    </w:p>
    <w:p w14:paraId="3B73578D" w14:textId="0CB662A3" w:rsidR="00370EF6" w:rsidRDefault="00D00CD1">
      <w:r>
        <w:t>During the first fifteen years of democracy, from 1993 to 2008, real South African GDP grew at more than 3.5% per year;</w:t>
      </w:r>
      <w:r w:rsidR="003152EA">
        <w:rPr>
          <w:rStyle w:val="FootnoteReference"/>
        </w:rPr>
        <w:footnoteReference w:id="5"/>
      </w:r>
      <w:r>
        <w:t xml:space="preserve"> supported by the post-apartheid reintegration into the global economy, trade liberalisation, a diversification of economic activity and a policy regime emphasising both fiscal and monetary discipline.</w:t>
      </w:r>
      <w:r w:rsidR="003152EA">
        <w:rPr>
          <w:rStyle w:val="FootnoteReference"/>
        </w:rPr>
        <w:footnoteReference w:id="6"/>
      </w:r>
      <w:r>
        <w:t xml:space="preserve"> Public debt was reduced from 48% of GDP in 1995 to 28% in 2007.</w:t>
      </w:r>
      <w:r w:rsidR="003152EA">
        <w:rPr>
          <w:rStyle w:val="FootnoteReference"/>
        </w:rPr>
        <w:footnoteReference w:id="7"/>
      </w:r>
      <w:r>
        <w:t xml:space="preserve"> Inflation fell from 9.1% in 1993-95 to 3.2% in 2004-2005, with inflation targeting formally introduced in February 2000.</w:t>
      </w:r>
    </w:p>
    <w:p w14:paraId="52F284AD" w14:textId="77777777" w:rsidR="00370EF6" w:rsidRDefault="00D00CD1">
      <w:pPr>
        <w:pStyle w:val="BodyText"/>
      </w:pPr>
      <w:r>
        <w:t>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14:paraId="3CD8D37D" w14:textId="77777777" w:rsidR="00370EF6" w:rsidRDefault="00D00CD1">
      <w:pPr>
        <w:pStyle w:val="BodyText"/>
      </w:pPr>
      <w:r>
        <w:t>There were underlying economic weaknesses: most prominently high levels of poverty, unemployment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t>
      </w:r>
    </w:p>
    <w:p w14:paraId="653638CD" w14:textId="391953AC" w:rsidR="00370EF6" w:rsidRDefault="00D00CD1">
      <w:pPr>
        <w:pStyle w:val="BodyText"/>
      </w:pPr>
      <w:r>
        <w:t xml:space="preserve">South African economic performance has been notably weaker since 2008, when the global finance crisis (GFC) triggered the first economic recession in democratic South </w:t>
      </w:r>
      <w:r>
        <w:lastRenderedPageBreak/>
        <w:t>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t>
      </w:r>
      <w:r w:rsidR="001A0BED">
        <w:rPr>
          <w:rStyle w:val="FootnoteReference"/>
        </w:rPr>
        <w:footnoteReference w:id="8"/>
      </w:r>
      <w:r>
        <w:t xml:space="preserve">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t>
      </w:r>
      <w:r w:rsidR="00FF6D52">
        <w:rPr>
          <w:rStyle w:val="FootnoteReference"/>
        </w:rPr>
        <w:footnoteReference w:id="9"/>
      </w:r>
    </w:p>
    <w:p w14:paraId="6C2DFADE" w14:textId="77777777" w:rsidR="00370EF6" w:rsidRDefault="00D00CD1">
      <w:pPr>
        <w:pStyle w:val="BodyText"/>
      </w:pPr>
      <w:r>
        <w:t>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t>
      </w:r>
    </w:p>
    <w:p w14:paraId="3AFE1427" w14:textId="77777777" w:rsidR="00370EF6" w:rsidRDefault="00D00CD1">
      <w:pPr>
        <w:pStyle w:val="Heading2"/>
      </w:pPr>
      <w:bookmarkStart w:id="4" w:name="banking-sector-structure-and-regulation"/>
      <w:bookmarkEnd w:id="3"/>
      <w:r>
        <w:t>3.2</w:t>
      </w:r>
      <w:r>
        <w:tab/>
        <w:t>Banking sector: structure and regulation</w:t>
      </w:r>
    </w:p>
    <w:p w14:paraId="4057FF99" w14:textId="284CA9DA" w:rsidR="00370EF6" w:rsidRDefault="00D00CD1">
      <w:r>
        <w:t>There are 34 active licensed banks in South Africa;</w:t>
      </w:r>
      <w:r w:rsidR="00FF6D52">
        <w:rPr>
          <w:rStyle w:val="FootnoteReference"/>
        </w:rPr>
        <w:footnoteReference w:id="10"/>
      </w:r>
      <w:r>
        <w:t xml:space="preserve"> but of these five domestically controlled commercial banks together account for around 90% of banking sector assets.</w:t>
      </w:r>
      <w:r w:rsidR="00FF6D52">
        <w:rPr>
          <w:rStyle w:val="FootnoteReference"/>
        </w:rPr>
        <w:footnoteReference w:id="11"/>
      </w:r>
      <w:r>
        <w:t xml:space="preserve"> South Africa also has a sophisticated non-bank financial services industry with large life- insurance, pension and unit-trust sectors. The ratio of bank assets to GDP is 112% while total financial sector assets amount to 298% of GDP.</w:t>
      </w:r>
    </w:p>
    <w:p w14:paraId="0AF56BD9" w14:textId="201CD788" w:rsidR="00370EF6" w:rsidRDefault="00D00CD1">
      <w:pPr>
        <w:pStyle w:val="BodyText"/>
      </w:pPr>
      <w:r>
        <w:t xml:space="preserve">South Africa has a well-developed regime of financial regulation that has evolved in line with international financial standards. A solvency regime, </w:t>
      </w:r>
      <w:proofErr w:type="gramStart"/>
      <w:r>
        <w:t>similar to</w:t>
      </w:r>
      <w:proofErr w:type="gramEnd"/>
      <w:r>
        <w:t xml:space="preserve"> the EU Solvency II, for the life insurance sector was introduced in 2011, along with a program </w:t>
      </w:r>
      <w:r>
        <w:lastRenderedPageBreak/>
        <w:t>of regulatory reform including a shift to a ‘twin peaks’ organisational structure legislated in 2017, with the SARB responsible for prudential and systemic risk while the Financial Sector Conduct Authority for market conduct and consumer protection.</w:t>
      </w:r>
    </w:p>
    <w:p w14:paraId="04372074" w14:textId="4917C7F2" w:rsidR="00370EF6" w:rsidRDefault="00D00CD1">
      <w:pPr>
        <w:pStyle w:val="BodyText"/>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 ‘net stable funding requirements’ NSFR ratio. None of the episodes of financial stress, though, in the past three decade have triggered systemic financial problems. These episodes are the exchange rate depreciations of 1998 and 2001, the latter associated with </w:t>
      </w:r>
      <w:proofErr w:type="gramStart"/>
      <w:r>
        <w:t>a number of</w:t>
      </w:r>
      <w:proofErr w:type="gramEnd"/>
      <w:r>
        <w:t xml:space="preserve">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rsidR="00FF6D52">
        <w:rPr>
          <w:rStyle w:val="FootnoteReference"/>
        </w:rPr>
        <w:footnoteReference w:id="12"/>
      </w:r>
      <w:r>
        <w:t xml:space="preserve"> But the banking sector has remained profitable with return on assets close to 1.5% and return on equity around 15% over the years 2008-2020.</w:t>
      </w:r>
    </w:p>
    <w:p w14:paraId="51E4B398" w14:textId="77777777" w:rsidR="00370EF6" w:rsidRDefault="00D00CD1">
      <w:r>
        <w:rPr>
          <w:noProof/>
          <w:lang w:eastAsia="en-GB"/>
        </w:rPr>
        <w:lastRenderedPageBreak/>
        <w:drawing>
          <wp:inline distT="0" distB="0" distL="0" distR="0" wp14:anchorId="6EAC650C" wp14:editId="66AD7338">
            <wp:extent cx="5753100" cy="5753100"/>
            <wp:effectExtent l="0" t="0" r="0" b="0"/>
            <wp:docPr id="34" name="Picture 34" descr="Figure 3.1: Bank assets. Source: South African Reserve Bank (2022)"/>
            <wp:cNvGraphicFramePr/>
            <a:graphic xmlns:a="http://schemas.openxmlformats.org/drawingml/2006/main">
              <a:graphicData uri="http://schemas.openxmlformats.org/drawingml/2006/picture">
                <pic:pic xmlns:pic="http://schemas.openxmlformats.org/drawingml/2006/picture">
                  <pic:nvPicPr>
                    <pic:cNvPr id="35" name="Picture" descr="Bank_capital_and_bank_lending_files/figure-docx/assets-1.png"/>
                    <pic:cNvPicPr>
                      <a:picLocks noChangeAspect="1" noChangeArrowheads="1"/>
                    </pic:cNvPicPr>
                  </pic:nvPicPr>
                  <pic:blipFill>
                    <a:blip r:embed="rId14"/>
                    <a:stretch>
                      <a:fillRect/>
                    </a:stretch>
                  </pic:blipFill>
                  <pic:spPr bwMode="auto">
                    <a:xfrm>
                      <a:off x="0" y="0"/>
                      <a:ext cx="5753100" cy="5753100"/>
                    </a:xfrm>
                    <a:prstGeom prst="rect">
                      <a:avLst/>
                    </a:prstGeom>
                    <a:noFill/>
                    <a:ln w="9525">
                      <a:noFill/>
                      <a:headEnd/>
                      <a:tailEnd/>
                    </a:ln>
                  </pic:spPr>
                </pic:pic>
              </a:graphicData>
            </a:graphic>
          </wp:inline>
        </w:drawing>
      </w:r>
    </w:p>
    <w:p w14:paraId="4DCAA390" w14:textId="77777777" w:rsidR="00370EF6" w:rsidRDefault="00D00CD1">
      <w:r>
        <w:t>Figure 3.1: Bank assets. Source: South African Reserve Bank (2022)</w:t>
      </w:r>
    </w:p>
    <w:p w14:paraId="71F1A0E1" w14:textId="77777777" w:rsidR="00370EF6" w:rsidRDefault="00D00CD1">
      <w:pPr>
        <w:pStyle w:val="BodyText"/>
      </w:pPr>
      <w:r>
        <w:t>While banks have remained profitable, the growth of private sector credit in South Africa slowed substantially after the GFC (see Figure 3.1).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p>
    <w:p w14:paraId="30A14123" w14:textId="77777777" w:rsidR="00B37C0F" w:rsidRDefault="00B37C0F">
      <w:pPr>
        <w:pStyle w:val="BodyText"/>
      </w:pPr>
    </w:p>
    <w:p w14:paraId="5DB5C236" w14:textId="77777777" w:rsidR="00370EF6" w:rsidRDefault="00D00CD1">
      <w:pPr>
        <w:pStyle w:val="Heading2"/>
      </w:pPr>
      <w:bookmarkStart w:id="5" w:name="capital-requirements"/>
      <w:bookmarkEnd w:id="4"/>
      <w:r>
        <w:lastRenderedPageBreak/>
        <w:t>3.3</w:t>
      </w:r>
      <w:r>
        <w:tab/>
        <w:t>Capital requirements reforms in South Africa</w:t>
      </w:r>
    </w:p>
    <w:p w14:paraId="18582B0D" w14:textId="0C72F317" w:rsidR="0074063D" w:rsidRDefault="00D00CD1">
      <w:r>
        <w:t>South Africa implemented the Basel III bank capital regulation framework between 2013 and 2019</w:t>
      </w:r>
      <w:r w:rsidR="00930EA5">
        <w:t>.</w:t>
      </w:r>
      <w:r>
        <w:t xml:space="preserve"> </w:t>
      </w:r>
      <w:r w:rsidR="001B2A8B">
        <w:t>The full framework covers three forms of equity capital: core equity</w:t>
      </w:r>
      <w:r w:rsidR="0074063D">
        <w:t>;</w:t>
      </w:r>
      <w:r w:rsidR="001B2A8B">
        <w:t xml:space="preserve"> </w:t>
      </w:r>
      <w:r w:rsidR="00696D03">
        <w:t xml:space="preserve">additional </w:t>
      </w:r>
      <w:r w:rsidR="001B2A8B">
        <w:t>Tier 1</w:t>
      </w:r>
      <w:r w:rsidR="00696D03">
        <w:t xml:space="preserve"> capital that </w:t>
      </w:r>
      <w:r w:rsidR="0027031F">
        <w:t xml:space="preserve">absorbs losses on a </w:t>
      </w:r>
      <w:r w:rsidR="0045282C">
        <w:t>‘</w:t>
      </w:r>
      <w:r w:rsidR="0027031F">
        <w:t>going concern</w:t>
      </w:r>
      <w:r w:rsidR="0045282C">
        <w:t>’</w:t>
      </w:r>
      <w:r w:rsidR="0027031F">
        <w:t xml:space="preserve"> basis</w:t>
      </w:r>
      <w:r w:rsidR="0074063D">
        <w:t>;</w:t>
      </w:r>
      <w:r w:rsidR="0027031F">
        <w:t xml:space="preserve"> </w:t>
      </w:r>
      <w:r w:rsidR="00DF3321">
        <w:t xml:space="preserve">and </w:t>
      </w:r>
      <w:r w:rsidR="003F77F2">
        <w:t xml:space="preserve">the </w:t>
      </w:r>
      <w:proofErr w:type="spellStart"/>
      <w:r w:rsidR="00C212A9">
        <w:t>t</w:t>
      </w:r>
      <w:r w:rsidR="00DF3321">
        <w:t>otal</w:t>
      </w:r>
      <w:r w:rsidR="00C212A9">
        <w:t>t</w:t>
      </w:r>
      <w:r w:rsidR="00DF3321">
        <w:t>otal</w:t>
      </w:r>
      <w:proofErr w:type="spellEnd"/>
      <w:r w:rsidR="0027031F">
        <w:t xml:space="preserve"> capital </w:t>
      </w:r>
      <w:r w:rsidR="00C40571">
        <w:t xml:space="preserve">(Tier 1 plus Tier 2) </w:t>
      </w:r>
      <w:r w:rsidR="00C212A9">
        <w:t xml:space="preserve">that that </w:t>
      </w:r>
      <w:r w:rsidR="002B784D">
        <w:t xml:space="preserve">protects depositors and </w:t>
      </w:r>
      <w:r w:rsidR="003F77F2">
        <w:t>tax payers when</w:t>
      </w:r>
      <w:r w:rsidR="00292C20">
        <w:t xml:space="preserve"> </w:t>
      </w:r>
      <w:r w:rsidR="003F77F2">
        <w:t xml:space="preserve">a bank fails. The focus of our work is on </w:t>
      </w:r>
      <w:r w:rsidR="00292C20">
        <w:t>t</w:t>
      </w:r>
      <w:r w:rsidR="003F77F2">
        <w:t>otal</w:t>
      </w:r>
      <w:r w:rsidR="00C212A9">
        <w:t xml:space="preserve"> capital. </w:t>
      </w:r>
      <w:r w:rsidR="003F77F2">
        <w:t xml:space="preserve"> </w:t>
      </w:r>
    </w:p>
    <w:p w14:paraId="20E86FCE" w14:textId="62EEC809" w:rsidR="00370EF6" w:rsidRDefault="0074063D">
      <w:r>
        <w:t>Table 3.1 shows the various elements of the total capital requirements introduced in South Africa. This</w:t>
      </w:r>
      <w:r w:rsidR="00D00CD1">
        <w:t xml:space="preserve"> starts with the </w:t>
      </w:r>
      <w:r w:rsidR="00331815">
        <w:t>Basel III</w:t>
      </w:r>
      <w:r w:rsidR="002D0EE1">
        <w:t xml:space="preserve"> </w:t>
      </w:r>
      <w:r w:rsidR="00D00CD1">
        <w:t>minimum</w:t>
      </w:r>
      <w:r>
        <w:t xml:space="preserve"> of 8 per cent of each bank’s risk weighted assets. To this are added: the Pillar 2 elements based on supervisory risk assessment (</w:t>
      </w:r>
      <w:r w:rsidR="00D00CD1">
        <w:t>Pillar 2A is the systemic risk requirement</w:t>
      </w:r>
      <w:r>
        <w:t>,</w:t>
      </w:r>
      <w:r w:rsidR="00D00CD1">
        <w:t xml:space="preserve"> Pillar 2B is the bank-specific individual capital requirement</w:t>
      </w:r>
      <w:r>
        <w:t>)</w:t>
      </w:r>
      <w:r w:rsidR="00D00CD1">
        <w:t xml:space="preserve"> and </w:t>
      </w:r>
      <w:r>
        <w:t>three additional buffers that are available for use as macroprudential policy instruments</w:t>
      </w:r>
      <w:r w:rsidR="00D00CD1">
        <w:t>.</w:t>
      </w:r>
    </w:p>
    <w:p w14:paraId="1015F1AE" w14:textId="3E35C192" w:rsidR="00370EF6" w:rsidRDefault="00D00CD1">
      <w:pPr>
        <w:pStyle w:val="TableCaption"/>
      </w:pPr>
      <w:r>
        <w:t xml:space="preserve">Table 3.1: Basel III </w:t>
      </w:r>
      <w:r w:rsidR="00254A51">
        <w:t>t</w:t>
      </w:r>
      <w:r w:rsidR="00C212A9">
        <w:t>otal c</w:t>
      </w:r>
      <w:r>
        <w:t>apital</w:t>
      </w:r>
      <w:r w:rsidR="00254A51">
        <w:t xml:space="preserve"> (Tier 1 + Tier 2)</w:t>
      </w:r>
      <w:r>
        <w:t xml:space="preserve"> requirements </w:t>
      </w:r>
      <w:r w:rsidR="00254A51">
        <w:t>in South Africa</w:t>
      </w:r>
    </w:p>
    <w:tbl>
      <w:tblPr>
        <w:tblW w:w="0" w:type="auto"/>
        <w:tblLayout w:type="fixed"/>
        <w:tblLook w:val="0420" w:firstRow="1" w:lastRow="0" w:firstColumn="0" w:lastColumn="0" w:noHBand="0" w:noVBand="1"/>
      </w:tblPr>
      <w:tblGrid>
        <w:gridCol w:w="4913"/>
        <w:gridCol w:w="4068"/>
      </w:tblGrid>
      <w:tr w:rsidR="00370EF6" w14:paraId="22E0E79F" w14:textId="77777777">
        <w:trPr>
          <w:tblHeader/>
        </w:trPr>
        <w:tc>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4E54A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B63E8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Percent</w:t>
            </w:r>
          </w:p>
        </w:tc>
      </w:tr>
      <w:tr w:rsidR="00370EF6" w14:paraId="3F37468B" w14:textId="77777777">
        <w:tc>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284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11F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4C11972E"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9A21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FB98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29A8987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E1A6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391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w:t>
            </w:r>
          </w:p>
        </w:tc>
      </w:tr>
      <w:tr w:rsidR="00370EF6" w14:paraId="68B8652A"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ED36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 base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5D9F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 2A</w:t>
            </w:r>
          </w:p>
        </w:tc>
      </w:tr>
      <w:tr w:rsidR="00370EF6" w14:paraId="5947CE9C"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0DF2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2B (ICR)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0E5E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 specific range</w:t>
            </w:r>
          </w:p>
        </w:tc>
      </w:tr>
      <w:tr w:rsidR="00370EF6" w14:paraId="5B3BBD74"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CE1D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EE31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8+Pillar2A+ICR</w:t>
            </w:r>
          </w:p>
        </w:tc>
      </w:tr>
      <w:tr w:rsidR="00370EF6" w14:paraId="48AE80D1"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DFF6E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Systemically important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0F43F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2.5</w:t>
            </w:r>
          </w:p>
        </w:tc>
      </w:tr>
      <w:tr w:rsidR="00370EF6" w14:paraId="66DDBC0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90AC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484D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r w:rsidR="00370EF6" w14:paraId="4E5181DA" w14:textId="77777777">
        <w:tc>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82B9B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91CBB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bl>
    <w:p w14:paraId="0E7ADFBA" w14:textId="55FD8C47" w:rsidR="00EC5667" w:rsidRPr="00405CFD" w:rsidRDefault="00C517D8" w:rsidP="00405CFD">
      <w:pPr>
        <w:pStyle w:val="BodyText"/>
        <w:spacing w:line="240" w:lineRule="auto"/>
        <w:jc w:val="left"/>
        <w:rPr>
          <w:sz w:val="20"/>
          <w:szCs w:val="16"/>
        </w:rPr>
      </w:pPr>
      <w:r w:rsidRPr="00405CFD">
        <w:rPr>
          <w:sz w:val="20"/>
          <w:szCs w:val="16"/>
        </w:rPr>
        <w:t xml:space="preserve">Source: </w:t>
      </w:r>
      <w:r w:rsidR="00437A3C" w:rsidRPr="00405CFD">
        <w:rPr>
          <w:sz w:val="20"/>
          <w:szCs w:val="16"/>
        </w:rPr>
        <w:t>Annexure A of Directive 5 of 2013 by the Office of the Register of Banks, South African Reserve Bank https://www.resbank.co.za/en/home/publications/publication-detail-pages/prudential-authority/pa-deposit-takers/banks-directives/2013/5686</w:t>
      </w:r>
    </w:p>
    <w:p w14:paraId="27EF6110" w14:textId="2C926609" w:rsidR="00370EF6" w:rsidRDefault="00D00CD1">
      <w:pPr>
        <w:pStyle w:val="BodyText"/>
      </w:pPr>
      <w:r>
        <w:t xml:space="preserve">The authorities stipulated the phase-in period shown in Table 3.2. </w:t>
      </w:r>
      <w:r w:rsidR="00437A3C">
        <w:t>T</w:t>
      </w:r>
      <w:r>
        <w:t xml:space="preserve">he conservation buffer, countercyclical buffers, and the </w:t>
      </w:r>
      <w:r w:rsidR="0074063D">
        <w:t>capital charge</w:t>
      </w:r>
      <w:r>
        <w:t xml:space="preserve"> for domestic systemically important banks were only introduced in 2016. At the same time, the systemic risk capital requirement (Pillar 2A) was reduced to avoid double counting. In the main, the authorities persisted with the phase-in schedule will only minor deviations regarding </w:t>
      </w:r>
      <w:r>
        <w:lastRenderedPageBreak/>
        <w:t>the range-bound measures.</w:t>
      </w:r>
    </w:p>
    <w:p w14:paraId="256B66A0" w14:textId="77777777" w:rsidR="00370EF6" w:rsidRDefault="00D00CD1">
      <w:pPr>
        <w:pStyle w:val="TableCaption"/>
      </w:pPr>
      <w:r>
        <w:t>Table 3.2: Basel III implementation (%)</w:t>
      </w:r>
    </w:p>
    <w:tbl>
      <w:tblPr>
        <w:tblW w:w="5000" w:type="pct"/>
        <w:tblLook w:val="0420" w:firstRow="1" w:lastRow="0" w:firstColumn="0" w:lastColumn="0" w:noHBand="0" w:noVBand="1"/>
      </w:tblPr>
      <w:tblGrid>
        <w:gridCol w:w="4929"/>
        <w:gridCol w:w="576"/>
        <w:gridCol w:w="576"/>
        <w:gridCol w:w="576"/>
        <w:gridCol w:w="621"/>
        <w:gridCol w:w="576"/>
        <w:gridCol w:w="621"/>
        <w:gridCol w:w="576"/>
      </w:tblGrid>
      <w:tr w:rsidR="00370EF6" w14:paraId="0CE3F07E" w14:textId="77777777" w:rsidTr="00437A3C">
        <w:trPr>
          <w:tblHeader/>
        </w:trPr>
        <w:tc>
          <w:tcPr>
            <w:tcW w:w="27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44CCA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0FC1B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2013</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2AA073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2014</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FE4ED8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2015</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C7A29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2016</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588372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2017</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5B858C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2018</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C3308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2019</w:t>
            </w:r>
          </w:p>
        </w:tc>
      </w:tr>
      <w:tr w:rsidR="00370EF6" w14:paraId="4F7C6AFB" w14:textId="77777777" w:rsidTr="00437A3C">
        <w:tc>
          <w:tcPr>
            <w:tcW w:w="27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8DC87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5094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58756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9D8E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7344D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23CE3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AB92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122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07483037"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20FD5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 for Total Capital</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A4E5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FF7E3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9AF4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A1D2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CF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BE969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A342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w:t>
            </w:r>
          </w:p>
        </w:tc>
      </w:tr>
      <w:tr w:rsidR="00370EF6" w14:paraId="3861B5EB"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6E561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Minimum Total Capital Plus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EE8AAD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EE93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9DAB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4E5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A8500F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8233E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0F20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w:t>
            </w:r>
          </w:p>
        </w:tc>
      </w:tr>
      <w:tr w:rsidR="00370EF6" w14:paraId="5D3AA208"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8CBE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Phasing in of specified charge for systemically important banks (as % of Pillar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6C95B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B7705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5E30B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7FDE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CB3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DDC6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12685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100</w:t>
            </w:r>
          </w:p>
        </w:tc>
      </w:tr>
      <w:tr w:rsidR="00370EF6" w14:paraId="1E3B4BEC"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66FC7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F0A7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54AD89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64183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02878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16BF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CA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988B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r w:rsidR="00370EF6" w14:paraId="0C29E578" w14:textId="77777777" w:rsidTr="00437A3C">
        <w:tc>
          <w:tcPr>
            <w:tcW w:w="27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DC69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B56E7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5C4F1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52AF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2DFB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226610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56530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0801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bl>
    <w:p w14:paraId="2E812155" w14:textId="3D008033" w:rsidR="00B37C0F" w:rsidRDefault="00437A3C" w:rsidP="00405CFD">
      <w:pPr>
        <w:pStyle w:val="BodyText"/>
        <w:spacing w:line="240" w:lineRule="auto"/>
      </w:pPr>
      <w:r w:rsidRPr="00FF788A">
        <w:rPr>
          <w:sz w:val="20"/>
          <w:szCs w:val="16"/>
        </w:rPr>
        <w:t xml:space="preserve">Source: Annexure </w:t>
      </w:r>
      <w:r>
        <w:rPr>
          <w:sz w:val="20"/>
          <w:szCs w:val="16"/>
        </w:rPr>
        <w:t>B</w:t>
      </w:r>
      <w:r w:rsidRPr="00FF788A">
        <w:rPr>
          <w:sz w:val="20"/>
          <w:szCs w:val="16"/>
        </w:rPr>
        <w:t xml:space="preserve"> of Directive 5 of 2013 by the Office of the Register of Banks, South African Reserve Bank https://www.resbank.co.za/en/home/publications/publication-detail-pages/prudential-authority/pa-deposit-takers/banks-directives/2013/5686</w:t>
      </w:r>
    </w:p>
    <w:p w14:paraId="3E54F067" w14:textId="3A90EF67" w:rsidR="00370EF6" w:rsidRDefault="00D00CD1">
      <w:pPr>
        <w:pStyle w:val="BodyText"/>
      </w:pPr>
      <w:r>
        <w:t xml:space="preserve">South African banks hold a discretionary buffer above the regulated minimum requirements. </w:t>
      </w:r>
      <w:r w:rsidR="00437A3C">
        <w:t>T</w:t>
      </w:r>
      <w:r>
        <w:t>he buffer of bank capital over minimum regulatory requirements for the sector has varied, rising from around 2% in 2008 to 6% in 2013, but with the introduction of the higher Basel III requirements has since fallen, fluctuating in range of 2-4% since 2015 (see Figure 3.2).</w:t>
      </w:r>
    </w:p>
    <w:p w14:paraId="5B978804" w14:textId="77777777" w:rsidR="00370EF6" w:rsidRDefault="00D00CD1">
      <w:r>
        <w:rPr>
          <w:noProof/>
          <w:lang w:eastAsia="en-GB"/>
        </w:rPr>
        <w:drawing>
          <wp:inline distT="0" distB="0" distL="0" distR="0" wp14:anchorId="272A20E8" wp14:editId="163D3DE6">
            <wp:extent cx="5753100" cy="3451860"/>
            <wp:effectExtent l="0" t="0" r="0" b="0"/>
            <wp:docPr id="42" name="Picture 42" descr="Figure 3.2: Capital requirements. Source: South African Reserve Bank (2022). Note: RWA is risk weighted assets."/>
            <wp:cNvGraphicFramePr/>
            <a:graphic xmlns:a="http://schemas.openxmlformats.org/drawingml/2006/main">
              <a:graphicData uri="http://schemas.openxmlformats.org/drawingml/2006/picture">
                <pic:pic xmlns:pic="http://schemas.openxmlformats.org/drawingml/2006/picture">
                  <pic:nvPicPr>
                    <pic:cNvPr id="43" name="Picture" descr="Bank_capital_and_bank_lending_files/figure-docx/capital-1.png"/>
                    <pic:cNvPicPr>
                      <a:picLocks noChangeAspect="1" noChangeArrowheads="1"/>
                    </pic:cNvPicPr>
                  </pic:nvPicPr>
                  <pic:blipFill>
                    <a:blip r:embed="rId15"/>
                    <a:stretch>
                      <a:fillRect/>
                    </a:stretch>
                  </pic:blipFill>
                  <pic:spPr bwMode="auto">
                    <a:xfrm>
                      <a:off x="0" y="0"/>
                      <a:ext cx="5753100" cy="3451860"/>
                    </a:xfrm>
                    <a:prstGeom prst="rect">
                      <a:avLst/>
                    </a:prstGeom>
                    <a:noFill/>
                    <a:ln w="9525">
                      <a:noFill/>
                      <a:headEnd/>
                      <a:tailEnd/>
                    </a:ln>
                  </pic:spPr>
                </pic:pic>
              </a:graphicData>
            </a:graphic>
          </wp:inline>
        </w:drawing>
      </w:r>
    </w:p>
    <w:p w14:paraId="5F49F12B" w14:textId="77777777" w:rsidR="00370EF6" w:rsidRDefault="00D00CD1">
      <w:r>
        <w:lastRenderedPageBreak/>
        <w:t>Figure 3.2: Capital requirements. Source: South African Reserve Bank (2022). Note: RWA is risk weighted assets.</w:t>
      </w:r>
    </w:p>
    <w:p w14:paraId="32B5F828" w14:textId="77777777" w:rsidR="00370EF6" w:rsidRDefault="00D00CD1" w:rsidP="00717C6A">
      <w:pPr>
        <w:pStyle w:val="Heading1"/>
      </w:pPr>
      <w:bookmarkStart w:id="6" w:name="data"/>
      <w:bookmarkEnd w:id="2"/>
      <w:bookmarkEnd w:id="5"/>
      <w:r>
        <w:t>4</w:t>
      </w:r>
      <w:r>
        <w:tab/>
        <w:t>Data and Methodology</w:t>
      </w:r>
    </w:p>
    <w:p w14:paraId="09FDE1D6" w14:textId="09C61D73" w:rsidR="00370EF6" w:rsidRDefault="00D00CD1">
      <w:r>
        <w:t xml:space="preserve">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w:t>
      </w:r>
      <w:r w:rsidR="00E952D5">
        <w:t xml:space="preserve">balance sheet </w:t>
      </w:r>
      <w:r>
        <w:t xml:space="preserve">returns) and the BA930s (bank product lending rates). The Basel III capital requirements (BA700s) data was collected from the South African Prudential Authority (PA) - the financial sector regulator. From the same source, we also collected the controls data. Tables 7.1 and 7.2 in the Appendix summarise the specific data. </w:t>
      </w:r>
      <w:r w:rsidR="00437A3C">
        <w:t>M</w:t>
      </w:r>
      <w:r>
        <w:t xml:space="preserve">ost bank-level data is </w:t>
      </w:r>
      <w:r w:rsidR="00437A3C">
        <w:t>confidential data held by</w:t>
      </w:r>
      <w:r>
        <w:t xml:space="preserve"> the SARB; however, the BA900 bank-level </w:t>
      </w:r>
      <w:r w:rsidR="00302D5E">
        <w:t xml:space="preserve">balance sheet </w:t>
      </w:r>
      <w:r>
        <w:t>data is public.</w:t>
      </w:r>
    </w:p>
    <w:p w14:paraId="7D1F75F2" w14:textId="3BFE1C5E" w:rsidR="00E952D5" w:rsidRDefault="00E952D5">
      <w:r>
        <w:t xml:space="preserve">These data </w:t>
      </w:r>
      <w:r w:rsidR="009A5016">
        <w:t xml:space="preserve">have some distinctive features, making them </w:t>
      </w:r>
      <w:proofErr w:type="gramStart"/>
      <w:r w:rsidR="009A5016">
        <w:t>promising</w:t>
      </w:r>
      <w:proofErr w:type="gramEnd"/>
      <w:r w:rsidR="009A5016">
        <w:t xml:space="preserve"> for inv</w:t>
      </w:r>
      <w:r w:rsidR="00D627D1">
        <w:t>e</w:t>
      </w:r>
      <w:r w:rsidR="009A5016">
        <w:t xml:space="preserve">stigating the </w:t>
      </w:r>
      <w:proofErr w:type="spellStart"/>
      <w:r w:rsidR="009A5016">
        <w:t>determinatns</w:t>
      </w:r>
      <w:proofErr w:type="spellEnd"/>
      <w:r w:rsidR="009A5016">
        <w:t xml:space="preserve"> of bank credit supply when compared to what is available for other countries. First</w:t>
      </w:r>
      <w:r w:rsidR="00157D88">
        <w:t>, unusually,</w:t>
      </w:r>
      <w:r w:rsidR="003A49CC">
        <w:t xml:space="preserve"> </w:t>
      </w:r>
      <w:r w:rsidR="00F26888">
        <w:t xml:space="preserve">South </w:t>
      </w:r>
      <w:proofErr w:type="spellStart"/>
      <w:r w:rsidR="00F26888">
        <w:t>Africna</w:t>
      </w:r>
      <w:proofErr w:type="spellEnd"/>
      <w:r w:rsidR="00F26888">
        <w:t xml:space="preserve"> data provides</w:t>
      </w:r>
      <w:r w:rsidR="00157D88">
        <w:t xml:space="preserve"> granular public domain monthly </w:t>
      </w:r>
      <w:r w:rsidR="00483F2E">
        <w:t xml:space="preserve">balance sheet </w:t>
      </w:r>
      <w:r w:rsidR="00F26888">
        <w:t>reports with a</w:t>
      </w:r>
      <w:r w:rsidR="00483F2E">
        <w:t xml:space="preserve"> d</w:t>
      </w:r>
      <w:r w:rsidR="00A37210">
        <w:t>etailed breakdown of</w:t>
      </w:r>
      <w:r w:rsidR="00157D88">
        <w:t xml:space="preserve"> bank </w:t>
      </w:r>
      <w:r w:rsidR="00483F2E">
        <w:t>assets and liabilities</w:t>
      </w:r>
      <w:r w:rsidR="00A37210">
        <w:t xml:space="preserve"> for individual banks. Second </w:t>
      </w:r>
      <w:r w:rsidR="009D005C">
        <w:t xml:space="preserve">confidential granular </w:t>
      </w:r>
      <w:r w:rsidR="001524CA">
        <w:t xml:space="preserve">bank by bank </w:t>
      </w:r>
      <w:r w:rsidR="00B50B76">
        <w:t xml:space="preserve">matching </w:t>
      </w:r>
      <w:r w:rsidR="00A37210">
        <w:t xml:space="preserve">loan category data on </w:t>
      </w:r>
      <w:r w:rsidR="009D005C">
        <w:t>produc</w:t>
      </w:r>
      <w:r w:rsidR="001524CA">
        <w:t>t</w:t>
      </w:r>
      <w:r w:rsidR="009D005C">
        <w:t xml:space="preserve"> lending rates</w:t>
      </w:r>
      <w:r w:rsidR="001524CA">
        <w:t xml:space="preserve">. This </w:t>
      </w:r>
      <w:r w:rsidR="001859E0">
        <w:t xml:space="preserve">pricing data </w:t>
      </w:r>
      <w:r w:rsidR="001524CA">
        <w:t xml:space="preserve">offers </w:t>
      </w:r>
      <w:r w:rsidR="001859E0">
        <w:t>the potential of employing a new approach from that used in the existing literature</w:t>
      </w:r>
      <w:r w:rsidR="001524CA">
        <w:t xml:space="preserve"> to </w:t>
      </w:r>
      <w:r w:rsidR="001859E0">
        <w:t>identify credit supply effects.</w:t>
      </w:r>
      <w:r w:rsidR="009D005C">
        <w:t xml:space="preserve"> </w:t>
      </w:r>
    </w:p>
    <w:p w14:paraId="6BCD9745" w14:textId="567391DD" w:rsidR="00370EF6" w:rsidRDefault="00D00CD1">
      <w:pPr>
        <w:pStyle w:val="BodyText"/>
      </w:pPr>
      <w:r>
        <w:t>Our focus is on the effect of higher capital requirements on lending</w:t>
      </w:r>
      <w:r w:rsidR="00437A3C">
        <w:t xml:space="preserve"> to </w:t>
      </w:r>
      <w:proofErr w:type="spellStart"/>
      <w:proofErr w:type="gramStart"/>
      <w:r w:rsidR="00437A3C">
        <w:t>non financial</w:t>
      </w:r>
      <w:proofErr w:type="spellEnd"/>
      <w:proofErr w:type="gramEnd"/>
      <w:r w:rsidR="00437A3C">
        <w:t xml:space="preserve"> household and corporate borrowers</w:t>
      </w:r>
      <w:r>
        <w:t xml:space="preserve">. </w:t>
      </w:r>
      <w:r w:rsidR="00437A3C">
        <w:t>T</w:t>
      </w:r>
      <w:r>
        <w:t xml:space="preserve">he BA900s </w:t>
      </w:r>
      <w:r w:rsidR="003F4584">
        <w:t>distinguishes twenty-four</w:t>
      </w:r>
      <w:r>
        <w:t xml:space="preserve"> lending categories</w:t>
      </w:r>
      <w:r w:rsidR="003F4584">
        <w:t xml:space="preserve"> </w:t>
      </w:r>
      <w:r>
        <w:t xml:space="preserve">to households and non-financial corporations. </w:t>
      </w:r>
      <w:r w:rsidR="003F4584">
        <w:t>Many of these categories are closely related, t</w:t>
      </w:r>
      <w:r>
        <w:t xml:space="preserve">herefore, some aggregation </w:t>
      </w:r>
      <w:r w:rsidR="003F4584">
        <w:t>is appropriate</w:t>
      </w:r>
      <w:r>
        <w:t xml:space="preserve">. </w:t>
      </w:r>
      <w:r w:rsidR="003F4584">
        <w:t>The</w:t>
      </w:r>
      <w:r>
        <w:t xml:space="preserve"> aggregation</w:t>
      </w:r>
      <w:r w:rsidR="003F4584">
        <w:t xml:space="preserve"> of this data</w:t>
      </w:r>
      <w:r>
        <w:t>, combining related granular lending categories into broader categories, is explained in Section 7.4 in the Appendix. Th</w:t>
      </w:r>
      <w:r w:rsidR="003F4584">
        <w:t>is results in</w:t>
      </w:r>
      <w:r>
        <w:t xml:space="preserve"> three</w:t>
      </w:r>
      <w:r w:rsidR="003F4584">
        <w:t xml:space="preserve"> lending</w:t>
      </w:r>
      <w:r>
        <w:t xml:space="preserve"> categories for </w:t>
      </w:r>
      <w:r w:rsidR="00BC57D2">
        <w:t xml:space="preserve">both </w:t>
      </w:r>
      <w:r>
        <w:t>households and</w:t>
      </w:r>
      <w:r w:rsidR="003F4584">
        <w:t xml:space="preserve"> for</w:t>
      </w:r>
      <w:r>
        <w:t xml:space="preserve"> non-financial corporations: unsecured credit, secured credit, and mortgages. These six categories form the foundation of our analysis.</w:t>
      </w:r>
    </w:p>
    <w:p w14:paraId="49312BAD" w14:textId="0CA7E38C" w:rsidR="00370EF6" w:rsidRDefault="003F4584">
      <w:pPr>
        <w:pStyle w:val="BodyText"/>
      </w:pPr>
      <w:r>
        <w:lastRenderedPageBreak/>
        <w:t>Table 4.1 prov</w:t>
      </w:r>
      <w:r w:rsidR="000E1973">
        <w:t>i</w:t>
      </w:r>
      <w:r>
        <w:t xml:space="preserve">des the </w:t>
      </w:r>
      <w:proofErr w:type="spellStart"/>
      <w:r>
        <w:t>definintions</w:t>
      </w:r>
      <w:proofErr w:type="spellEnd"/>
      <w:r>
        <w:t xml:space="preserve"> of and summary statistics for our dependent and independent variables</w:t>
      </w:r>
      <w:r w:rsidR="00756C39">
        <w:t xml:space="preserve">. The data </w:t>
      </w:r>
      <w:proofErr w:type="gramStart"/>
      <w:r w:rsidR="00756C39">
        <w:t>transformations</w:t>
      </w:r>
      <w:r w:rsidR="00645E78">
        <w:t xml:space="preserve"> </w:t>
      </w:r>
      <w:r w:rsidR="00D00CD1">
        <w:t xml:space="preserve"> transformed</w:t>
      </w:r>
      <w:proofErr w:type="gramEnd"/>
      <w:r w:rsidR="00D00CD1">
        <w:t xml:space="preserve"> some data for modelling purposes as summarised in. In the literature section, we explained the challenges in separating the bank lending effect of specific Basel III actions from banks’ normal risk and portfolio adjustment actions. To </w:t>
      </w:r>
      <w:r w:rsidR="00F70404">
        <w:t>ad</w:t>
      </w:r>
      <w:r w:rsidR="00556E9A">
        <w:t>d</w:t>
      </w:r>
      <w:r w:rsidR="00F70404">
        <w:t xml:space="preserve">ress </w:t>
      </w:r>
      <w:r w:rsidR="00D00CD1">
        <w:t>th</w:t>
      </w:r>
      <w:r w:rsidR="00556E9A">
        <w:t>is</w:t>
      </w:r>
      <w:r w:rsidR="00D00CD1">
        <w:t xml:space="preserve"> identification problem, we </w:t>
      </w:r>
      <w:r>
        <w:t xml:space="preserve">follow Fang </w:t>
      </w:r>
      <w:r>
        <w:rPr>
          <w:i/>
          <w:iCs/>
        </w:rPr>
        <w:t>et al.</w:t>
      </w:r>
      <w:r>
        <w:t xml:space="preserve"> (2020), using a dummy variable in</w:t>
      </w:r>
      <w:r w:rsidR="004175B9">
        <w:t>t</w:t>
      </w:r>
      <w:r>
        <w:t xml:space="preserve">eraction to </w:t>
      </w:r>
      <w:r w:rsidR="00D00CD1">
        <w:t>distinguish between</w:t>
      </w:r>
      <w:r>
        <w:t xml:space="preserve"> changes due to</w:t>
      </w:r>
      <w:r w:rsidR="00D00CD1">
        <w:t xml:space="preserve"> Basel III</w:t>
      </w:r>
      <w:r w:rsidR="000E1973">
        <w:t>, in the case of So</w:t>
      </w:r>
      <w:r w:rsidR="00556D69">
        <w:t>u</w:t>
      </w:r>
      <w:r w:rsidR="000E1973">
        <w:t xml:space="preserve">th Africa the jumps in capital requirements introduce in January of the years 2014 to </w:t>
      </w:r>
      <w:r w:rsidR="00E76B58">
        <w:t>2019</w:t>
      </w:r>
      <w:r w:rsidR="00556D69">
        <w:t xml:space="preserve"> in the phased introduction of the Basel III higher minimum capital</w:t>
      </w:r>
      <w:r w:rsidR="00E76B58">
        <w:t xml:space="preserve"> </w:t>
      </w:r>
      <w:r w:rsidR="00556D69">
        <w:t xml:space="preserve">requirements </w:t>
      </w:r>
      <w:r w:rsidR="00E76B58">
        <w:t>(Table 3.2)</w:t>
      </w:r>
      <w:r w:rsidR="000E1973">
        <w:t xml:space="preserve">, </w:t>
      </w:r>
      <w:r w:rsidR="00D00CD1">
        <w:t xml:space="preserve">and </w:t>
      </w:r>
      <w:r>
        <w:t>small fluctuations resulting from changes in RWA</w:t>
      </w:r>
      <w:r w:rsidR="00D00CD1">
        <w:t xml:space="preserve"> (see Figure 3.2). </w:t>
      </w:r>
      <m:oMath>
        <m:r>
          <w:rPr>
            <w:rFonts w:ascii="Cambria Math" w:hAnsi="Cambria Math"/>
          </w:rPr>
          <m:t>ΔKR</m:t>
        </m:r>
      </m:oMath>
      <w:r w:rsidR="00D00CD1">
        <w:t xml:space="preserve"> or minimum capital requirement is a</w:t>
      </w:r>
      <w:r w:rsidR="004557AD">
        <w:t>n interactive</w:t>
      </w:r>
      <w:r w:rsidR="00D00CD1">
        <w:t xml:space="preserve"> dummy that isolates the specific Basel III changes to the regulatory capital buffer requirements as explained in Section 3.3. </w:t>
      </w:r>
      <w:r>
        <w:t>W</w:t>
      </w:r>
      <w:r w:rsidR="00D00CD1">
        <w:t xml:space="preserve">e </w:t>
      </w:r>
      <w:r>
        <w:t xml:space="preserve">also </w:t>
      </w:r>
      <w:r w:rsidR="00D00CD1">
        <w:t>distinguish between the excess capital that the banks choose to hold above the minimum capital buffer requirement (</w:t>
      </w:r>
      <m:oMath>
        <m:r>
          <w:rPr>
            <w:rFonts w:ascii="Cambria Math" w:hAnsi="Cambria Math"/>
          </w:rPr>
          <m:t>ΔKS</m:t>
        </m:r>
      </m:oMath>
      <w:r w:rsidR="00D00CD1">
        <w:t xml:space="preserve">). </w:t>
      </w:r>
    </w:p>
    <w:p w14:paraId="7E655E31" w14:textId="4490D371" w:rsidR="00370EF6" w:rsidRDefault="00A04C35">
      <w:pPr>
        <w:pStyle w:val="BodyText"/>
      </w:pPr>
      <w:r>
        <w:t xml:space="preserve">To control for demand for credit </w:t>
      </w:r>
      <w:r w:rsidR="00D00CD1">
        <w:t xml:space="preserve">we utilise the lending rates corresponding to our six broad lending categories (see Figure 7.1 in the Appendix). We define </w:t>
      </w:r>
      <m:oMath>
        <m:r>
          <w:rPr>
            <w:rFonts w:ascii="Cambria Math" w:hAnsi="Cambria Math"/>
          </w:rPr>
          <m:t>ΔDemand</m:t>
        </m:r>
      </m:oMath>
      <w:r w:rsidR="00D00CD1">
        <w:t xml:space="preserve"> as the change in the interest rate margin (lending rate less the SARB policy rate) as a measure of lending demand. The intuition is that an increase in the lending </w:t>
      </w:r>
      <w:proofErr w:type="gramStart"/>
      <w:r w:rsidR="00D00CD1">
        <w:t xml:space="preserve">rate </w:t>
      </w:r>
      <w:r w:rsidR="006667C1">
        <w:t xml:space="preserve"> relative</w:t>
      </w:r>
      <w:proofErr w:type="gramEnd"/>
      <w:r w:rsidR="006667C1">
        <w:t xml:space="preserve"> to the policy rate is </w:t>
      </w:r>
      <w:proofErr w:type="spellStart"/>
      <w:r w:rsidR="006667C1">
        <w:t>indiciative</w:t>
      </w:r>
      <w:proofErr w:type="spellEnd"/>
      <w:r w:rsidR="006667C1">
        <w:t xml:space="preserve"> of </w:t>
      </w:r>
      <w:r w:rsidR="00D00CD1">
        <w:t xml:space="preserve">an increase in demand </w:t>
      </w:r>
      <w:r w:rsidR="006667C1">
        <w:t xml:space="preserve">and so including </w:t>
      </w:r>
      <w:r w:rsidR="004D2755">
        <w:t xml:space="preserve">this in the specification we can control for changes in bank specific loan demand correlated with changes in capital requirements. </w:t>
      </w:r>
    </w:p>
    <w:p w14:paraId="11DB6F8C" w14:textId="77777777" w:rsidR="00370EF6" w:rsidRDefault="00D00CD1">
      <w:pPr>
        <w:pStyle w:val="BodyText"/>
      </w:pPr>
      <w:r>
        <w:t>After adjusting the data in Table 4.1 for outliers (</w:t>
      </w:r>
      <w:proofErr w:type="spellStart"/>
      <w:r>
        <w:t>winsorizing</w:t>
      </w:r>
      <w:proofErr w:type="spellEnd"/>
      <w:r>
        <w:t xml:space="preserve"> the data with a 1% threshold), we estimate the following equation, for the six lending categories, using the ordinary least squares estimator:</w:t>
      </w:r>
    </w:p>
    <w:p w14:paraId="2A52F726" w14:textId="77777777" w:rsidR="00370EF6" w:rsidRDefault="00D00CD1">
      <w:pPr>
        <w:pStyle w:val="BodyText"/>
      </w:pPr>
      <m:oMathPara>
        <m:oMathParaPr>
          <m:jc m:val="center"/>
        </m:oMathParaPr>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r>
            <w:rPr>
              <w:rFonts w:ascii="Cambria Math" w:hAnsi="Cambria Math"/>
            </w:rPr>
            <m:t>βΔK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αΔDeman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4BE02380" w14:textId="77777777" w:rsidR="00370EF6" w:rsidRDefault="00D00CD1">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the log difference of lending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s</m:t>
        </m:r>
      </m:oMath>
      <w:r>
        <w:t xml:space="preserve"> for bank </w:t>
      </w:r>
      <m:oMath>
        <m:r>
          <w:rPr>
            <w:rFonts w:ascii="Cambria Math" w:hAnsi="Cambria Math"/>
          </w:rPr>
          <m:t>i</m:t>
        </m:r>
      </m:oMath>
      <w:r>
        <w:t xml:space="preserve">.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bank level change in the minimum capital requirement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and similarly </w:t>
      </w:r>
      <m:oMath>
        <m:r>
          <w:rPr>
            <w:rFonts w:ascii="Cambria Math" w:hAnsi="Cambria Math"/>
          </w:rPr>
          <m:t>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change in the bank-level capital buffer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r>
          <w:rPr>
            <w:rFonts w:ascii="Cambria Math" w:hAnsi="Cambria Math"/>
          </w:rPr>
          <m:t>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lending demand proxy represented by the </w:t>
      </w:r>
      <w:r>
        <w:lastRenderedPageBreak/>
        <w:t xml:space="preserve">bank-level change in the interest rate margin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a bank level controls set at month </w:t>
      </w:r>
      <m:oMath>
        <m:r>
          <w:rPr>
            <w:rFonts w:ascii="Cambria Math" w:hAnsi="Cambria Math"/>
          </w:rPr>
          <m:t>t</m:t>
        </m:r>
        <m:r>
          <m:rPr>
            <m:sty m:val="p"/>
          </m:rPr>
          <w:rPr>
            <w:rFonts w:ascii="Cambria Math" w:hAnsi="Cambria Math"/>
          </w:rPr>
          <m:t>-</m:t>
        </m:r>
        <m:r>
          <w:rPr>
            <w:rFonts w:ascii="Cambria Math" w:hAnsi="Cambria Math"/>
          </w:rPr>
          <m:t>s</m:t>
        </m:r>
      </m:oMath>
      <w:r>
        <w:t xml:space="preserve">. Our choice of controls flows from Fang </w:t>
      </w:r>
      <w:r>
        <w:rPr>
          <w:i/>
          <w:iCs/>
        </w:rPr>
        <w:t>et al.</w:t>
      </w:r>
      <w:r>
        <w:t xml:space="preserve"> (2020), which are at a bank-level return on assets, return on equity (profitability), and high liquid assets held (liquidity). The fixed effects (</w:t>
      </w:r>
      <m:oMath>
        <m:sSup>
          <m:sSupPr>
            <m:ctrlPr>
              <w:rPr>
                <w:rFonts w:ascii="Cambria Math" w:hAnsi="Cambria Math"/>
              </w:rPr>
            </m:ctrlPr>
          </m:sSupPr>
          <m:e>
            <m:r>
              <w:rPr>
                <w:rFonts w:ascii="Cambria Math" w:hAnsi="Cambria Math"/>
              </w:rPr>
              <m:t>ϕ</m:t>
            </m:r>
          </m:e>
          <m:sup>
            <m:r>
              <w:rPr>
                <w:rFonts w:ascii="Cambria Math" w:hAnsi="Cambria Math"/>
              </w:rPr>
              <m:t>i</m:t>
            </m:r>
          </m:sup>
        </m:sSup>
      </m:oMath>
      <w:r>
        <w:t>) estimate other unobserved differences in bank characteristics. To account for other factors, such as changes in the macroeconomic environment, we employ time-fixed effects (</w:t>
      </w:r>
      <m:oMath>
        <m:sSub>
          <m:sSubPr>
            <m:ctrlPr>
              <w:rPr>
                <w:rFonts w:ascii="Cambria Math" w:hAnsi="Cambria Math"/>
              </w:rPr>
            </m:ctrlPr>
          </m:sSubPr>
          <m:e>
            <m:r>
              <w:rPr>
                <w:rFonts w:ascii="Cambria Math" w:hAnsi="Cambria Math"/>
              </w:rPr>
              <m:t>τ</m:t>
            </m:r>
          </m:e>
          <m:sub>
            <m:r>
              <w:rPr>
                <w:rFonts w:ascii="Cambria Math" w:hAnsi="Cambria Math"/>
              </w:rPr>
              <m:t>t</m:t>
            </m:r>
          </m:sub>
        </m:sSub>
      </m:oMath>
      <w:r>
        <w:t>). In summary, we estimate this specification for each of the lending category with a panel of four banks between 2013 and 2019. As shown in Section 5 this amounts to six regressions per estimation, that is, three regressions for households and non-financial corporations (unsecured credit, secured credit and mortgages), respectively.</w:t>
      </w:r>
    </w:p>
    <w:p w14:paraId="09BFEB1E" w14:textId="77777777" w:rsidR="00643442" w:rsidRDefault="00643442"/>
    <w:p w14:paraId="4B703142" w14:textId="77777777" w:rsidR="00643442" w:rsidRDefault="00643442"/>
    <w:p w14:paraId="71D4392E" w14:textId="77777777" w:rsidR="00643442" w:rsidRDefault="00643442"/>
    <w:p w14:paraId="5D8B0F72" w14:textId="77777777" w:rsidR="00643442" w:rsidRDefault="00643442">
      <w:pPr>
        <w:sectPr w:rsidR="00643442" w:rsidSect="00580183">
          <w:footnotePr>
            <w:numRestart w:val="eachSect"/>
          </w:footnotePr>
          <w:pgSz w:w="11907" w:h="16840" w:code="9"/>
          <w:pgMar w:top="1418" w:right="1418" w:bottom="1418" w:left="1418" w:header="720" w:footer="720" w:gutter="0"/>
          <w:cols w:space="720"/>
        </w:sectPr>
      </w:pPr>
    </w:p>
    <w:p w14:paraId="70BED644" w14:textId="77777777" w:rsidR="00370EF6" w:rsidRDefault="00D00CD1">
      <w:pPr>
        <w:pStyle w:val="TableCaption"/>
      </w:pPr>
      <w:r>
        <w:lastRenderedPageBreak/>
        <w:t>Table 4.1: Variable Definitions and Summary Statistics</w:t>
      </w:r>
    </w:p>
    <w:tbl>
      <w:tblPr>
        <w:tblW w:w="5000" w:type="pct"/>
        <w:tblLook w:val="0420" w:firstRow="1" w:lastRow="0" w:firstColumn="0" w:lastColumn="0" w:noHBand="0" w:noVBand="1"/>
      </w:tblPr>
      <w:tblGrid>
        <w:gridCol w:w="1851"/>
        <w:gridCol w:w="6103"/>
        <w:gridCol w:w="2797"/>
        <w:gridCol w:w="716"/>
        <w:gridCol w:w="615"/>
        <w:gridCol w:w="688"/>
        <w:gridCol w:w="688"/>
        <w:gridCol w:w="526"/>
      </w:tblGrid>
      <w:tr w:rsidR="00370EF6" w:rsidRPr="005A0D08" w14:paraId="051925A9" w14:textId="77777777" w:rsidTr="00643442">
        <w:trPr>
          <w:tblHeader/>
        </w:trPr>
        <w:tc>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42ED6B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Variable</w:t>
            </w:r>
          </w:p>
        </w:tc>
        <w:tc>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EF95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Definition</w:t>
            </w:r>
          </w:p>
        </w:tc>
        <w:tc>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94FCE5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Category</w:t>
            </w:r>
          </w:p>
        </w:tc>
        <w:tc>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ABF4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Median</w:t>
            </w:r>
          </w:p>
        </w:tc>
        <w:tc>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0DAB5A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SD</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77EA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Min</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770B6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Max</w:t>
            </w:r>
          </w:p>
        </w:tc>
        <w:tc>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1FDEA7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roofErr w:type="spellStart"/>
            <w:r w:rsidRPr="005A0D08">
              <w:rPr>
                <w:rFonts w:eastAsia="Helvetica" w:hAnsi="Helvetica" w:cs="Helvetica"/>
                <w:color w:val="000000"/>
                <w:sz w:val="13"/>
                <w:szCs w:val="13"/>
              </w:rPr>
              <w:t>Obs</w:t>
            </w:r>
            <w:proofErr w:type="spellEnd"/>
          </w:p>
        </w:tc>
      </w:tr>
      <w:tr w:rsidR="00370EF6" w:rsidRPr="005A0D08" w14:paraId="69262E8B" w14:textId="77777777" w:rsidTr="00643442">
        <w:tc>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C687FC"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LOAN</m:t>
                </m:r>
              </m:oMath>
            </m:oMathPara>
          </w:p>
        </w:tc>
        <w:tc>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5B92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change in the natural logarithm of nominal loans.</w:t>
            </w:r>
          </w:p>
        </w:tc>
        <w:tc>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1E58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40B1B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EDC69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0.008</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E963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A5B4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C42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9977AB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48B8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F965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F27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31B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B73A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700E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CA1CF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C53B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00D6BDC"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4B6CA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37E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7688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729E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4A2F8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0DD2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4FEE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722B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3F9B9F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EFBB8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0FAE7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EDD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9A24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7B380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21700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D4D1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771F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14039F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5F705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65F4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6966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8361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ED4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889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A86A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0.037</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FB56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AC57E8D"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FBD4B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1BC46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4B449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9246A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ACE4D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D499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-0.066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F11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0.092</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B996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000C01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949946"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KR</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8F9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jumps (up or down) in the minimum capital requirement (Basel III).</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0B4E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F253E" w14:textId="77777777" w:rsidR="00370EF6" w:rsidRPr="00405CFD"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405CFD">
              <w:rPr>
                <w:rFonts w:eastAsia="Helvetica" w:hAnsi="Helvetica" w:cs="Helvetica"/>
                <w:color w:val="000000"/>
                <w:sz w:val="13"/>
                <w:szCs w:val="13"/>
                <w:highlight w:val="yellow"/>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D4A3E6" w14:textId="77777777" w:rsidR="00370EF6" w:rsidRPr="00405CFD"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405CFD">
              <w:rPr>
                <w:rFonts w:eastAsia="Helvetica" w:hAnsi="Helvetica" w:cs="Helvetica"/>
                <w:color w:val="000000"/>
                <w:sz w:val="13"/>
                <w:szCs w:val="13"/>
                <w:highlight w:val="yellow"/>
              </w:rPr>
              <w:t>0.263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A0895D" w14:textId="77777777" w:rsidR="00370EF6" w:rsidRPr="00405CFD"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405CFD">
              <w:rPr>
                <w:rFonts w:eastAsia="Helvetica" w:hAnsi="Helvetica" w:cs="Helvetica"/>
                <w:color w:val="000000"/>
                <w:sz w:val="13"/>
                <w:szCs w:val="13"/>
                <w:highlight w:val="yellow"/>
              </w:rPr>
              <w:t>0.000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C2BAAF" w14:textId="77777777" w:rsidR="00370EF6" w:rsidRPr="00405CFD"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405CFD">
              <w:rPr>
                <w:rFonts w:eastAsia="Helvetica" w:hAnsi="Helvetica" w:cs="Helvetica"/>
                <w:color w:val="000000"/>
                <w:sz w:val="13"/>
                <w:szCs w:val="13"/>
                <w:highlight w:val="yellow"/>
              </w:rPr>
              <w:t>1.000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8095D4" w14:textId="77777777" w:rsidR="00370EF6" w:rsidRPr="00405CFD"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405CFD">
              <w:rPr>
                <w:rFonts w:eastAsia="Helvetica" w:hAnsi="Helvetica" w:cs="Helvetica"/>
                <w:color w:val="000000"/>
                <w:sz w:val="13"/>
                <w:szCs w:val="13"/>
                <w:highlight w:val="yellow"/>
              </w:rPr>
              <w:t>363</w:t>
            </w:r>
          </w:p>
        </w:tc>
      </w:tr>
      <w:tr w:rsidR="00370EF6" w:rsidRPr="005A0D08" w14:paraId="0EE41EC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D5A5D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KS</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481C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difference between the total capital buffer requirement and the minimum capital requirement.</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7A03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E493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-0.001</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FF2F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2B4D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7059E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0.018</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686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2AF68AB"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7D6D7E"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Demand</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E53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change in the interest rate margin (category credit rate less the policy rate or repo).</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D1F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0C73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8A8E7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369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-0.430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D8E2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0.380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6458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BF2693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4F4AC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57C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C3A3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27717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C2B8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245C1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-0.473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ED2E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9F5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201B13D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BABF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58AD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15925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9C492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AF61C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0.177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476FB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-0.961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526C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0.533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FC96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147179A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D42B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8F90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A5A8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4D7C0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9B4D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0.128</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004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-0.650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C50A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22E9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DD6FBF5"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54DD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BD805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098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15DC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0.006</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6419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E8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-0.449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A2522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36BB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1B24FF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8CAE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1091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9818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F95B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4A7F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415D09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EFE0A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0.526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A88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11D5DE"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2BF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ROA</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62B20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assets during the month, that is, net income divided by total assets.</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3F5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F59C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940A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5619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2827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6E57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3AE290"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46A5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ROE</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35CF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equity during the month, that is, net income divided by shareholder equity.</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5E2A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8756A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0.169</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132A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56B7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818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3DA0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5D1AC01" w14:textId="77777777" w:rsidTr="00643442">
        <w:tc>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612AA8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Liquidity</m:t>
                </m:r>
              </m:oMath>
            </m:oMathPara>
          </w:p>
        </w:tc>
        <w:tc>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2576A2" w14:textId="4E4D9A7D"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Natu</w:t>
            </w:r>
            <w:r w:rsidR="007A06CC">
              <w:rPr>
                <w:rFonts w:eastAsia="Helvetica" w:hAnsi="Helvetica" w:cs="Helvetica"/>
                <w:color w:val="000000"/>
                <w:sz w:val="13"/>
                <w:szCs w:val="13"/>
              </w:rPr>
              <w:t>r</w:t>
            </w:r>
            <w:r w:rsidRPr="005A0D08">
              <w:rPr>
                <w:rFonts w:eastAsia="Helvetica" w:hAnsi="Helvetica" w:cs="Helvetica"/>
                <w:color w:val="000000"/>
                <w:sz w:val="13"/>
                <w:szCs w:val="13"/>
              </w:rPr>
              <w:t>al logarithm of the mont</w:t>
            </w:r>
            <w:r w:rsidR="007A06CC">
              <w:rPr>
                <w:rFonts w:eastAsia="Helvetica" w:hAnsi="Helvetica" w:cs="Helvetica"/>
                <w:color w:val="000000"/>
                <w:sz w:val="13"/>
                <w:szCs w:val="13"/>
              </w:rPr>
              <w:t>h</w:t>
            </w:r>
            <w:r w:rsidRPr="005A0D08">
              <w:rPr>
                <w:rFonts w:eastAsia="Helvetica" w:hAnsi="Helvetica" w:cs="Helvetica"/>
                <w:color w:val="000000"/>
                <w:sz w:val="13"/>
                <w:szCs w:val="13"/>
              </w:rPr>
              <w:t xml:space="preserve">ly level of </w:t>
            </w:r>
            <w:r w:rsidR="00AA195D" w:rsidRPr="005A0D08">
              <w:rPr>
                <w:rFonts w:eastAsia="Helvetica" w:hAnsi="Helvetica" w:cs="Helvetica"/>
                <w:color w:val="000000"/>
                <w:sz w:val="13"/>
                <w:szCs w:val="13"/>
              </w:rPr>
              <w:t>high-quality</w:t>
            </w:r>
            <w:r w:rsidRPr="005A0D08">
              <w:rPr>
                <w:rFonts w:eastAsia="Helvetica" w:hAnsi="Helvetica" w:cs="Helvetica"/>
                <w:color w:val="000000"/>
                <w:sz w:val="13"/>
                <w:szCs w:val="13"/>
              </w:rPr>
              <w:t xml:space="preserve"> liquid assets required to be held.</w:t>
            </w:r>
          </w:p>
        </w:tc>
        <w:tc>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944DA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6DFD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17.592</w:t>
            </w:r>
          </w:p>
        </w:tc>
        <w:tc>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397EE5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69E49E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17.112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8610C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18.088</w:t>
            </w:r>
          </w:p>
        </w:tc>
        <w:tc>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F3DED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bl>
    <w:p w14:paraId="03DD7706" w14:textId="77777777" w:rsidR="00643442" w:rsidRDefault="00643442" w:rsidP="00717C6A">
      <w:pPr>
        <w:pStyle w:val="Heading1"/>
      </w:pPr>
      <w:bookmarkStart w:id="7" w:name="results"/>
      <w:bookmarkEnd w:id="6"/>
    </w:p>
    <w:p w14:paraId="622BC1C6" w14:textId="77777777" w:rsidR="00643442" w:rsidRDefault="00643442" w:rsidP="00717C6A">
      <w:pPr>
        <w:pStyle w:val="Heading1"/>
        <w:sectPr w:rsidR="00643442" w:rsidSect="00643442">
          <w:footnotePr>
            <w:numFmt w:val="chicago"/>
            <w:numRestart w:val="eachSect"/>
          </w:footnotePr>
          <w:pgSz w:w="16840" w:h="11907" w:orient="landscape" w:code="9"/>
          <w:pgMar w:top="1418" w:right="1418" w:bottom="1418" w:left="1418" w:header="720" w:footer="720" w:gutter="0"/>
          <w:cols w:space="720"/>
          <w:docGrid w:linePitch="326"/>
        </w:sectPr>
      </w:pPr>
    </w:p>
    <w:p w14:paraId="47C06187" w14:textId="52578D88" w:rsidR="00370EF6" w:rsidRDefault="00D00CD1" w:rsidP="00717C6A">
      <w:pPr>
        <w:pStyle w:val="Heading1"/>
      </w:pPr>
      <w:r>
        <w:lastRenderedPageBreak/>
        <w:t>5</w:t>
      </w:r>
      <w:r>
        <w:tab/>
        <w:t>Results</w:t>
      </w:r>
    </w:p>
    <w:p w14:paraId="3A6A569A" w14:textId="030C76A3" w:rsidR="00370EF6" w:rsidRDefault="00D00CD1">
      <w:pPr>
        <w:pStyle w:val="Heading2"/>
      </w:pPr>
      <w:bookmarkStart w:id="8" w:name="main-results"/>
      <w:r>
        <w:t>5.1</w:t>
      </w:r>
      <w:r>
        <w:tab/>
      </w:r>
      <w:r w:rsidR="00ED1421">
        <w:t xml:space="preserve">Panel estimation </w:t>
      </w:r>
      <w:r>
        <w:t>results</w:t>
      </w:r>
    </w:p>
    <w:p w14:paraId="1C8934A1" w14:textId="3CDA48A3" w:rsidR="00370EF6" w:rsidRDefault="00D00CD1">
      <w:r>
        <w:t>Tables 5.1 and 5.2 report the main results</w:t>
      </w:r>
      <w:r w:rsidR="008165B5">
        <w:t xml:space="preserve"> from panel estimation</w:t>
      </w:r>
      <w:r>
        <w:t>, increasingly add</w:t>
      </w:r>
      <w:r w:rsidR="002D4E9D">
        <w:t>ing</w:t>
      </w:r>
      <w:r>
        <w:t xml:space="preserve">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w:t>
      </w:r>
      <w:r w:rsidR="00481C45">
        <w:t>W</w:t>
      </w:r>
      <w:r>
        <w:t>e estimate the regressions with month</w:t>
      </w:r>
      <w:r w:rsidR="00ED3798">
        <w:t>ly time dummies</w:t>
      </w:r>
      <w:r>
        <w:t xml:space="preserve"> and bank </w:t>
      </w:r>
      <w:r w:rsidR="00ED3798">
        <w:t>fixed</w:t>
      </w:r>
      <w:r w:rsidR="008165B5">
        <w:t>-</w:t>
      </w:r>
      <w:proofErr w:type="gramStart"/>
      <w:r>
        <w:t xml:space="preserve">effects </w:t>
      </w:r>
      <w:r w:rsidR="00ED3798">
        <w:t>,</w:t>
      </w:r>
      <w:proofErr w:type="gramEnd"/>
      <w:r w:rsidR="00ED3798">
        <w:t xml:space="preserve"> with standard errors clustered at bank level</w:t>
      </w:r>
      <w:r>
        <w:t xml:space="preserve">. </w:t>
      </w:r>
      <w:r w:rsidR="00B71E07">
        <w:t>W</w:t>
      </w:r>
      <w:r w:rsidR="00DD4949">
        <w:t>e</w:t>
      </w:r>
      <w:r w:rsidR="00B71E07">
        <w:t xml:space="preserve"> also </w:t>
      </w:r>
      <w:r w:rsidR="002A003D">
        <w:t>report R</w:t>
      </w:r>
      <w:r w:rsidR="00FC0196" w:rsidRPr="00405CFD">
        <w:rPr>
          <w:vertAlign w:val="superscript"/>
        </w:rPr>
        <w:t>2</w:t>
      </w:r>
      <w:r w:rsidR="00FC0196">
        <w:t xml:space="preserve"> </w:t>
      </w:r>
      <w:r w:rsidR="00DD4949">
        <w:t xml:space="preserve">and </w:t>
      </w:r>
      <w:r w:rsidR="00FC0196">
        <w:t>a p-value for</w:t>
      </w:r>
      <w:r>
        <w:t xml:space="preserve"> joint significance (test for equality).</w:t>
      </w:r>
    </w:p>
    <w:p w14:paraId="1CA3E21F" w14:textId="28C4E5B4" w:rsidR="00050621" w:rsidRDefault="00D00CD1">
      <w:pPr>
        <w:pStyle w:val="BodyText"/>
      </w:pPr>
      <w:r>
        <w:t>The</w:t>
      </w:r>
      <w:r w:rsidR="00406140">
        <w:t xml:space="preserve"> results </w:t>
      </w:r>
      <w:r w:rsidR="00FE5046">
        <w:t xml:space="preserve">reveal </w:t>
      </w:r>
      <w:r w:rsidR="00E668E6">
        <w:t>only limited</w:t>
      </w:r>
      <w:r w:rsidR="00FE5046">
        <w:t xml:space="preserve"> evidence of any reduction in the supply of credit by the largest four South African banks as a result of higher capital requirements introduced with the implementation of Basel </w:t>
      </w:r>
      <w:proofErr w:type="spellStart"/>
      <w:r w:rsidR="00FE5046">
        <w:t>III</w:t>
      </w:r>
      <w:proofErr w:type="gramStart"/>
      <w:r w:rsidR="00FE5046">
        <w:t>,.Estimates</w:t>
      </w:r>
      <w:proofErr w:type="spellEnd"/>
      <w:proofErr w:type="gramEnd"/>
      <w:r w:rsidR="00FE5046">
        <w:t xml:space="preserve"> for</w:t>
      </w:r>
      <w:r>
        <w:t xml:space="preserve"> household</w:t>
      </w:r>
      <w:r w:rsidR="00FE5046">
        <w:t xml:space="preserve"> lending</w:t>
      </w:r>
      <w:r>
        <w:t xml:space="preserve"> </w:t>
      </w:r>
      <w:r w:rsidR="0055084B">
        <w:t>reveal no evidence of an impact of capital requirements on the volume of credit.</w:t>
      </w:r>
      <w:r w:rsidR="006C2305">
        <w:t xml:space="preserve">. While we obtain </w:t>
      </w:r>
      <w:r w:rsidR="00653FCC">
        <w:t xml:space="preserve">significant coefficients for household </w:t>
      </w:r>
      <w:r w:rsidR="00406140">
        <w:t>mortgage credit indicat</w:t>
      </w:r>
      <w:r w:rsidR="00653FCC">
        <w:t>ing</w:t>
      </w:r>
      <w:r>
        <w:t xml:space="preserve"> a contemporaneous effect from changes in capital requirements, </w:t>
      </w:r>
      <w:r w:rsidR="00653FCC">
        <w:t xml:space="preserve">this estimate is </w:t>
      </w:r>
      <w:r w:rsidR="001F7252">
        <w:t xml:space="preserve">wrongly signed in relation to </w:t>
      </w:r>
      <w:r w:rsidR="00461329">
        <w:t>the</w:t>
      </w:r>
      <w:r w:rsidR="001F7252">
        <w:t xml:space="preserve"> prior</w:t>
      </w:r>
      <w:r w:rsidR="0055084B">
        <w:t xml:space="preserve"> that </w:t>
      </w:r>
      <w:r w:rsidR="00CC130A">
        <w:t xml:space="preserve">higher capital requirements will reduce credit supply. </w:t>
      </w:r>
      <w:r w:rsidR="00935283">
        <w:t xml:space="preserve">We obtain a significant </w:t>
      </w:r>
      <w:r w:rsidR="00F27029">
        <w:t xml:space="preserve">but economically small </w:t>
      </w:r>
      <w:r w:rsidR="00935283">
        <w:t xml:space="preserve">negative coefficients </w:t>
      </w:r>
      <w:r w:rsidR="00050621">
        <w:t>for the impact of higher minimum capital requirements on the growth of</w:t>
      </w:r>
      <w:r w:rsidR="00935283">
        <w:t xml:space="preserve"> secured credit </w:t>
      </w:r>
      <w:r w:rsidR="00050621">
        <w:t xml:space="preserve">to </w:t>
      </w:r>
      <w:r w:rsidR="00935283">
        <w:t>non-financial corp</w:t>
      </w:r>
      <w:r w:rsidR="00050621">
        <w:t>orations</w:t>
      </w:r>
      <w:r w:rsidR="00461329">
        <w:t>, when controlling for demand using bank loan mar</w:t>
      </w:r>
      <w:r w:rsidR="00FC2C5E">
        <w:t>gins</w:t>
      </w:r>
      <w:r w:rsidR="00D1215F">
        <w:t xml:space="preserve">. A 1% </w:t>
      </w:r>
      <w:r w:rsidR="00BE5892">
        <w:t xml:space="preserve">increase in capital requirement results in a contemporaneous reduction </w:t>
      </w:r>
      <w:proofErr w:type="gramStart"/>
      <w:r w:rsidR="00BE5892">
        <w:t>in  in</w:t>
      </w:r>
      <w:proofErr w:type="gramEnd"/>
      <w:r w:rsidR="00BE5892">
        <w:t xml:space="preserve"> the same month of </w:t>
      </w:r>
      <w:r w:rsidR="00050621">
        <w:t xml:space="preserve"> </w:t>
      </w:r>
      <w:r w:rsidR="00F86406">
        <w:t>bank lending of between 0.63</w:t>
      </w:r>
      <w:r w:rsidR="003A1212">
        <w:t xml:space="preserve">% (with no bank controls) </w:t>
      </w:r>
      <w:r w:rsidR="00F86406">
        <w:t>and 0.89</w:t>
      </w:r>
      <w:r w:rsidR="003A1212">
        <w:t>%</w:t>
      </w:r>
      <w:r w:rsidR="00293FE0">
        <w:t xml:space="preserve"> (with bank leve</w:t>
      </w:r>
      <w:r w:rsidR="007B1521">
        <w:t>l</w:t>
      </w:r>
      <w:r w:rsidR="00293FE0">
        <w:t xml:space="preserve"> controls).</w:t>
      </w:r>
      <w:r w:rsidR="0072238E">
        <w:t xml:space="preserve"> There is also some evidence, of borderline </w:t>
      </w:r>
      <w:proofErr w:type="spellStart"/>
      <w:r w:rsidR="0072238E">
        <w:t>staitsitical</w:t>
      </w:r>
      <w:proofErr w:type="spellEnd"/>
      <w:r w:rsidR="0072238E">
        <w:t xml:space="preserve"> significance, of a </w:t>
      </w:r>
      <w:proofErr w:type="spellStart"/>
      <w:r w:rsidR="0072238E">
        <w:t>reuction</w:t>
      </w:r>
      <w:proofErr w:type="spellEnd"/>
      <w:r w:rsidR="0072238E">
        <w:t xml:space="preserve"> </w:t>
      </w:r>
      <w:r w:rsidR="0029730F">
        <w:t xml:space="preserve">of about the same magnitude in corporate </w:t>
      </w:r>
      <w:proofErr w:type="spellStart"/>
      <w:r w:rsidR="0029730F">
        <w:t>mortange</w:t>
      </w:r>
      <w:proofErr w:type="spellEnd"/>
      <w:r w:rsidR="0029730F">
        <w:t xml:space="preserve"> lending</w:t>
      </w:r>
      <w:r w:rsidR="00E668E6">
        <w:t xml:space="preserve">. These impacts are </w:t>
      </w:r>
      <w:proofErr w:type="gramStart"/>
      <w:r w:rsidR="00E668E6">
        <w:t>small ,</w:t>
      </w:r>
      <w:proofErr w:type="gramEnd"/>
      <w:r w:rsidR="00E668E6">
        <w:t xml:space="preserve"> more in line with those reported by </w:t>
      </w:r>
      <w:r w:rsidR="009F7464">
        <w:t xml:space="preserve">De </w:t>
      </w:r>
      <w:proofErr w:type="spellStart"/>
      <w:r w:rsidR="009F7464">
        <w:t>Jonghe</w:t>
      </w:r>
      <w:proofErr w:type="spellEnd"/>
      <w:r w:rsidR="009F7464">
        <w:t xml:space="preserve"> </w:t>
      </w:r>
      <w:r w:rsidR="001E011E">
        <w:t>et al. (2020) for Belgium than in other studies.</w:t>
      </w:r>
    </w:p>
    <w:p w14:paraId="6F4721C9" w14:textId="63CFB4FE" w:rsidR="00370EF6" w:rsidRDefault="00370EF6">
      <w:pPr>
        <w:pStyle w:val="BodyText"/>
      </w:pPr>
    </w:p>
    <w:p w14:paraId="16E81675" w14:textId="47120975" w:rsidR="00370EF6" w:rsidRDefault="00370EF6">
      <w:pPr>
        <w:pStyle w:val="BodyText"/>
      </w:pPr>
    </w:p>
    <w:p w14:paraId="59482787" w14:textId="77777777" w:rsidR="00AE6F56" w:rsidRDefault="00AE6F56">
      <w:pPr>
        <w:pStyle w:val="TableCaption"/>
        <w:sectPr w:rsidR="00AE6F56" w:rsidSect="00643442">
          <w:footnotePr>
            <w:numFmt w:val="chicago"/>
            <w:numRestart w:val="eachSect"/>
          </w:footnotePr>
          <w:pgSz w:w="11907" w:h="16840" w:code="9"/>
          <w:pgMar w:top="1418" w:right="1418" w:bottom="1418" w:left="1418" w:header="720" w:footer="720" w:gutter="0"/>
          <w:cols w:space="720"/>
          <w:docGrid w:linePitch="326"/>
        </w:sectPr>
      </w:pPr>
    </w:p>
    <w:p w14:paraId="60B2327C" w14:textId="6B3907E0" w:rsidR="00370EF6" w:rsidRDefault="00D00CD1">
      <w:pPr>
        <w:pStyle w:val="TableCaption"/>
      </w:pPr>
      <w:r>
        <w:lastRenderedPageBreak/>
        <w:t>Table 5.1: Household results</w:t>
      </w:r>
    </w:p>
    <w:tbl>
      <w:tblPr>
        <w:tblW w:w="5000" w:type="pct"/>
        <w:tblLook w:val="0420" w:firstRow="1" w:lastRow="0" w:firstColumn="0" w:lastColumn="0" w:noHBand="0" w:noVBand="1"/>
      </w:tblPr>
      <w:tblGrid>
        <w:gridCol w:w="1732"/>
        <w:gridCol w:w="1467"/>
        <w:gridCol w:w="1468"/>
        <w:gridCol w:w="1468"/>
        <w:gridCol w:w="1468"/>
        <w:gridCol w:w="1468"/>
      </w:tblGrid>
      <w:tr w:rsidR="00370EF6" w:rsidRPr="005A0D08" w14:paraId="26D9976E" w14:textId="77777777" w:rsidTr="00C8280D">
        <w:trPr>
          <w:trHeight w:val="20"/>
          <w:tblHeader/>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47B0C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C5604E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06213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3580B7"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97D3BC"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A29275"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74941FB7" w14:textId="77777777" w:rsidTr="00C8280D">
        <w:trPr>
          <w:trHeight w:val="2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3136F"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95D2CD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8E11B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49881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F7D86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363B7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FA3177" w:rsidRPr="005A0D08" w14:paraId="07A9F682"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A75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E8C99" w14:textId="1A01BB34"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-0.1185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4C67D" w14:textId="4F776A5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-0.1941</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F7B74" w14:textId="333885FF"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-0.3583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D5F" w14:textId="1A79460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0.3135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DD5A5" w14:textId="39814653"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0.0831</w:t>
            </w:r>
          </w:p>
        </w:tc>
      </w:tr>
      <w:tr w:rsidR="00FA3177" w:rsidRPr="005A0D08" w14:paraId="17D3830C"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8B5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8E964" w14:textId="2F73C3A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(0.1152)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E782C" w14:textId="0726C8C6"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(0.2621)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4F778" w14:textId="75F1103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(0.2719)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7502" w14:textId="3C09233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(0.3298)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B355" w14:textId="4597F4A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(0.3021)</w:t>
            </w:r>
          </w:p>
        </w:tc>
      </w:tr>
      <w:tr w:rsidR="00FA3177" w:rsidRPr="005A0D08" w14:paraId="0E2B6CE1"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1B8F"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8F945"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F8803" w14:textId="7190988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-0.0815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19A8E" w14:textId="53397825"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-0.0355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0DA9" w14:textId="5EC30752"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B83A" w14:textId="7AFCB37F"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0.0281</w:t>
            </w:r>
          </w:p>
        </w:tc>
      </w:tr>
      <w:tr w:rsidR="00FA3177" w:rsidRPr="005A0D08" w14:paraId="2BAA084B"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CA51E"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73E4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DD1F" w14:textId="4B7EFFC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BB1FF" w14:textId="62266940"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(0.1773)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86544" w14:textId="76A0A9CB"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(0.1248)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1D58B" w14:textId="0C9EC005"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(0.1390)</w:t>
            </w:r>
          </w:p>
        </w:tc>
      </w:tr>
      <w:tr w:rsidR="00FA3177" w:rsidRPr="005A0D08" w14:paraId="4E4FF2FC"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F412"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33A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7453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75939" w14:textId="4139294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BE6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3F020" w14:textId="48F0673F"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0.0031</w:t>
            </w:r>
          </w:p>
        </w:tc>
      </w:tr>
      <w:tr w:rsidR="00FA3177" w:rsidRPr="005A0D08" w14:paraId="40A0441C"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94F2"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FB3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CEE3"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CD1A" w14:textId="49B5C469"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5B34"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E9E00" w14:textId="5D3CD8E5"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(0.0052)</w:t>
            </w:r>
          </w:p>
        </w:tc>
      </w:tr>
      <w:tr w:rsidR="00FA3177" w:rsidRPr="005A0D08" w14:paraId="2BC643D0"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1C56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EFB73"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14E5C"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E242"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FD8B6" w14:textId="0259A07D"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0.2672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D0C" w14:textId="436E7FFA"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0.1810</w:t>
            </w:r>
          </w:p>
        </w:tc>
      </w:tr>
      <w:tr w:rsidR="00FA3177" w:rsidRPr="005A0D08" w14:paraId="5D7A748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43CD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838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600DA"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7C1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56B55" w14:textId="013065E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(1.3378)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6D07" w14:textId="38C11AD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(1.3242)</w:t>
            </w:r>
          </w:p>
        </w:tc>
      </w:tr>
      <w:tr w:rsidR="00FA3177" w:rsidRPr="005A0D08" w14:paraId="316AEC9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D70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9F0A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DB1E"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BF34"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F54C" w14:textId="63307DFB"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2426B" w14:textId="565DE87D"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-0.0816</w:t>
            </w:r>
          </w:p>
        </w:tc>
      </w:tr>
      <w:tr w:rsidR="00FA3177" w:rsidRPr="005A0D08" w14:paraId="126F5D47"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3685F"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E69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6263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4F361"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9C38E" w14:textId="6BACE93C"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(0.1107)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E70A" w14:textId="637C9D3A"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(0.1170)</w:t>
            </w:r>
          </w:p>
        </w:tc>
      </w:tr>
      <w:tr w:rsidR="00FA3177" w:rsidRPr="005A0D08" w14:paraId="576C886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A1CF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4E6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BA0DC"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6FC1A"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45AB" w14:textId="3EA8B2C8"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76AE5" w14:textId="68DF6E08"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-0.0076</w:t>
            </w:r>
          </w:p>
        </w:tc>
      </w:tr>
      <w:tr w:rsidR="00FA3177" w:rsidRPr="005A0D08" w14:paraId="53919B4F"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B93CD1"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5F229F"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C021FA"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E44318"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EED04D" w14:textId="5E8D1EC4"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(0.0068)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B9F8FC" w14:textId="66E23AB0"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(0.0085)</w:t>
            </w:r>
          </w:p>
        </w:tc>
      </w:tr>
      <w:tr w:rsidR="00370EF6" w:rsidRPr="005A0D08" w14:paraId="1D54F42E"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15A5"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1CA7"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17F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751D"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CA24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AD909"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9E5DD5" w:rsidRPr="005A0D08" w14:paraId="0B20CE2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4E3E" w14:textId="77777777"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8FF2" w14:textId="0FF26AF3"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EE35" w14:textId="61FDAD2A"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36968" w14:textId="5BE909A2"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81D0" w14:textId="162382D7"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3E9E5" w14:textId="6B5F36AA"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0.31</w:t>
            </w:r>
          </w:p>
        </w:tc>
      </w:tr>
      <w:tr w:rsidR="001F5960" w:rsidRPr="005A0D08" w14:paraId="5B4BD2FC"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1B7D1" w14:textId="77777777"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4573E3" w14:textId="3EC0F951"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7BB6B0" w14:textId="0C295F16"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91C5502" w14:textId="2A318D7C"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F5E3C1" w14:textId="4A0D9441"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F152A" w14:textId="05FD6306"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0.95</w:t>
            </w:r>
          </w:p>
        </w:tc>
      </w:tr>
      <w:tr w:rsidR="00370EF6" w:rsidRPr="005A0D08" w14:paraId="2397BD20" w14:textId="77777777" w:rsidTr="00C8280D">
        <w:trPr>
          <w:trHeight w:val="2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6E9E883"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89B0B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4C84F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95CB9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AFAA2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1EAB2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7E6804" w:rsidRPr="005A0D08" w14:paraId="2983D1B5"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F279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2007" w14:textId="64CC95C0"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0.3774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560D" w14:textId="1799C5E9"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0.1734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522B1" w14:textId="014A4959"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-0.1726*</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09E57" w14:textId="19EC9CAC"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0.6432**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58BB" w14:textId="254334F3"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0.1395</w:t>
            </w:r>
          </w:p>
        </w:tc>
      </w:tr>
      <w:tr w:rsidR="007E6804" w:rsidRPr="005A0D08" w14:paraId="4A6143E0"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C31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8A431" w14:textId="1E5311AD"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C20B" w14:textId="73D9EF4D"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(0.2029)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3FC75" w14:textId="0ABE502E"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(0.0963)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8F3E4" w14:textId="42169F7F"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(0.2994)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12E12" w14:textId="78F19A1C"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(0.2593)</w:t>
            </w:r>
          </w:p>
        </w:tc>
      </w:tr>
      <w:tr w:rsidR="007E6804" w:rsidRPr="005A0D08" w14:paraId="0E2010D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D25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8DDA"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8938D" w14:textId="67B20F3E"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-0.2201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15A46" w14:textId="34FFAD1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0DEF0" w14:textId="4FA036F4"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-0.1551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556CE" w14:textId="5069022F"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-0.0490</w:t>
            </w:r>
          </w:p>
        </w:tc>
      </w:tr>
      <w:tr w:rsidR="007E6804" w:rsidRPr="005A0D08" w14:paraId="4E8CC57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4F62"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C4F8C"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8BE6" w14:textId="6785B33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(0.1783)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7A874" w14:textId="0F3945A3"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694C" w14:textId="23312CF9"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5110" w14:textId="30970D1F"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(0.1597)</w:t>
            </w:r>
          </w:p>
        </w:tc>
      </w:tr>
      <w:tr w:rsidR="007E6804" w:rsidRPr="005A0D08" w14:paraId="54895586"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FC98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350CF"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C5FB"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EB2C" w14:textId="2DDF2EBC"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F1A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F07C2" w14:textId="6610BF4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-0.0041</w:t>
            </w:r>
          </w:p>
        </w:tc>
      </w:tr>
      <w:tr w:rsidR="007E6804" w:rsidRPr="005A0D08" w14:paraId="19EE319B"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2CA6D"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7BC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8CBC"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4E368" w14:textId="2B8716F5"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50830"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7F992" w14:textId="78887AC2"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(0.0033)</w:t>
            </w:r>
          </w:p>
        </w:tc>
      </w:tr>
      <w:tr w:rsidR="007E6804" w:rsidRPr="005A0D08" w14:paraId="33291318"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1B96F"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3C506"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27A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045E0"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58727" w14:textId="26DA68CD"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0.9497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EC8C5" w14:textId="23F351EC"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0.6684</w:t>
            </w:r>
          </w:p>
        </w:tc>
      </w:tr>
      <w:tr w:rsidR="007E6804" w:rsidRPr="005A0D08" w14:paraId="4A39013F"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5E5A"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8C5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EA27"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DC05F"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9CD0F" w14:textId="489A8F3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(1.1502)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C9C68" w14:textId="6C7531EE"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(1.2171)</w:t>
            </w:r>
          </w:p>
        </w:tc>
      </w:tr>
      <w:tr w:rsidR="00C8280D" w:rsidRPr="005A0D08" w14:paraId="73BCD9A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A1F6"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F1D34"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02EA2"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9AF0D"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D7A64" w14:textId="67096873"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CFAC3" w14:textId="6EF900AE"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-0.0709</w:t>
            </w:r>
          </w:p>
        </w:tc>
      </w:tr>
      <w:tr w:rsidR="00DC396D" w:rsidRPr="005A0D08" w14:paraId="066698E5"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2BE5"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C1A3"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750F"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C166"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3570C" w14:textId="619C0B8B"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3DE7" w14:textId="3A73C8E9"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(0.1011)</w:t>
            </w:r>
          </w:p>
        </w:tc>
      </w:tr>
      <w:tr w:rsidR="00DC396D" w:rsidRPr="005A0D08" w14:paraId="35894E65"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31BB"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490AD"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0A19"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4557"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F6D" w14:textId="06EF5E53"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8AF9" w14:textId="28025B2A"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-0.0012</w:t>
            </w:r>
          </w:p>
        </w:tc>
      </w:tr>
      <w:tr w:rsidR="00DC396D" w:rsidRPr="005A0D08" w14:paraId="2B16A4DC"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F914DA8"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5D257C"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73DED6"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389AF3"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9D22A3" w14:textId="7D7018E5"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469032" w14:textId="507803B3"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(0.0074)</w:t>
            </w:r>
          </w:p>
        </w:tc>
      </w:tr>
      <w:tr w:rsidR="00370EF6" w:rsidRPr="005A0D08" w14:paraId="3991E5CB"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F457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D34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D231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88904"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3FDB"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7B9DC"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4C3832" w:rsidRPr="005A0D08" w14:paraId="3C9571FA"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9716B" w14:textId="77777777"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D317" w14:textId="2732C345"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DC32" w14:textId="6179EE5A"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1E89" w14:textId="1DB9ED0E"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A6CB4" w14:textId="00C7FD51"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DD7A" w14:textId="134DCDFE"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w:t>
            </w:r>
          </w:p>
        </w:tc>
      </w:tr>
      <w:tr w:rsidR="00CA5730" w:rsidRPr="005A0D08" w14:paraId="425616C6"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4269CC" w14:textId="77777777"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E1991E" w14:textId="2AE43A48"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BBBDDDB" w14:textId="109C9332"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3AD8BF" w14:textId="61C79561"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9A0E73" w14:textId="40BA92E0"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291D4F" w14:textId="50A17B6F"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0.33</w:t>
            </w:r>
          </w:p>
        </w:tc>
      </w:tr>
      <w:tr w:rsidR="00370EF6" w:rsidRPr="005A0D08" w14:paraId="3FFBE6ED" w14:textId="77777777" w:rsidTr="00C8280D">
        <w:trPr>
          <w:trHeight w:val="2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B470CF"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58AEF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CCD4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C9C530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29B71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0CF4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6F5454" w:rsidRPr="005A0D08" w14:paraId="73009DD1"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E4BE"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23446" w14:textId="5E0925EB"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0.2652***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C46CE" w14:textId="200084FC"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0.2818**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43E5" w14:textId="4EFA7E8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0.2933**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9A29" w14:textId="7AD3F539"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0.1843**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D504" w14:textId="30738E29"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0.1981**</w:t>
            </w:r>
          </w:p>
        </w:tc>
      </w:tr>
      <w:tr w:rsidR="006F5454" w:rsidRPr="005A0D08" w14:paraId="5BD413F0"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350EF"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E452" w14:textId="5C217783"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81599" w14:textId="0AF2B469"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(0.1110)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17982" w14:textId="1BFFCF2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(0.1156)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2B6C" w14:textId="3FB9D432"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(0.0860)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94BF" w14:textId="570E4646"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(0.0853)</w:t>
            </w:r>
          </w:p>
        </w:tc>
      </w:tr>
      <w:tr w:rsidR="006F5454" w:rsidRPr="005A0D08" w14:paraId="46C5772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DD2FF"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487A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51E2A" w14:textId="59AAC98A"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0.0180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2D479" w14:textId="0802925F"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0E09" w14:textId="65B5F4D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D2E49" w14:textId="107DD982"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0.0216</w:t>
            </w:r>
          </w:p>
        </w:tc>
      </w:tr>
      <w:tr w:rsidR="006F5454" w:rsidRPr="005A0D08" w14:paraId="74380368"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88B0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9608E"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1476" w14:textId="470E1310"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A36D" w14:textId="01FE278E"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(0.0209)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34AF" w14:textId="0E4024CB"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FE3B" w14:textId="4DD027AF"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(0.0185)</w:t>
            </w:r>
          </w:p>
        </w:tc>
      </w:tr>
      <w:tr w:rsidR="006F5454" w:rsidRPr="005A0D08" w14:paraId="027949E8"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7B527"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D6320"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80D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AA29F" w14:textId="458F4E4C"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D9FA8"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B292" w14:textId="25BB9EC4"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-0.0009</w:t>
            </w:r>
          </w:p>
        </w:tc>
      </w:tr>
      <w:tr w:rsidR="006F5454" w:rsidRPr="005A0D08" w14:paraId="7CA1F087"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0BF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8F5E5"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E49FF"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99EEA" w14:textId="29C680EC"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6AB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19E4" w14:textId="3F4CAEA8"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(0.0009)</w:t>
            </w:r>
          </w:p>
        </w:tc>
      </w:tr>
      <w:tr w:rsidR="006F5454" w:rsidRPr="005A0D08" w14:paraId="2B83C93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6DC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1DD3C"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349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A7C7C"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68AC6" w14:textId="7BD54376"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0.4418*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A3B9" w14:textId="3F89FD4E"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0.4625*</w:t>
            </w:r>
          </w:p>
        </w:tc>
      </w:tr>
      <w:tr w:rsidR="006F5454" w:rsidRPr="005A0D08" w14:paraId="5CAEB4F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B6173"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F8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61BC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3952D"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C5EE" w14:textId="2BC7617E"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(0.2669)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E220" w14:textId="1AF3F58B"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(0.2478)</w:t>
            </w:r>
          </w:p>
        </w:tc>
      </w:tr>
      <w:tr w:rsidR="006F5454" w:rsidRPr="005A0D08" w14:paraId="1F4909EF"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19C0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D39C"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148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B83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40345" w14:textId="1C1F9603"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-0.0377**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E553E" w14:textId="02CAB3A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-0.0395**</w:t>
            </w:r>
          </w:p>
        </w:tc>
      </w:tr>
      <w:tr w:rsidR="006F5454" w:rsidRPr="005A0D08" w14:paraId="69D1857E"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EEA9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A73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11AC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D6C2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A2964" w14:textId="3559E65B"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2E7C0" w14:textId="54E6F3BF"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(0.0190)</w:t>
            </w:r>
          </w:p>
        </w:tc>
      </w:tr>
      <w:tr w:rsidR="006F5454" w:rsidRPr="005A0D08" w14:paraId="3C3B3606"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1D53"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B7DE"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A9AC4"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FFFE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612A" w14:textId="3B21CA3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4367D" w14:textId="1A56918B"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0.0024</w:t>
            </w:r>
          </w:p>
        </w:tc>
      </w:tr>
      <w:tr w:rsidR="006F5454" w:rsidRPr="005A0D08" w14:paraId="48E01FCF"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944B23"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135814"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26D35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87069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1512CB" w14:textId="061A4FE0"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17ECF37" w14:textId="3A76F7B4"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(0.0022)</w:t>
            </w:r>
          </w:p>
        </w:tc>
      </w:tr>
      <w:tr w:rsidR="00370EF6" w:rsidRPr="005A0D08" w14:paraId="494764C5"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363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8E884"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CED5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FC56"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6D1F"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81E1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A2C77" w:rsidRPr="005A0D08" w14:paraId="5A99AC9A"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C28A" w14:textId="77777777"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1455" w14:textId="01097821"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5BF72" w14:textId="63524541"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4598" w14:textId="6637C274"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8F24" w14:textId="042BBA68"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03764" w14:textId="1C9AC83A"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0.61</w:t>
            </w:r>
          </w:p>
        </w:tc>
      </w:tr>
      <w:tr w:rsidR="003A2C77" w:rsidRPr="005A0D08" w14:paraId="22B8F876"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7F6F67" w14:textId="77777777"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E1ABFE" w14:textId="7900257E"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790067D" w14:textId="15AB5D78"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55D3BC" w14:textId="6A2D8076"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0.04</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A8A378" w14:textId="6EA60DB9"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941A12" w14:textId="736970C2"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0.04</w:t>
            </w:r>
          </w:p>
        </w:tc>
      </w:tr>
      <w:tr w:rsidR="00370EF6" w:rsidRPr="005A0D08" w14:paraId="548636AC" w14:textId="77777777" w:rsidTr="00AE6F56">
        <w:trPr>
          <w:trHeight w:val="2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D208B21" w14:textId="7FD32D64"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Note: Household results. The dep</w:t>
            </w:r>
            <w:r w:rsidR="00087643">
              <w:rPr>
                <w:rFonts w:eastAsia="Helvetica" w:hAnsi="Helvetica" w:cs="Helvetica"/>
                <w:color w:val="000000"/>
                <w:sz w:val="18"/>
                <w:szCs w:val="18"/>
              </w:rPr>
              <w:t>e</w:t>
            </w:r>
            <w:r w:rsidRPr="005A0D08">
              <w:rPr>
                <w:rFonts w:eastAsia="Helvetica" w:hAnsi="Helvetica" w:cs="Helvetica"/>
                <w:color w:val="000000"/>
                <w:sz w:val="18"/>
                <w:szCs w:val="18"/>
              </w:rPr>
              <w:t xml:space="preserve">ndant variables </w:t>
            </w:r>
            <w:proofErr w:type="gramStart"/>
            <w:r w:rsidRPr="005A0D08">
              <w:rPr>
                <w:rFonts w:eastAsia="Helvetica" w:hAnsi="Helvetica" w:cs="Helvetica"/>
                <w:color w:val="000000"/>
                <w:sz w:val="18"/>
                <w:szCs w:val="18"/>
              </w:rPr>
              <w:t>i</w:t>
            </w:r>
            <w:r w:rsidR="00D7344F">
              <w:rPr>
                <w:rFonts w:eastAsia="Helvetica" w:hAnsi="Helvetica" w:cs="Helvetica"/>
                <w:color w:val="000000"/>
                <w:sz w:val="18"/>
                <w:szCs w:val="18"/>
              </w:rPr>
              <w:t>s</w:t>
            </w:r>
            <w:proofErr w:type="gramEnd"/>
            <w:r w:rsidRPr="005A0D08">
              <w:rPr>
                <w:rFonts w:eastAsia="Helvetica" w:hAnsi="Helvetica" w:cs="Helvetica"/>
                <w:color w:val="000000"/>
                <w:sz w:val="18"/>
                <w:szCs w:val="18"/>
              </w:rPr>
              <w:t xml:space="preserve"> loan growth at bank level at a monthly frequency, calculated as the log difference at t and t -1. All control variables are defined in Table 2. Standard errors are clustered at a bank level. All equations include bank</w:t>
            </w:r>
            <w:r w:rsidR="008925D9">
              <w:rPr>
                <w:rFonts w:eastAsia="Helvetica" w:hAnsi="Helvetica" w:cs="Helvetica"/>
                <w:color w:val="000000"/>
                <w:sz w:val="18"/>
                <w:szCs w:val="18"/>
              </w:rPr>
              <w:t xml:space="preserve"> </w:t>
            </w:r>
            <w:r w:rsidR="002578D7">
              <w:rPr>
                <w:rFonts w:eastAsia="Helvetica" w:hAnsi="Helvetica" w:cs="Helvetica"/>
                <w:color w:val="000000"/>
                <w:sz w:val="18"/>
                <w:szCs w:val="18"/>
              </w:rPr>
              <w:t>fixed effects</w:t>
            </w:r>
            <w:r w:rsidRPr="005A0D08">
              <w:rPr>
                <w:rFonts w:eastAsia="Helvetica" w:hAnsi="Helvetica" w:cs="Helvetica"/>
                <w:color w:val="000000"/>
                <w:sz w:val="18"/>
                <w:szCs w:val="18"/>
              </w:rPr>
              <w:t xml:space="preserve"> and monthly </w:t>
            </w:r>
            <w:r w:rsidR="002578D7">
              <w:rPr>
                <w:rFonts w:eastAsia="Helvetica" w:hAnsi="Helvetica" w:cs="Helvetica"/>
                <w:color w:val="000000"/>
                <w:sz w:val="18"/>
                <w:szCs w:val="18"/>
              </w:rPr>
              <w:t>time dummies</w:t>
            </w:r>
            <w:r w:rsidRPr="005A0D08">
              <w:rPr>
                <w:rFonts w:eastAsia="Helvetica" w:hAnsi="Helvetica" w:cs="Helvetica"/>
                <w:color w:val="000000"/>
                <w:sz w:val="18"/>
                <w:szCs w:val="18"/>
              </w:rPr>
              <w:t xml:space="preserve">. A test for equality p-value of &lt; 0.1 is significant. </w:t>
            </w:r>
            <m:oMath>
              <m:r>
                <w:rPr>
                  <w:rFonts w:ascii="Cambria Math" w:hAnsi="Cambria Math"/>
                  <w:sz w:val="18"/>
                  <w:szCs w:val="18"/>
                </w:rPr>
                <m:t>***p&lt;0.01,**p&lt;0.05,*p&lt;0.1</m:t>
              </m:r>
            </m:oMath>
          </w:p>
        </w:tc>
      </w:tr>
    </w:tbl>
    <w:p w14:paraId="7FFFA76A" w14:textId="77777777" w:rsidR="00AE6F56" w:rsidRDefault="00AE6F56">
      <w:pPr>
        <w:pStyle w:val="TableCaption"/>
      </w:pPr>
    </w:p>
    <w:p w14:paraId="5ECC7C84" w14:textId="77777777" w:rsidR="005A0D08" w:rsidRDefault="005A0D08">
      <w:pPr>
        <w:widowControl/>
        <w:tabs>
          <w:tab w:val="clear" w:pos="170"/>
        </w:tabs>
        <w:autoSpaceDE/>
        <w:autoSpaceDN/>
        <w:spacing w:after="160" w:line="259" w:lineRule="auto"/>
        <w:jc w:val="left"/>
        <w:rPr>
          <w:szCs w:val="20"/>
        </w:rPr>
      </w:pPr>
      <w:r>
        <w:br w:type="page"/>
      </w:r>
    </w:p>
    <w:p w14:paraId="70B28CBC" w14:textId="26853199" w:rsidR="00370EF6" w:rsidRDefault="00D00CD1">
      <w:pPr>
        <w:pStyle w:val="TableCaption"/>
      </w:pPr>
      <w:r>
        <w:lastRenderedPageBreak/>
        <w:t>Table 5.2: Non-financial corporations results</w:t>
      </w:r>
    </w:p>
    <w:tbl>
      <w:tblPr>
        <w:tblW w:w="5000" w:type="pct"/>
        <w:tblLook w:val="0420" w:firstRow="1" w:lastRow="0" w:firstColumn="0" w:lastColumn="0" w:noHBand="0" w:noVBand="1"/>
      </w:tblPr>
      <w:tblGrid>
        <w:gridCol w:w="1647"/>
        <w:gridCol w:w="1418"/>
        <w:gridCol w:w="1419"/>
        <w:gridCol w:w="1419"/>
        <w:gridCol w:w="1584"/>
        <w:gridCol w:w="1584"/>
      </w:tblGrid>
      <w:tr w:rsidR="00370EF6" w:rsidRPr="005A0D08" w14:paraId="54AB2536" w14:textId="77777777" w:rsidTr="00F24463">
        <w:trPr>
          <w:tblHeader/>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CE0B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9063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9497D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35917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DF58A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5A138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509330F0" w14:textId="77777777" w:rsidTr="00F24463">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BF71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A31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FC9A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BB949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41444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DE4E0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823F93" w:rsidRPr="005A0D08" w14:paraId="36C4BB58"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938EF"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A092E" w14:textId="638163D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-0.2343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F1A2D" w14:textId="75E01B86"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-0.2869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22EA" w14:textId="318CDD84"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-0.6262***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A82" w14:textId="041AD1E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-0.4304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55C5B" w14:textId="13F3EA5B"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-0.8876*</w:t>
            </w:r>
          </w:p>
        </w:tc>
      </w:tr>
      <w:tr w:rsidR="00823F93" w:rsidRPr="005A0D08" w14:paraId="1FC150D8"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3DFDC"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B9F1" w14:textId="0F727190"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CFCD0" w14:textId="347B663F"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7C1E" w14:textId="7D0E5CEB"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(0.2179)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592D1" w14:textId="2B0FA200"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(0.4645)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48F1" w14:textId="11C6B2F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(0.5286)</w:t>
            </w:r>
          </w:p>
        </w:tc>
      </w:tr>
      <w:tr w:rsidR="00823F93" w:rsidRPr="005A0D08" w14:paraId="42F62E2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73BB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E61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A2845" w14:textId="0ECB9255"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-0.0568</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BB14" w14:textId="32B984FF"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0.0602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CA33" w14:textId="122FF45F"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A01DC" w14:textId="54BE89C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0.0884</w:t>
            </w:r>
          </w:p>
        </w:tc>
      </w:tr>
      <w:tr w:rsidR="00823F93" w:rsidRPr="005A0D08" w14:paraId="1B33A063"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C18B"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EBD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FBDD" w14:textId="2CB9342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(0.1047)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5D1" w14:textId="58134663"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(0.0932)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C62C" w14:textId="76802BF6"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(0.1297)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15842" w14:textId="2E23811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(0.1178)</w:t>
            </w:r>
          </w:p>
        </w:tc>
      </w:tr>
      <w:tr w:rsidR="00823F93" w:rsidRPr="005A0D08" w14:paraId="1046668C"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CC996"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4E3D"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76B1"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239CA" w14:textId="231B370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0440"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FED7B" w14:textId="661AD6D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0.0107***</w:t>
            </w:r>
          </w:p>
        </w:tc>
      </w:tr>
      <w:tr w:rsidR="00823F93" w:rsidRPr="005A0D08" w14:paraId="45EBA91E"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BAAF"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C3C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8D0CE"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F34D1" w14:textId="2EAFF082"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28C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BB8C2" w14:textId="2EAA8A3D"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(0.0022)</w:t>
            </w:r>
          </w:p>
        </w:tc>
      </w:tr>
      <w:tr w:rsidR="00823F93" w:rsidRPr="005A0D08" w14:paraId="1AB5D2B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3B80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8572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49FB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088B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049B" w14:textId="5F8605E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0.3983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2968A" w14:textId="339E1EAE"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0.4640</w:t>
            </w:r>
          </w:p>
        </w:tc>
      </w:tr>
      <w:tr w:rsidR="00823F93" w:rsidRPr="005A0D08" w14:paraId="06547A6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1CB96"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C252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96C5"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6ED9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59485" w14:textId="540BBAE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(1.1814)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83EA" w14:textId="610ED509"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(1.0702)</w:t>
            </w:r>
          </w:p>
        </w:tc>
      </w:tr>
      <w:tr w:rsidR="00823F93" w:rsidRPr="005A0D08" w14:paraId="26A29A8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9A04E"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C214"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48E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3161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27AF2" w14:textId="110FAA4A"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-0.0550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578D" w14:textId="2104A19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-0.0556</w:t>
            </w:r>
          </w:p>
        </w:tc>
      </w:tr>
      <w:tr w:rsidR="00823F93" w:rsidRPr="005A0D08" w14:paraId="70A8CBBC"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3930"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CD17"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BF5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FAAEC"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D07AA" w14:textId="49B6F27F"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B5C2" w14:textId="0A81BC2B"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(0.0637)</w:t>
            </w:r>
          </w:p>
        </w:tc>
      </w:tr>
      <w:tr w:rsidR="00823F93" w:rsidRPr="005A0D08" w14:paraId="519EA2D4"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D99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45E15"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188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AF4A3"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0102" w14:textId="2E1C82C8"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B83DF" w14:textId="16D1FF3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-0.0174***</w:t>
            </w:r>
          </w:p>
        </w:tc>
      </w:tr>
      <w:tr w:rsidR="00823F93" w:rsidRPr="005A0D08" w14:paraId="19D9AE16"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D98E49"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E346D3F"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4FE4D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0B464E"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94E046" w14:textId="11396CB4"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(0.0028)</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96CB146" w14:textId="630BE8F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(0.0022)</w:t>
            </w:r>
          </w:p>
        </w:tc>
      </w:tr>
      <w:tr w:rsidR="00370EF6" w:rsidRPr="005A0D08" w14:paraId="3B016EFE"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4BC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A7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638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9635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5F1A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377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E527C3" w:rsidRPr="005A0D08" w14:paraId="06B6969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E356" w14:textId="77777777"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D24A6" w14:textId="5AF43E31"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B5F0" w14:textId="6702B311"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7BCE4" w14:textId="6D9C8823"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62CB3" w14:textId="291F9550"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BFDF" w14:textId="3BAFD56F"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w:t>
            </w:r>
          </w:p>
        </w:tc>
      </w:tr>
      <w:tr w:rsidR="00E527C3" w:rsidRPr="005A0D08" w14:paraId="2BA2DBFA"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5BD059D" w14:textId="77777777"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8D262F" w14:textId="639BE614"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0.22</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EC439" w14:textId="6ED6768A"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CBA8ECD" w14:textId="348E6DD7"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55559" w14:textId="5718A58C"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A7E903" w14:textId="6793E0E5"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w:t>
            </w:r>
          </w:p>
        </w:tc>
      </w:tr>
      <w:tr w:rsidR="00370EF6" w:rsidRPr="005A0D08" w14:paraId="63058D75" w14:textId="77777777" w:rsidTr="00F24463">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DDCF0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0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3019D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5C14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9A22C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341B3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844B4C" w:rsidRPr="005A0D08" w14:paraId="1FC5EF5C"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B85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BE98" w14:textId="2F27A6C1"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1.2403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890A7" w14:textId="1F3513BB"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1.0208</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242C9" w14:textId="5242A9B3"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1.1655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91D58" w14:textId="62751DC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-0.2135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8A6A" w14:textId="42044EC2"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0.0328</w:t>
            </w:r>
          </w:p>
        </w:tc>
      </w:tr>
      <w:tr w:rsidR="00844B4C" w:rsidRPr="005A0D08" w14:paraId="012F3742"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50A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EBAEF" w14:textId="3A4E3ECB"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(1.7367)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395D" w14:textId="66CBD52D"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(2.0391)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9D1E" w14:textId="34BDFA9D"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(2.0912)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F7D2A" w14:textId="774415A6"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(1.0102)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17200" w14:textId="09FF7F7D"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(1.4455)</w:t>
            </w:r>
          </w:p>
        </w:tc>
      </w:tr>
      <w:tr w:rsidR="00844B4C" w:rsidRPr="005A0D08" w14:paraId="7D26F9A6"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8D83"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865A"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AECAB" w14:textId="29CA8D64"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646A2" w14:textId="5A9F0AE5"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8339" w14:textId="2271DDAB"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0.0170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721C3" w14:textId="0551A0DF"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-0.0703</w:t>
            </w:r>
          </w:p>
        </w:tc>
      </w:tr>
      <w:tr w:rsidR="00844B4C" w:rsidRPr="005A0D08" w14:paraId="2CFA914A"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3DE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7B6A2"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65E63" w14:textId="279543E2"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(0.7184)</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FC746" w14:textId="245A09C6"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(0.6996)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6A99" w14:textId="2D35AE26"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(0.6239)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242D5" w14:textId="7F66AAA3"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(0.6501)</w:t>
            </w:r>
          </w:p>
        </w:tc>
      </w:tr>
      <w:tr w:rsidR="00844B4C" w:rsidRPr="005A0D08" w14:paraId="348DCD62"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4884B"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78DD"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AB65"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3E4D" w14:textId="20AD3052"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0C625"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E5FCA" w14:textId="2F236C11"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0.0167***</w:t>
            </w:r>
          </w:p>
        </w:tc>
      </w:tr>
      <w:tr w:rsidR="00844B4C" w:rsidRPr="005A0D08" w14:paraId="7DC43725"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CEBF6"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52185"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CD66"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930E" w14:textId="7CF59D71"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54120"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3594" w14:textId="75A5ED03"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(0.0050)</w:t>
            </w:r>
          </w:p>
        </w:tc>
      </w:tr>
      <w:tr w:rsidR="00844B4C" w:rsidRPr="005A0D08" w14:paraId="5BB4AE50"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721C"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A9D1F"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9F54"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F370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ED565" w14:textId="79827AC1"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4.3763***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52F8" w14:textId="1DAC4942"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4.5737***</w:t>
            </w:r>
          </w:p>
        </w:tc>
      </w:tr>
      <w:tr w:rsidR="00844B4C" w:rsidRPr="005A0D08" w14:paraId="2DFAC577"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01212"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222AA"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8C3B3"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8921A"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9D4BF" w14:textId="7583284A"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(1.3114)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9368" w14:textId="43AD8B61"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(1.3986)</w:t>
            </w:r>
          </w:p>
        </w:tc>
      </w:tr>
      <w:tr w:rsidR="00F24463" w:rsidRPr="005A0D08" w14:paraId="29392A0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6210E"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w:lastRenderedPageBreak/>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B9C1"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E646"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6D802"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90A2" w14:textId="73C8E2AD"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-0.2096***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4A68" w14:textId="7CACE9E6"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-0.2190***</w:t>
            </w:r>
          </w:p>
        </w:tc>
      </w:tr>
      <w:tr w:rsidR="00F24463" w:rsidRPr="005A0D08" w14:paraId="61FF490C"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56B9"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9F72"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A0A5"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AB7AE"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4A9B" w14:textId="109621DB"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BDF39" w14:textId="6A9D876D"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(0.0783)</w:t>
            </w:r>
          </w:p>
        </w:tc>
      </w:tr>
      <w:tr w:rsidR="00F24463" w:rsidRPr="005A0D08" w14:paraId="3DA35AA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4C2B"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DC4D"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1ECE"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AC4D1"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59C4" w14:textId="38615BA1"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BE38" w14:textId="0A051312"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-0.0385***</w:t>
            </w:r>
          </w:p>
        </w:tc>
      </w:tr>
      <w:tr w:rsidR="00F24463" w:rsidRPr="005A0D08" w14:paraId="5A558B4B"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D9EA06"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F3BFD8"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A13AF3D"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3694F8"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FDD7D0" w14:textId="7FB95C5F"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(0.0086)</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4D5228" w14:textId="0519A99E"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(0.0101)</w:t>
            </w:r>
          </w:p>
        </w:tc>
      </w:tr>
      <w:tr w:rsidR="00370EF6" w:rsidRPr="005A0D08" w14:paraId="47B5C3E2"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D900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AC6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021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EF9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A8BC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0E3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A306D7" w:rsidRPr="005A0D08" w14:paraId="7BC0D0DE"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9071" w14:textId="77777777"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02A2" w14:textId="448CC4AD"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3FAE9" w14:textId="6761F61D"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D925E" w14:textId="342BAB80"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CBD6" w14:textId="0A5F15BC"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803F" w14:textId="7CD184AA"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0.16</w:t>
            </w:r>
          </w:p>
        </w:tc>
      </w:tr>
      <w:tr w:rsidR="00A306D7" w:rsidRPr="005A0D08" w14:paraId="3155985C"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19C8A4" w14:textId="77777777"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32F5F3" w14:textId="0CDB76E1"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1231DC" w14:textId="5A6C58CC"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E0FA2CE" w14:textId="099779C2"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E5A987" w14:textId="1326AD52"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0.81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DA58113" w14:textId="4DD3CBD9"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0.98</w:t>
            </w:r>
          </w:p>
        </w:tc>
      </w:tr>
      <w:tr w:rsidR="00370EF6" w:rsidRPr="005A0D08" w14:paraId="55CDC072" w14:textId="77777777" w:rsidTr="00F24463">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C2CE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85407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0781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04DA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359E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200DA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962EA3" w:rsidRPr="005A0D08" w14:paraId="0D6ACBBE"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B21A"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5D5E" w14:textId="5140325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-0.3059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FDBC2" w14:textId="26D87D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-0.6987**</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E57A6" w14:textId="5A51FEBE"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-0.6491*</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561A7" w14:textId="16A6A7E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-0.5612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4885" w14:textId="1284EDF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-0.5177</w:t>
            </w:r>
          </w:p>
        </w:tc>
      </w:tr>
      <w:tr w:rsidR="00962EA3" w:rsidRPr="005A0D08" w14:paraId="76A89076"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FF0E"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9D6A" w14:textId="10A9DF6B"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(0.2421)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E9D7" w14:textId="5FECD8AC"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(0.3379)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99A2C" w14:textId="1C411F4B"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(0.3655)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C653F" w14:textId="095A4DC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(0.4547)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504DE" w14:textId="686764DF"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(0.4246)</w:t>
            </w:r>
          </w:p>
        </w:tc>
      </w:tr>
      <w:tr w:rsidR="00962EA3" w:rsidRPr="005A0D08" w14:paraId="3C37CAA5"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FA93"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BAF0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A71" w14:textId="6195B014"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-0.4236***</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E4AD" w14:textId="4690CCC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-0.4129***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A075" w14:textId="3C0CBC25"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-0.4575***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79A6" w14:textId="4F9AA6B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-0.4488***</w:t>
            </w:r>
          </w:p>
        </w:tc>
      </w:tr>
      <w:tr w:rsidR="00962EA3" w:rsidRPr="005A0D08" w14:paraId="0AB05D88"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E0C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DEF8A"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5D85" w14:textId="7AFA9B0F"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(0.1349)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F8FBC" w14:textId="7B1B93D1"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(0.1491)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9DFA9" w14:textId="6C02C56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(0.1613)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6315B" w14:textId="415C638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(0.1470)</w:t>
            </w:r>
          </w:p>
        </w:tc>
      </w:tr>
      <w:tr w:rsidR="00962EA3" w:rsidRPr="005A0D08" w14:paraId="3C3F3134"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EC58"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BFD0"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723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9826" w14:textId="1062FAC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1C06B"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C82D" w14:textId="403C4C43"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-0.0047***</w:t>
            </w:r>
          </w:p>
        </w:tc>
      </w:tr>
      <w:tr w:rsidR="00962EA3" w:rsidRPr="005A0D08" w14:paraId="2982F874"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5CF9"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A86F"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053F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C417" w14:textId="64466C3F"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97326"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36CD4" w14:textId="7CB398C8"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(0.0011)</w:t>
            </w:r>
          </w:p>
        </w:tc>
      </w:tr>
      <w:tr w:rsidR="00962EA3" w:rsidRPr="005A0D08" w14:paraId="74E586FE"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24226"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074A3"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59F9"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673F"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CA1CB" w14:textId="10F92014"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1.5275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D4A5" w14:textId="405056A3"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1.3383</w:t>
            </w:r>
          </w:p>
        </w:tc>
      </w:tr>
      <w:tr w:rsidR="00962EA3" w:rsidRPr="005A0D08" w14:paraId="19B18FDA"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C24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2B98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04D5"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121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E6E86" w14:textId="65188DF8"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(2.1529)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E6EB" w14:textId="7A0B4C5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(1.9310)</w:t>
            </w:r>
          </w:p>
        </w:tc>
      </w:tr>
      <w:tr w:rsidR="00962EA3" w:rsidRPr="005A0D08" w14:paraId="6B166D9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866C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CA0B0"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D4E1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8D24"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86E2E" w14:textId="1E7D93DB"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-0.0978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94DB" w14:textId="529E0D01"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-0.0846</w:t>
            </w:r>
          </w:p>
        </w:tc>
      </w:tr>
      <w:tr w:rsidR="00962EA3" w:rsidRPr="005A0D08" w14:paraId="1F7C3170"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70D4"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064B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55378"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FEDE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65916" w14:textId="1465AE0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(0.1460)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743E" w14:textId="1BD284D6"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(0.1285)</w:t>
            </w:r>
          </w:p>
        </w:tc>
      </w:tr>
      <w:tr w:rsidR="00962EA3" w:rsidRPr="005A0D08" w14:paraId="2ADAF4F0"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1510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E745A"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26F73"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A3E95"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AF9E" w14:textId="763EB8F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4A44" w14:textId="5F4BCB6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0.0082</w:t>
            </w:r>
          </w:p>
        </w:tc>
      </w:tr>
      <w:tr w:rsidR="00962EA3" w:rsidRPr="005A0D08" w14:paraId="4C45E0F0"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F353AF"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DE38C5"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34890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799281"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F64B37" w14:textId="79C7143E"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(0.0075)</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CB02345" w14:textId="656088F4"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(0.0075)</w:t>
            </w:r>
          </w:p>
        </w:tc>
      </w:tr>
      <w:tr w:rsidR="00370EF6" w:rsidRPr="005A0D08" w14:paraId="058AF998"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32C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172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E04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BD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B8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15F8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917C36" w:rsidRPr="005A0D08" w14:paraId="0E0634AD"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5E222" w14:textId="77777777"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108BE" w14:textId="4372F15A"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94B6C" w14:textId="2BA1D513"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F4560" w14:textId="7A780966"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573B" w14:textId="6A0D838A"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046BA" w14:textId="237C3E25"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w:t>
            </w:r>
          </w:p>
        </w:tc>
      </w:tr>
      <w:tr w:rsidR="00917C36" w:rsidRPr="005A0D08" w14:paraId="51F15F68"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F1F81EE" w14:textId="77777777"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C839F7" w14:textId="7068D254"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0.24</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A647C8B" w14:textId="0059C5E6"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AA2BC" w14:textId="0F09B2E4"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11CFA6" w14:textId="0220A05D"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9580CD7" w14:textId="38B4AEDD"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w:t>
            </w:r>
          </w:p>
        </w:tc>
      </w:tr>
      <w:tr w:rsidR="00370EF6" w:rsidRPr="005A0D08" w14:paraId="1AC14B18"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33E607AD" w14:textId="07854DC6"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Note: Non-financial corporations results. The dep</w:t>
            </w:r>
            <w:r w:rsidR="00087643">
              <w:rPr>
                <w:rFonts w:eastAsia="Helvetica" w:hAnsi="Helvetica" w:cs="Helvetica"/>
                <w:color w:val="000000"/>
                <w:sz w:val="18"/>
                <w:szCs w:val="18"/>
              </w:rPr>
              <w:t>e</w:t>
            </w:r>
            <w:r w:rsidRPr="005A0D08">
              <w:rPr>
                <w:rFonts w:eastAsia="Helvetica" w:hAnsi="Helvetica" w:cs="Helvetica"/>
                <w:color w:val="000000"/>
                <w:sz w:val="18"/>
                <w:szCs w:val="18"/>
              </w:rPr>
              <w:t xml:space="preserve">ndant variables </w:t>
            </w:r>
            <w:proofErr w:type="gramStart"/>
            <w:r w:rsidRPr="005A0D08">
              <w:rPr>
                <w:rFonts w:eastAsia="Helvetica" w:hAnsi="Helvetica" w:cs="Helvetica"/>
                <w:color w:val="000000"/>
                <w:sz w:val="18"/>
                <w:szCs w:val="18"/>
              </w:rPr>
              <w:t>i</w:t>
            </w:r>
            <w:r w:rsidR="000367AE">
              <w:rPr>
                <w:rFonts w:eastAsia="Helvetica" w:hAnsi="Helvetica" w:cs="Helvetica"/>
                <w:color w:val="000000"/>
                <w:sz w:val="18"/>
                <w:szCs w:val="18"/>
              </w:rPr>
              <w:t>s</w:t>
            </w:r>
            <w:proofErr w:type="gramEnd"/>
            <w:r w:rsidRPr="005A0D08">
              <w:rPr>
                <w:rFonts w:eastAsia="Helvetica" w:hAnsi="Helvetica" w:cs="Helvetica"/>
                <w:color w:val="000000"/>
                <w:sz w:val="18"/>
                <w:szCs w:val="18"/>
              </w:rPr>
              <w:t xml:space="preserve"> loan growth at bank level at a monthly frequency, calculated as the log difference at t and t -1. All control variables are defined in Table 2. Standard errors are clustered at a bank level. All equations include both bank and monthly</w:t>
            </w:r>
            <w:r w:rsidR="00087643">
              <w:rPr>
                <w:rFonts w:eastAsia="Helvetica" w:hAnsi="Helvetica" w:cs="Helvetica"/>
                <w:color w:val="000000"/>
                <w:sz w:val="18"/>
                <w:szCs w:val="18"/>
              </w:rPr>
              <w:t xml:space="preserve"> fixed</w:t>
            </w:r>
            <w:r w:rsidRPr="005A0D08">
              <w:rPr>
                <w:rFonts w:eastAsia="Helvetica" w:hAnsi="Helvetica" w:cs="Helvetica"/>
                <w:color w:val="000000"/>
                <w:sz w:val="18"/>
                <w:szCs w:val="18"/>
              </w:rPr>
              <w:t xml:space="preserve"> effects. A test for equality p-value of &lt; 0.1 is significant. </w:t>
            </w:r>
            <m:oMath>
              <m:r>
                <w:rPr>
                  <w:rFonts w:ascii="Cambria Math" w:hAnsi="Cambria Math"/>
                  <w:sz w:val="18"/>
                  <w:szCs w:val="18"/>
                </w:rPr>
                <m:t>***p&lt;0.01,**p&lt;0.05,*p&lt;0.1</m:t>
              </m:r>
            </m:oMath>
          </w:p>
        </w:tc>
      </w:tr>
    </w:tbl>
    <w:p w14:paraId="31836E33" w14:textId="77777777" w:rsidR="00AE6F56" w:rsidRDefault="00AE6F56">
      <w:pPr>
        <w:sectPr w:rsidR="00AE6F56" w:rsidSect="005A0D08">
          <w:footnotePr>
            <w:numFmt w:val="chicago"/>
            <w:numRestart w:val="eachSect"/>
          </w:footnotePr>
          <w:pgSz w:w="11907" w:h="16840" w:code="9"/>
          <w:pgMar w:top="1418" w:right="1418" w:bottom="1418" w:left="1418" w:header="720" w:footer="720" w:gutter="0"/>
          <w:cols w:space="720"/>
          <w:docGrid w:linePitch="326"/>
        </w:sectPr>
      </w:pPr>
    </w:p>
    <w:p w14:paraId="1B18D2D1" w14:textId="4BB704C1" w:rsidR="00603207" w:rsidRDefault="00603207" w:rsidP="00603207">
      <w:pPr>
        <w:pStyle w:val="Heading2"/>
      </w:pPr>
      <w:r>
        <w:lastRenderedPageBreak/>
        <w:t>5.</w:t>
      </w:r>
      <w:r w:rsidR="00456601">
        <w:t>2</w:t>
      </w:r>
      <w:r>
        <w:tab/>
      </w:r>
      <w:r w:rsidR="00456601">
        <w:t>Dynamic</w:t>
      </w:r>
      <w:r>
        <w:t xml:space="preserve"> estimation</w:t>
      </w:r>
    </w:p>
    <w:p w14:paraId="45CF797F" w14:textId="200548F9" w:rsidR="00772384" w:rsidRDefault="00456601">
      <w:r>
        <w:t xml:space="preserve">To complement these panel data estimates, we also report </w:t>
      </w:r>
      <w:r w:rsidR="00FB20A9">
        <w:t xml:space="preserve">some preliminary dynamic </w:t>
      </w:r>
      <w:proofErr w:type="gramStart"/>
      <w:r w:rsidR="00FB20A9">
        <w:t>estimation..</w:t>
      </w:r>
      <w:proofErr w:type="gramEnd"/>
      <w:r w:rsidR="00FB20A9">
        <w:t xml:space="preserve"> </w:t>
      </w:r>
      <w:r w:rsidR="00C65575">
        <w:t xml:space="preserve">We use the </w:t>
      </w:r>
      <w:r w:rsidR="009B3FAF">
        <w:t xml:space="preserve">local </w:t>
      </w:r>
      <w:r w:rsidR="00C65575">
        <w:t>method of</w:t>
      </w:r>
      <w:r w:rsidR="00FB20A9">
        <w:t xml:space="preserve"> </w:t>
      </w:r>
      <w:proofErr w:type="spellStart"/>
      <w:r w:rsidR="00FB20A9">
        <w:t>Jordà</w:t>
      </w:r>
      <w:proofErr w:type="spellEnd"/>
      <w:r w:rsidR="00FB20A9">
        <w:t xml:space="preserve"> (2005) </w:t>
      </w:r>
      <w:r w:rsidR="009A6A2E">
        <w:t xml:space="preserve">for </w:t>
      </w:r>
      <w:r w:rsidR="00FB20A9">
        <w:t xml:space="preserve">calculating impulse responses called local projections, which utilises an expanding window </w:t>
      </w:r>
      <w:r w:rsidR="009A6A2E">
        <w:t xml:space="preserve">to </w:t>
      </w:r>
      <w:proofErr w:type="spellStart"/>
      <w:r w:rsidR="009A6A2E">
        <w:t>quanity</w:t>
      </w:r>
      <w:proofErr w:type="spellEnd"/>
      <w:r w:rsidR="009A6A2E">
        <w:t xml:space="preserve"> the </w:t>
      </w:r>
      <w:r w:rsidR="00FB20A9">
        <w:t>impact on the dependant variables of a shock on the independent variables at a specific period, at each unit of the shock period. That is, we estimate a change in capital requirements (</w:t>
      </w:r>
      <m:oMath>
        <m:r>
          <w:rPr>
            <w:rFonts w:ascii="Cambria Math" w:hAnsi="Cambria Math"/>
          </w:rPr>
          <m:t>ΔKR</m:t>
        </m:r>
      </m:oMath>
      <w:r w:rsidR="00FB20A9">
        <w:t>) at each period of the expanding window of the change in the lending (</w:t>
      </w:r>
      <m:oMath>
        <m:r>
          <w:rPr>
            <w:rFonts w:ascii="Cambria Math" w:hAnsi="Cambria Math"/>
          </w:rPr>
          <m:t>ΔLOAN</m:t>
        </m:r>
      </m:oMath>
      <w:r w:rsidR="00FB20A9">
        <w:t xml:space="preserve">). </w:t>
      </w:r>
    </w:p>
    <w:p w14:paraId="03B7FFE8" w14:textId="6C08C60F" w:rsidR="00880538" w:rsidRDefault="00880538">
      <w:r>
        <w:t>This estimation employs the same control variables as our baseline panel model.</w:t>
      </w:r>
    </w:p>
    <w:p w14:paraId="62CE1C70" w14:textId="04277AA4" w:rsidR="0007700A" w:rsidRDefault="00FB20A9">
      <w:r>
        <w:t xml:space="preserve">Figure 5.1 shows the </w:t>
      </w:r>
      <w:r w:rsidR="00880538">
        <w:t xml:space="preserve">resulting </w:t>
      </w:r>
      <w:r w:rsidR="0027539C">
        <w:t>impulse response of the log of loans for each</w:t>
      </w:r>
      <w:r w:rsidR="00880538">
        <w:t xml:space="preserve"> </w:t>
      </w:r>
      <w:r w:rsidR="0027539C">
        <w:t>of the six cate</w:t>
      </w:r>
      <w:r w:rsidR="00880538">
        <w:t xml:space="preserve">gories of lending, to an initial shock to minimum required capital </w:t>
      </w:r>
      <w:r>
        <w:t>(</w:t>
      </w:r>
      <m:oMath>
        <m:r>
          <w:rPr>
            <w:rFonts w:ascii="Cambria Math" w:hAnsi="Cambria Math"/>
          </w:rPr>
          <m:t>ΔKR</m:t>
        </m:r>
      </m:oMath>
      <w:r>
        <w:t>)</w:t>
      </w:r>
      <w:r w:rsidR="00880538">
        <w:t xml:space="preserve"> from 1 to 12 months</w:t>
      </w:r>
      <w:r>
        <w:t xml:space="preserve">. </w:t>
      </w:r>
      <w:r w:rsidR="00880538">
        <w:t>In almost all loan types and periods the error bounds for these estimates include zero, rev</w:t>
      </w:r>
      <w:r w:rsidR="00CE6EF6">
        <w:t>e</w:t>
      </w:r>
      <w:r w:rsidR="00880538">
        <w:t>aling again little or no evidence of an impact of minimum capital requirements on the supply of bank lending.</w:t>
      </w:r>
    </w:p>
    <w:p w14:paraId="46D29285" w14:textId="74117D9D" w:rsidR="00880538" w:rsidRDefault="00880538">
      <w:r>
        <w:t xml:space="preserve">Appendix C reports estimates in which we vary our baseline model to investigate the presence of anticipatory impacts of the changes in minimum capital requirements on bank lending (with an impact on bank </w:t>
      </w:r>
      <w:proofErr w:type="gramStart"/>
      <w:r>
        <w:t>lending  arising</w:t>
      </w:r>
      <w:proofErr w:type="gramEnd"/>
      <w:r>
        <w:t xml:space="preserve"> </w:t>
      </w:r>
      <w:proofErr w:type="spellStart"/>
      <w:r>
        <w:t>berfefore</w:t>
      </w:r>
      <w:proofErr w:type="spellEnd"/>
      <w:r>
        <w:t xml:space="preserve"> the increase in required minimum capital)</w:t>
      </w:r>
      <w:r w:rsidR="00CE6EF6">
        <w:t xml:space="preserve">, contemporaneous impacts, or longer lags than investigated in our </w:t>
      </w:r>
      <w:proofErr w:type="spellStart"/>
      <w:r w:rsidR="00CE6EF6">
        <w:t>basedline</w:t>
      </w:r>
      <w:proofErr w:type="spellEnd"/>
      <w:r w:rsidR="00CE6EF6">
        <w:t xml:space="preserve"> model. These estimates correspond to the estimates in column (3) of Tables 5.1 and 5.2. </w:t>
      </w:r>
      <w:proofErr w:type="gramStart"/>
      <w:r w:rsidR="00CE6EF6">
        <w:t>Again</w:t>
      </w:r>
      <w:proofErr w:type="gramEnd"/>
      <w:r w:rsidR="00CE6EF6">
        <w:t xml:space="preserve"> there is little evidence of the changes in minimum capital </w:t>
      </w:r>
      <w:proofErr w:type="spellStart"/>
      <w:r w:rsidR="00CE6EF6">
        <w:t>reuriement</w:t>
      </w:r>
      <w:proofErr w:type="spellEnd"/>
      <w:r w:rsidR="00CE6EF6">
        <w:t xml:space="preserve"> impacting on the supply of bank lending.</w:t>
      </w:r>
    </w:p>
    <w:p w14:paraId="188E222F" w14:textId="3F565BC4" w:rsidR="00CE6EF6" w:rsidRDefault="00CE6EF6">
      <w:r>
        <w:t xml:space="preserve">We have explored a variety of other specifications, but again with no clear evidence of an impact of the changes in Basel III minimum capital requirements on the level of bank lending. </w:t>
      </w:r>
    </w:p>
    <w:p w14:paraId="445AF30A" w14:textId="77777777" w:rsidR="007C1DDC" w:rsidRDefault="007C1DDC">
      <w:pPr>
        <w:widowControl/>
        <w:tabs>
          <w:tab w:val="clear" w:pos="170"/>
        </w:tabs>
        <w:autoSpaceDE/>
        <w:autoSpaceDN/>
        <w:spacing w:after="160" w:line="259" w:lineRule="auto"/>
        <w:jc w:val="left"/>
      </w:pPr>
      <w:r>
        <w:br w:type="page"/>
      </w:r>
    </w:p>
    <w:p w14:paraId="0B0839B0" w14:textId="306C4334" w:rsidR="00370EF6" w:rsidRDefault="00D00CD1">
      <w:r>
        <w:lastRenderedPageBreak/>
        <w:t>Figure 5.1: Impulse responses via local projections of lending (</w:t>
      </w:r>
      <m:oMath>
        <m:r>
          <w:rPr>
            <w:rFonts w:ascii="Cambria Math" w:hAnsi="Cambria Math"/>
          </w:rPr>
          <m:t>LOAN</m:t>
        </m:r>
      </m:oMath>
      <w:r>
        <w:t>) to a shock in capital requirements (</w:t>
      </w:r>
      <m:oMath>
        <m:r>
          <w:rPr>
            <w:rFonts w:ascii="Cambria Math" w:hAnsi="Cambria Math"/>
          </w:rPr>
          <m:t>KR</m:t>
        </m:r>
      </m:oMath>
      <w:r>
        <w:t>).</w:t>
      </w:r>
    </w:p>
    <w:p w14:paraId="3C462A25" w14:textId="438B184E" w:rsidR="007C1DDC" w:rsidRDefault="007C1DDC">
      <w:r>
        <w:rPr>
          <w:noProof/>
          <w:lang w:eastAsia="en-GB"/>
        </w:rPr>
        <w:drawing>
          <wp:anchor distT="0" distB="0" distL="114300" distR="114300" simplePos="0" relativeHeight="251660288" behindDoc="0" locked="0" layoutInCell="1" allowOverlap="1" wp14:anchorId="4A304A31" wp14:editId="399B1C2F">
            <wp:simplePos x="0" y="0"/>
            <wp:positionH relativeFrom="column">
              <wp:posOffset>0</wp:posOffset>
            </wp:positionH>
            <wp:positionV relativeFrom="paragraph">
              <wp:posOffset>413385</wp:posOffset>
            </wp:positionV>
            <wp:extent cx="5753100" cy="6903720"/>
            <wp:effectExtent l="0" t="0" r="0" b="5080"/>
            <wp:wrapSquare wrapText="bothSides"/>
            <wp:docPr id="308830156" name="Picture 308830156" descr="Figure 5.1: Impulse responses via local projections of lending (LOAN) to a shock in capital requirements (KR)."/>
            <wp:cNvGraphicFramePr/>
            <a:graphic xmlns:a="http://schemas.openxmlformats.org/drawingml/2006/main">
              <a:graphicData uri="http://schemas.openxmlformats.org/drawingml/2006/picture">
                <pic:pic xmlns:pic="http://schemas.openxmlformats.org/drawingml/2006/picture">
                  <pic:nvPicPr>
                    <pic:cNvPr id="50" name="Picture" descr="Bank_capital_and_bank_lending_files/figure-docx/path-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3100" cy="6903720"/>
                    </a:xfrm>
                    <a:prstGeom prst="rect">
                      <a:avLst/>
                    </a:prstGeom>
                    <a:noFill/>
                    <a:ln w="9525">
                      <a:noFill/>
                      <a:headEnd/>
                      <a:tailEnd/>
                    </a:ln>
                  </pic:spPr>
                </pic:pic>
              </a:graphicData>
            </a:graphic>
          </wp:anchor>
        </w:drawing>
      </w:r>
    </w:p>
    <w:p w14:paraId="7078BBB7" w14:textId="77777777" w:rsidR="005A0D08" w:rsidRDefault="005A0D08">
      <w:pPr>
        <w:widowControl/>
        <w:tabs>
          <w:tab w:val="clear" w:pos="170"/>
        </w:tabs>
        <w:autoSpaceDE/>
        <w:autoSpaceDN/>
        <w:spacing w:after="160" w:line="259" w:lineRule="auto"/>
        <w:jc w:val="left"/>
        <w:rPr>
          <w:szCs w:val="20"/>
        </w:rPr>
      </w:pPr>
      <w:r>
        <w:br w:type="page"/>
      </w:r>
    </w:p>
    <w:p w14:paraId="2A280371" w14:textId="77777777" w:rsidR="00370EF6" w:rsidRDefault="00D00CD1" w:rsidP="00717C6A">
      <w:pPr>
        <w:pStyle w:val="Heading1"/>
      </w:pPr>
      <w:bookmarkStart w:id="9" w:name="conclusion"/>
      <w:bookmarkEnd w:id="7"/>
      <w:bookmarkEnd w:id="8"/>
      <w:r>
        <w:lastRenderedPageBreak/>
        <w:t>6</w:t>
      </w:r>
      <w:r>
        <w:tab/>
        <w:t>Conclusion</w:t>
      </w:r>
    </w:p>
    <w:p w14:paraId="670FC8BE" w14:textId="4FD886A2" w:rsidR="00CE6EF6" w:rsidRDefault="00CE6EF6" w:rsidP="00CC3E82">
      <w:r>
        <w:t xml:space="preserve">This paper has investigated the impact of the increased minimum bank capital requirements on banks in South Africa </w:t>
      </w:r>
      <w:proofErr w:type="gramStart"/>
      <w:r>
        <w:t>introduces  in</w:t>
      </w:r>
      <w:proofErr w:type="gramEnd"/>
      <w:r>
        <w:t xml:space="preserve"> the transition to the more stringent </w:t>
      </w:r>
      <w:r w:rsidR="00CC3E82">
        <w:t xml:space="preserve">Basel III </w:t>
      </w:r>
      <w:r>
        <w:t xml:space="preserve">capital regime. From our detailed review of the literature, highlighting the substantial challenges estimating causal impacts of changes in capital requirements on the supply of lending, we chose </w:t>
      </w:r>
      <w:proofErr w:type="gramStart"/>
      <w:r>
        <w:t>an  empirical</w:t>
      </w:r>
      <w:proofErr w:type="gramEnd"/>
      <w:r>
        <w:t xml:space="preserve"> specification based that employed by on Fang et al. (2020) for Peru. Their specification avoids the shortcoming of many other studies of the impact of changing capital requirements on bank lending, where the changes to minimum capital may be a response to higher perceived loan portfolio risk, so reported estimates of the impact of capital on lending are confounded by changes in credit risk.  This is achieved </w:t>
      </w:r>
      <w:r w:rsidR="007B1521">
        <w:t>b</w:t>
      </w:r>
      <w:r>
        <w:t xml:space="preserve">y focusing on larger pre-announced increases in minimum capital </w:t>
      </w:r>
      <w:proofErr w:type="gramStart"/>
      <w:r>
        <w:t>requirements ,</w:t>
      </w:r>
      <w:proofErr w:type="gramEnd"/>
      <w:r>
        <w:t xml:space="preserve"> and ex</w:t>
      </w:r>
      <w:r w:rsidR="007B1521">
        <w:t>c</w:t>
      </w:r>
      <w:r>
        <w:t>lu</w:t>
      </w:r>
      <w:r w:rsidR="007B1521">
        <w:t>d</w:t>
      </w:r>
      <w:r>
        <w:t xml:space="preserve">ing smaller changes that </w:t>
      </w:r>
      <w:r w:rsidR="007B1521">
        <w:t>can be attributed to changes in portfolio risk.</w:t>
      </w:r>
      <w:r>
        <w:t xml:space="preserve">  </w:t>
      </w:r>
      <w:r w:rsidR="00CC3E82">
        <w:t xml:space="preserve"> </w:t>
      </w:r>
    </w:p>
    <w:p w14:paraId="6A314ADD" w14:textId="735ACA26" w:rsidR="00CE6EF6" w:rsidRDefault="00CE6EF6" w:rsidP="00CC3E82">
      <w:r>
        <w:t xml:space="preserve">While our set up is </w:t>
      </w:r>
      <w:proofErr w:type="gramStart"/>
      <w:r>
        <w:t>similar to</w:t>
      </w:r>
      <w:proofErr w:type="gramEnd"/>
      <w:r>
        <w:t xml:space="preserve"> Fang et al. (2020), we find very much weaker evidence of an impact </w:t>
      </w:r>
      <w:r w:rsidR="007B1521">
        <w:t>o</w:t>
      </w:r>
      <w:r>
        <w:t xml:space="preserve">f capital requirements on the supply of bank lending. </w:t>
      </w:r>
      <w:r w:rsidR="007B1521">
        <w:t>We investigate the impact three categories of lending for both household and corporate borrowers. Only in the case of secured credit for non-financial corporations do we obtain a statistically significant and economically sensible coefficient estimates and the coefficient is relatively small (a 1% increase in capital requirement reducing lending by 0.63% (with no bank controls) and 0.89% (with bank level controls). For the relatively short data period of our estimation, from 2013 to 2019, we find no significant impact of the level of capital or of capital buffers over the minimum requirement on the level of lending. Exploring alternative dynamic estimation similarly yields little evidence of any</w:t>
      </w:r>
      <w:r w:rsidR="00792EB6">
        <w:t>.</w:t>
      </w:r>
    </w:p>
    <w:p w14:paraId="72819BE9" w14:textId="247EF819" w:rsidR="00CC3E82" w:rsidRDefault="00CC3E82" w:rsidP="00CC3E82">
      <w:r>
        <w:t>There are several reasons why th</w:t>
      </w:r>
      <w:r w:rsidR="007B1521">
        <w:t xml:space="preserve">e impact of higher minimum capital requirements introduced in South African under Basel III may be small. Most obviously, in our estimation period, the large South African banks have operated with large capital buffers and facing only a remote risk of falling short of capital; minimum equity capital may simply not be a constrain on their portfolio decisions. Furthermore the Basel III changes in minimum capital were announced well in advance, with a longer </w:t>
      </w:r>
      <w:proofErr w:type="spellStart"/>
      <w:r w:rsidR="007B1521">
        <w:t>perioe</w:t>
      </w:r>
      <w:proofErr w:type="spellEnd"/>
      <w:r w:rsidR="007B1521">
        <w:t xml:space="preserve"> to adjust than was the </w:t>
      </w:r>
      <w:proofErr w:type="gramStart"/>
      <w:r w:rsidR="007B1521">
        <w:t>case  for</w:t>
      </w:r>
      <w:proofErr w:type="gramEnd"/>
      <w:r w:rsidR="007B1521">
        <w:t xml:space="preserve"> the changes in Peru investigated by Fang et al. (2020). </w:t>
      </w:r>
      <w:r>
        <w:t xml:space="preserve"> may be the case. </w:t>
      </w:r>
      <w:r w:rsidR="007B1521">
        <w:t xml:space="preserve">Clearly further investigation is warranted, but it appears than the </w:t>
      </w:r>
      <w:r w:rsidR="007B1521">
        <w:lastRenderedPageBreak/>
        <w:t xml:space="preserve">South African authorities have introduced the higher capital requirements of Basel III in a sensible way with little or no impact on bank lending, at least for the four large banks in our sample. </w:t>
      </w:r>
    </w:p>
    <w:p w14:paraId="5C18CA4F" w14:textId="77777777" w:rsidR="00370EF6" w:rsidRDefault="00D00CD1">
      <w:r>
        <w:br w:type="page"/>
      </w:r>
    </w:p>
    <w:p w14:paraId="728C8A60" w14:textId="4FB62BC4" w:rsidR="00370EF6" w:rsidRDefault="00D00CD1" w:rsidP="00717C6A">
      <w:pPr>
        <w:pStyle w:val="Heading1"/>
      </w:pPr>
      <w:bookmarkStart w:id="10" w:name="appendix"/>
      <w:bookmarkEnd w:id="9"/>
      <w:r>
        <w:lastRenderedPageBreak/>
        <w:t>Appendi</w:t>
      </w:r>
      <w:r w:rsidR="003627CE">
        <w:t>ces</w:t>
      </w:r>
    </w:p>
    <w:p w14:paraId="14A580A9" w14:textId="09516A95" w:rsidR="00370EF6" w:rsidRDefault="00BA7805">
      <w:pPr>
        <w:pStyle w:val="Heading2"/>
      </w:pPr>
      <w:bookmarkStart w:id="11" w:name="theory-review"/>
      <w:r>
        <w:t>A</w:t>
      </w:r>
      <w:r w:rsidR="003627CE">
        <w:t>ppendix A</w:t>
      </w:r>
      <w:r w:rsidR="0046505B">
        <w:t xml:space="preserve"> </w:t>
      </w:r>
      <w:r w:rsidR="00D00CD1">
        <w:t>Theor</w:t>
      </w:r>
      <w:r w:rsidR="003627CE">
        <w:t>etical</w:t>
      </w:r>
      <w:r w:rsidR="00D00CD1">
        <w:t xml:space="preserve"> review</w:t>
      </w:r>
    </w:p>
    <w:p w14:paraId="2C458992" w14:textId="13729A51" w:rsidR="00370EF6" w:rsidRDefault="00D00CD1">
      <w:r>
        <w:t>This appendix is a review of the th</w:t>
      </w:r>
      <w:r w:rsidR="003627CE">
        <w:t>eo</w:t>
      </w:r>
      <w:r>
        <w:t>ry of bank capital and bank lending. It identifies several key points relevant to the empirical investigation:</w:t>
      </w:r>
    </w:p>
    <w:p w14:paraId="02BB6608" w14:textId="6B554430" w:rsidR="00370EF6" w:rsidRDefault="003627CE">
      <w:pPr>
        <w:pStyle w:val="Heading3"/>
      </w:pPr>
      <w:bookmarkStart w:id="12" w:name="X407c4f94e1ffc17990d4fb4e97acaab36b61f91"/>
      <w:r>
        <w:t>A</w:t>
      </w:r>
      <w:r w:rsidR="00D00CD1">
        <w:t>.1</w:t>
      </w:r>
      <w:r w:rsidR="00D00CD1">
        <w:tab/>
        <w:t>A conceptual framework drawing on corporate finance and banking theory</w:t>
      </w:r>
    </w:p>
    <w:p w14:paraId="6A45F906" w14:textId="77777777" w:rsidR="00370EF6" w:rsidRDefault="00D00CD1">
      <w:r>
        <w:t>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 Modigliani and Miller (1958) 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14:paraId="196F5D43" w14:textId="77777777" w:rsidR="00370EF6" w:rsidRDefault="00D00CD1">
      <w:pPr>
        <w:pStyle w:val="BodyText"/>
      </w:pPr>
      <w:r>
        <w:t>The focus of what follows is on how capital structure and capital regulation impacts on the on the overall costs of bank funding and hence on the supply of bank credit; and in empirical estimation on distinguishing credit supply from the demand for credit:</w:t>
      </w:r>
    </w:p>
    <w:p w14:paraId="6059840B"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L</m:t>
                    </m:r>
                  </m:e>
                  <m:sup>
                    <m:r>
                      <w:rPr>
                        <w:rFonts w:ascii="Cambria Math" w:hAnsi="Cambria Math"/>
                      </w:rPr>
                      <m:t>d</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y</m:t>
                </m:r>
                <m:r>
                  <m:rPr>
                    <m:sty m:val="p"/>
                  </m:rPr>
                  <w:rPr>
                    <w:rFonts w:ascii="Cambria Math" w:hAnsi="Cambria Math"/>
                  </w:rPr>
                  <m:t>+</m:t>
                </m:r>
                <m:r>
                  <w:rPr>
                    <w:rFonts w:ascii="Cambria Math" w:hAnsi="Cambria Math"/>
                  </w:rPr>
                  <m:t>μ</m:t>
                </m:r>
              </m:e>
            </m:mr>
            <m:mr>
              <m:e>
                <m:sSup>
                  <m:sSupPr>
                    <m:ctrlPr>
                      <w:rPr>
                        <w:rFonts w:ascii="Cambria Math" w:hAnsi="Cambria Math"/>
                      </w:rPr>
                    </m:ctrlPr>
                  </m:sSupPr>
                  <m:e>
                    <m:r>
                      <w:rPr>
                        <w:rFonts w:ascii="Cambria Math" w:hAnsi="Cambria Math"/>
                      </w:rPr>
                      <m:t>L</m:t>
                    </m:r>
                  </m:e>
                  <m:sup>
                    <m:r>
                      <w:rPr>
                        <w:rFonts w:ascii="Cambria Math" w:hAnsi="Cambria Math"/>
                      </w:rPr>
                      <m:t>s</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ν</m:t>
                </m:r>
              </m:e>
            </m:mr>
          </m:m>
        </m:oMath>
      </m:oMathPara>
    </w:p>
    <w:p w14:paraId="652B7661" w14:textId="77777777" w:rsidR="00370EF6" w:rsidRDefault="00D00CD1">
      <w:r>
        <w:t xml:space="preserve">Where </w:t>
      </w:r>
      <m:oMath>
        <m:r>
          <w:rPr>
            <w:rFonts w:ascii="Cambria Math" w:hAnsi="Cambria Math"/>
          </w:rPr>
          <m:t>β</m:t>
        </m:r>
      </m:oMath>
      <w:r>
        <w:t xml:space="preserve"> represents the cost of bank funding and </w:t>
      </w:r>
      <m:oMath>
        <m:r>
          <w:rPr>
            <w:rFonts w:ascii="Cambria Math" w:hAnsi="Cambria Math"/>
          </w:rPr>
          <m:t>y</m:t>
        </m:r>
      </m:oMath>
      <w:r>
        <w:t xml:space="preserve"> represents factors such as income and expected income growth that affect the demand for bank credit.</w:t>
      </w:r>
    </w:p>
    <w:p w14:paraId="4F696604" w14:textId="77777777" w:rsidR="00370EF6" w:rsidRDefault="00D00CD1">
      <w:pPr>
        <w:pStyle w:val="BodyText"/>
      </w:pPr>
      <w:r>
        <w:t>The composition of the bank balance sheet can be represented, schematically as:</w:t>
      </w:r>
    </w:p>
    <w:p w14:paraId="197B8E2F" w14:textId="77777777" w:rsidR="00370EF6" w:rsidRDefault="00D00CD1">
      <w:pPr>
        <w:pStyle w:val="BodyText"/>
      </w:pPr>
      <w:r>
        <w:t>distinguishing different categories of loans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security investments (</w:t>
      </w:r>
      <m:oMath>
        <m:r>
          <w:rPr>
            <w:rFonts w:ascii="Cambria Math" w:hAnsi="Cambria Math"/>
          </w:rPr>
          <m:t>B</m:t>
        </m:r>
      </m:oMath>
      <w:r>
        <w:t>), core deposits (</w:t>
      </w:r>
      <m:oMath>
        <m:r>
          <w:rPr>
            <w:rFonts w:ascii="Cambria Math" w:hAnsi="Cambria Math"/>
          </w:rPr>
          <m:t>D</m:t>
        </m:r>
      </m:oMath>
      <w:r>
        <w:t>), wholesale funding (</w:t>
      </w:r>
      <m:oMath>
        <m:r>
          <w:rPr>
            <w:rFonts w:ascii="Cambria Math" w:hAnsi="Cambria Math"/>
          </w:rPr>
          <m:t>W</m:t>
        </m:r>
      </m:oMath>
      <w:r>
        <w:t>) and equity capital (</w:t>
      </w:r>
      <m:oMath>
        <m:r>
          <w:rPr>
            <w:rFonts w:ascii="Cambria Math" w:hAnsi="Cambria Math"/>
          </w:rPr>
          <m:t>E</m:t>
        </m:r>
      </m:oMath>
      <w:r>
        <w:t>).</w:t>
      </w:r>
    </w:p>
    <w:p w14:paraId="340A55AD" w14:textId="77777777" w:rsidR="00370EF6" w:rsidRDefault="00D00CD1">
      <w:pPr>
        <w:pStyle w:val="BodyText"/>
      </w:pPr>
      <w:r>
        <w:t xml:space="preserve">Bank capitalisation </w:t>
      </w:r>
      <m:oMath>
        <m:r>
          <w:rPr>
            <w:rFonts w:ascii="Cambria Math" w:hAnsi="Cambria Math"/>
          </w:rPr>
          <m:t>c</m:t>
        </m:r>
      </m:oMath>
      <w:r>
        <w:t xml:space="preserve">, the buffer of capital </w:t>
      </w:r>
      <m:oMath>
        <m:sSup>
          <m:sSupPr>
            <m:ctrlPr>
              <w:rPr>
                <w:rFonts w:ascii="Cambria Math" w:hAnsi="Cambria Math"/>
              </w:rPr>
            </m:ctrlPr>
          </m:sSupPr>
          <m:e>
            <m:r>
              <w:rPr>
                <w:rFonts w:ascii="Cambria Math" w:hAnsi="Cambria Math"/>
              </w:rPr>
              <m:t>c</m:t>
            </m:r>
          </m:e>
          <m:sup>
            <m:r>
              <w:rPr>
                <w:rFonts w:ascii="Cambria Math" w:hAnsi="Cambria Math"/>
              </w:rPr>
              <m:t>b</m:t>
            </m:r>
          </m:sup>
        </m:sSup>
      </m:oMath>
      <w:r>
        <w:t xml:space="preserve"> above the minimum regulatory capital requirement, funding liquidity </w:t>
      </w:r>
      <m:oMath>
        <m:r>
          <w:rPr>
            <w:rFonts w:ascii="Cambria Math" w:hAnsi="Cambria Math"/>
          </w:rPr>
          <m:t>λ</m:t>
        </m:r>
      </m:oMath>
      <w:r>
        <w:t xml:space="preserve"> and the liquidity buffer above minimum regulatory </w:t>
      </w:r>
      <w:r>
        <w:lastRenderedPageBreak/>
        <w:t xml:space="preserve">liquidity ratio (the NSF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can then be represented (with risk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as</w:t>
      </w:r>
    </w:p>
    <w:p w14:paraId="0B8594F5"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m:t>
                </m:r>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r>
                  <w:rPr>
                    <w:rFonts w:ascii="Cambria Math" w:hAnsi="Cambria Math"/>
                  </w:rPr>
                  <m:t>λ</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λ</m:t>
                    </m:r>
                  </m:e>
                  <m:sup>
                    <m:r>
                      <w:rPr>
                        <w:rFonts w:ascii="Cambria Math" w:hAnsi="Cambria Math"/>
                      </w:rPr>
                      <m:t>b</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1EB03CF1" w14:textId="77777777" w:rsidR="00370EF6" w:rsidRDefault="00D00CD1">
      <w:r>
        <w:t>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14:paraId="6A1EBD65" w14:textId="77777777" w:rsidR="00370EF6" w:rsidRDefault="00D00CD1">
      <w:pPr>
        <w:pStyle w:val="BodyText"/>
      </w:pPr>
      <w:r>
        <w:t xml:space="preserve">This implies that there is a desired target or market driven level of capitalisation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Similarly changing the composition of debt finance, for example attracting additional core deposits, is also costly, so while we can expect a desired level of liquidity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actual liquidity can depart from desired liquidity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w:t>
      </w:r>
    </w:p>
    <w:p w14:paraId="3854AF59" w14:textId="77777777" w:rsidR="00370EF6" w:rsidRDefault="00D00CD1">
      <w:pPr>
        <w:pStyle w:val="BodyText"/>
      </w:pPr>
      <w:r>
        <w:t xml:space="preserve">A </w:t>
      </w:r>
      <w:proofErr w:type="gramStart"/>
      <w:r>
        <w:t>further factors</w:t>
      </w:r>
      <w:proofErr w:type="gramEnd"/>
      <w:r>
        <w:t xml:space="preserve"> determining the desired capital buffer is the ‘charter’ or ‘franchise’ 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14:paraId="23D7B323" w14:textId="77777777" w:rsidR="00370EF6" w:rsidRDefault="00D00CD1">
      <w:pPr>
        <w:pStyle w:val="BodyText"/>
      </w:pPr>
      <w:r>
        <w:t xml:space="preserve">The observation of risk taking is critical because of the possibility of ‘moral hazard’, that if an institution can take high risks without a corresponding increase in the costs of debt finance then it may be induced to take deliberately high levels of risks that </w:t>
      </w:r>
      <w:r>
        <w:lastRenderedPageBreak/>
        <w:t>create value through ‘risk shifting’ i.e. transferring the costs of risk and resulting resolution from equity to debt holders. One insight from theoretical modelling of bank capital buffers [for example; Milne and Whalley (2002)] is that there are two potential qualitatively different solutions: one with a relatively high charter value, in which incentives for risk shifting are low and are dominated by the desire to preserve charter value, so there is as a result an ‘internal optimum’ with a high level of desired capital and relatively low levels of risk taking; the other with low charter value in which incentives for risk shifting dominate those for preservation of charter value, leading to a ‘corner solution’ in which capital buffers are maintained at very low levels and there are high levels of risk taking.</w:t>
      </w:r>
    </w:p>
    <w:p w14:paraId="25001C55" w14:textId="77777777" w:rsidR="00370EF6" w:rsidRDefault="00D00CD1">
      <w:pPr>
        <w:pStyle w:val="BodyText"/>
      </w:pPr>
      <w:r>
        <w:t>The overall cost of funding (</w:t>
      </w:r>
      <m:oMath>
        <m:r>
          <w:rPr>
            <w:rFonts w:ascii="Cambria Math" w:hAnsi="Cambria Math"/>
          </w:rPr>
          <m:t>ω</m:t>
        </m:r>
      </m:oMath>
      <w:r>
        <w:t>) will depend on the market rate of interest (</w:t>
      </w:r>
      <m:oMath>
        <m:r>
          <w:rPr>
            <w:rFonts w:ascii="Cambria Math" w:hAnsi="Cambria Math"/>
          </w:rPr>
          <m:t>r</m:t>
        </m:r>
      </m:oMath>
      <w:r>
        <w:t>), the departure between actual and desired bank capital and actual and desired liquidity:</w:t>
      </w:r>
    </w:p>
    <w:p w14:paraId="104BC1D2" w14:textId="77777777" w:rsidR="00370EF6" w:rsidRDefault="00D00CD1">
      <w:pPr>
        <w:pStyle w:val="BodyText"/>
      </w:pPr>
      <m:oMathPara>
        <m:oMathParaPr>
          <m:jc m:val="center"/>
        </m:oMathParaP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m:oMathPara>
    </w:p>
    <w:p w14:paraId="45576011" w14:textId="77777777" w:rsidR="00370EF6" w:rsidRDefault="00D00CD1">
      <w:r>
        <w:t xml:space="preserve">The consequence is that, according to this basic theory, the impact of a change in capital on the supply of lending is non-linear. The function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falls to a minimum </w:t>
      </w:r>
      <m:oMath>
        <m:r>
          <w:rPr>
            <w:rFonts w:ascii="Cambria Math" w:hAnsi="Cambria Math"/>
          </w:rPr>
          <m:t>γ</m:t>
        </m:r>
      </m:oMath>
      <w:r>
        <w:t xml:space="preserve"> when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at which point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γ</m:t>
        </m:r>
      </m:oMath>
      <w:r>
        <w:t xml:space="preserve"> (</w:t>
      </w:r>
      <m:oMath>
        <m:r>
          <w:rPr>
            <w:rFonts w:ascii="Cambria Math" w:hAnsi="Cambria Math"/>
          </w:rPr>
          <m:t>γ</m:t>
        </m:r>
      </m:oMath>
      <w:r>
        <w:t xml:space="preserve"> reflecting bank specific operational and other costs); but when capital falls or liquidity fall short of the target levels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then costs of funding rise and </w:t>
      </w:r>
      <m:oMath>
        <m:r>
          <w:rPr>
            <w:rFonts w:ascii="Cambria Math" w:hAnsi="Cambria Math"/>
          </w:rPr>
          <m:t>ω</m:t>
        </m:r>
        <m:r>
          <m:rPr>
            <m:sty m:val="p"/>
          </m:rPr>
          <w:rPr>
            <w:rFonts w:ascii="Cambria Math" w:hAnsi="Cambria Math"/>
          </w:rPr>
          <m:t>&gt;</m:t>
        </m:r>
        <m:r>
          <w:rPr>
            <w:rFonts w:ascii="Cambria Math" w:hAnsi="Cambria Math"/>
          </w:rPr>
          <m:t>r</m:t>
        </m:r>
        <m:r>
          <m:rPr>
            <m:sty m:val="p"/>
          </m:rPr>
          <w:rPr>
            <w:rFonts w:ascii="Cambria Math" w:hAnsi="Cambria Math"/>
          </w:rPr>
          <m:t>+</m:t>
        </m:r>
        <m:r>
          <w:rPr>
            <w:rFonts w:ascii="Cambria Math" w:hAnsi="Cambria Math"/>
          </w:rPr>
          <m:t>γ</m:t>
        </m:r>
      </m:oMath>
      <w:r>
        <w:t>.</w:t>
      </w:r>
    </w:p>
    <w:p w14:paraId="440D50A8" w14:textId="77777777" w:rsidR="00370EF6" w:rsidRDefault="00D00CD1">
      <w:pPr>
        <w:pStyle w:val="BodyText"/>
      </w:pPr>
      <w:r>
        <w:t xml:space="preserve">The extent to which a shortfall of capital or liquidity increases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is non-linear and we can expect the first and second derivatives to be signed as follows:</w:t>
      </w:r>
    </w:p>
    <w:p w14:paraId="4DDC06C3" w14:textId="77777777" w:rsidR="00370EF6" w:rsidRDefault="00D00CD1">
      <w:pPr>
        <w:pStyle w:val="BodyText"/>
      </w:pPr>
      <w:r>
        <w:t>These higher cost of funding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r>
          <m:rPr>
            <m:sty m:val="p"/>
          </m:rPr>
          <w:rPr>
            <w:rFonts w:ascii="Cambria Math" w:hAnsi="Cambria Math"/>
          </w:rPr>
          <m:t>&gt;</m:t>
        </m:r>
        <m:r>
          <w:rPr>
            <w:rFonts w:ascii="Cambria Math" w:hAnsi="Cambria Math"/>
          </w:rPr>
          <m:t>γ</m:t>
        </m:r>
      </m:oMath>
      <w:r>
        <w:t xml:space="preserve">) arise because of the costs of altering capital and liquidity towards their desired or target levels. </w:t>
      </w:r>
      <w:proofErr w:type="gramStart"/>
      <w:r>
        <w:t>Again</w:t>
      </w:r>
      <w:proofErr w:type="gramEnd"/>
      <w:r>
        <w:t xml:space="preserve"> there is a trade-off: the further capital or liquidity falls below target the more balance sheet </w:t>
      </w:r>
      <w:r>
        <w:lastRenderedPageBreak/>
        <w:t>resources are allocated to increasing capital and liquidity and the less to the funding of lending. We can expect the expected rate of accumulation of capital and liquidity to be (approximately) proportional to the marginal costs of reduced capital or liquidity</w:t>
      </w:r>
    </w:p>
    <w:p w14:paraId="0CFC367E" w14:textId="77777777" w:rsidR="00370EF6" w:rsidRDefault="00D00CD1">
      <w:pPr>
        <w:pStyle w:val="BodyText"/>
      </w:pPr>
      <m:oMathPara>
        <m:oMathParaPr>
          <m:jc m:val="center"/>
        </m:oMathParaP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λ</m:t>
              </m:r>
            </m:sub>
          </m:sSub>
        </m:oMath>
      </m:oMathPara>
    </w:p>
    <w:p w14:paraId="42C33679" w14:textId="77777777" w:rsidR="00370EF6" w:rsidRDefault="00D00CD1">
      <w:r>
        <w:t>and (employing a somewhat loose notation) the dynamic evolution of funding costs, capital and liquidity can be summarised as:</w:t>
      </w:r>
    </w:p>
    <w:p w14:paraId="560D8A5C" w14:textId="77777777" w:rsidR="00370EF6" w:rsidRDefault="00D00CD1">
      <w:pPr>
        <w:pStyle w:val="BodyText"/>
      </w:pPr>
      <w:r>
        <w:t xml:space="preserve">How are the costs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impacted by minimum capital and liquidity requirements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It is necessary to distinguish long term and short term impacts.</w:t>
      </w:r>
    </w:p>
    <w:p w14:paraId="6081D36C" w14:textId="77777777" w:rsidR="00370EF6" w:rsidRDefault="00D00CD1">
      <w:pPr>
        <w:pStyle w:val="BodyText"/>
      </w:pPr>
      <w:r>
        <w:t xml:space="preserve">Over the longer run the desired target of market level of capitalisation is increased but with a relatively small impacts on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 </w:t>
      </w:r>
      <w:proofErr w:type="spellStart"/>
      <w:r>
        <w:t>Hellwig</w:t>
      </w:r>
      <w:proofErr w:type="spellEnd"/>
      <w:r>
        <w:t xml:space="preserve"> and </w:t>
      </w:r>
      <w:proofErr w:type="spellStart"/>
      <w:r>
        <w:t>Admati</w:t>
      </w:r>
      <w:proofErr w:type="spellEnd"/>
      <w:r>
        <w:t xml:space="preserve"> (2014)].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14:paraId="6F98B491" w14:textId="77777777" w:rsidR="00370EF6" w:rsidRDefault="00D00CD1">
      <w:pPr>
        <w:pStyle w:val="BodyText"/>
      </w:pPr>
      <w:r>
        <w:t xml:space="preserve">If these buffers are independent of the regulatory minima i.e. if the desired capital and desired liquidity are determined by a fixed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and </w:t>
      </w:r>
      <m:oMath>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independently of the regulatory minima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so:</w:t>
      </w:r>
    </w:p>
    <w:p w14:paraId="505412D0"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4462A462" w14:textId="77777777" w:rsidR="00370EF6" w:rsidRDefault="00D00CD1">
      <w:r>
        <w:t xml:space="preserve">Over the longer run, once balance sheets have fully adjusted, </w:t>
      </w:r>
      <m:oMath>
        <m:r>
          <w:rPr>
            <w:rFonts w:ascii="Cambria Math" w:hAnsi="Cambria Math"/>
          </w:rPr>
          <m:t>c</m:t>
        </m:r>
      </m:oMath>
      <w:r>
        <w:t xml:space="preserve"> and </w:t>
      </w:r>
      <m:oMath>
        <m:r>
          <w:rPr>
            <w:rFonts w:ascii="Cambria Math" w:hAnsi="Cambria Math"/>
          </w:rPr>
          <m:t>λ</m:t>
        </m:r>
      </m:oMath>
      <w:r>
        <w:t xml:space="preserve"> increase in line with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and there is no impact on funding costs or credit supply.</w:t>
      </w:r>
    </w:p>
    <w:p w14:paraId="17490FE2" w14:textId="4125E0D8" w:rsidR="00370EF6" w:rsidRDefault="00D00CD1">
      <w:pPr>
        <w:pStyle w:val="BodyText"/>
      </w:pPr>
      <w:r>
        <w:lastRenderedPageBreak/>
        <w:t xml:space="preserve">This is not the entire story, even over the long run. Taxation may increase costs of debt relative to equity and hence raise minimum funding costs </w:t>
      </w:r>
      <m:oMath>
        <m:r>
          <w:rPr>
            <w:rFonts w:ascii="Cambria Math" w:hAnsi="Cambria Math"/>
          </w:rPr>
          <m:t>γ</m:t>
        </m:r>
      </m:oMath>
      <w:r>
        <w:t xml:space="preserve">. On the other hand – in the event of a breach of minimum capital or liquidity requirements – resolution may be less costly, avoiding for example protracted legal </w:t>
      </w:r>
      <w:proofErr w:type="gramStart"/>
      <w:r>
        <w:t>disputes,.</w:t>
      </w:r>
      <w:proofErr w:type="gramEnd"/>
      <w:r>
        <w:t xml:space="preserve"> In this case the desired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b</m:t>
                </m:r>
                <m:r>
                  <m:rPr>
                    <m:sty m:val="p"/>
                  </m:rPr>
                  <w:rPr>
                    <w:rFonts w:ascii="Cambria Math" w:hAnsi="Cambria Math"/>
                  </w:rPr>
                  <m:t>*</m:t>
                </m:r>
              </m:e>
            </m:d>
          </m:sup>
        </m:sSup>
      </m:oMath>
      <w:r>
        <w:t xml:space="preserve"> and minimum funding costs </w:t>
      </w:r>
      <m:oMath>
        <m:r>
          <w:rPr>
            <w:rFonts w:ascii="Cambria Math" w:hAnsi="Cambria Math"/>
          </w:rPr>
          <m:t>γ</m:t>
        </m:r>
      </m:oMath>
      <w:r>
        <w:t xml:space="preserve"> could be reduced by higher capital requirements. </w:t>
      </w:r>
      <w:proofErr w:type="gramStart"/>
      <w:r>
        <w:t>Thus</w:t>
      </w:r>
      <w:proofErr w:type="gramEnd"/>
      <w:r>
        <w:t xml:space="preserve"> both the sign and magnitude of the long run impact of minim</w:t>
      </w:r>
      <w:r w:rsidR="003627CE">
        <w:t>u</w:t>
      </w:r>
      <w:r>
        <w:t>m capital requirements is an empirical question. Since many factors will influence funding costs over the long run it is these are likely to be difficult to quantify empirically.</w:t>
      </w:r>
    </w:p>
    <w:p w14:paraId="68F30121" w14:textId="77777777" w:rsidR="00370EF6" w:rsidRDefault="00D00CD1">
      <w:pPr>
        <w:pStyle w:val="BodyText"/>
      </w:pPr>
      <w:r>
        <w:t xml:space="preserve">What the theory indicates is that these effects can be expected to </w:t>
      </w:r>
      <w:proofErr w:type="gramStart"/>
      <w:r>
        <w:t>be ,</w:t>
      </w:r>
      <w:proofErr w:type="gramEnd"/>
      <w:r>
        <w:t xml:space="preserve"> second order impacts, relatively smaller than the short-term impact of changing capital requirements arising when either:</w:t>
      </w:r>
    </w:p>
    <w:p w14:paraId="4D7F3963" w14:textId="77777777" w:rsidR="00370EF6" w:rsidRDefault="00D00CD1">
      <w:pPr>
        <w:pStyle w:val="BodyText"/>
      </w:pPr>
      <w:r>
        <w:t>leads to a fall in the buffers of capital and liquidity over their long run levels.</w:t>
      </w:r>
    </w:p>
    <w:p w14:paraId="24C9621C" w14:textId="77777777" w:rsidR="00370EF6" w:rsidRDefault="00D00CD1">
      <w:pPr>
        <w:pStyle w:val="BodyText"/>
      </w:pPr>
      <w:r>
        <w:t>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p w14:paraId="5CC58929" w14:textId="652F9E9A" w:rsidR="00370EF6" w:rsidRDefault="003627CE">
      <w:pPr>
        <w:pStyle w:val="Heading3"/>
      </w:pPr>
      <w:bookmarkStart w:id="13" w:name="implications-for-empirical-modelling"/>
      <w:bookmarkEnd w:id="12"/>
      <w:r>
        <w:t>A</w:t>
      </w:r>
      <w:r w:rsidR="00D00CD1">
        <w:t>.2</w:t>
      </w:r>
      <w:r w:rsidR="00D00CD1">
        <w:tab/>
        <w:t>Implications for empirical modelling</w:t>
      </w:r>
    </w:p>
    <w:p w14:paraId="212BE48E" w14:textId="77777777" w:rsidR="00370EF6" w:rsidRDefault="00D00CD1">
      <w:r>
        <w:t xml:space="preserve">This discussion of corporate finance and banking theory, leads to an insight that can be exploited empirically in estimating the impact of regulatory requirements on the supply of lending. The </w:t>
      </w:r>
      <w:proofErr w:type="gramStart"/>
      <w:r>
        <w:t>short term</w:t>
      </w:r>
      <w:proofErr w:type="gramEnd"/>
      <w:r>
        <w:t xml:space="preserve">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14:paraId="2BEBDC53" w14:textId="77777777" w:rsidR="00370EF6" w:rsidRDefault="00D00CD1">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w:t>
      </w:r>
      <w:r>
        <w:lastRenderedPageBreak/>
        <w:t>time series cyclically. Some banks may have relatively conservative business models seeking to avoid substantial portfolio tail risk and doing all they can to avoid potential financial distress; other business models may involve much greater risk taking. These 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14:paraId="12703399" w14:textId="77777777" w:rsidR="00370EF6" w:rsidRDefault="00D00CD1">
      <w:pPr>
        <w:pStyle w:val="BodyText"/>
      </w:pPr>
      <w:r>
        <w:t>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 (Calomiris and Kahn, 1991).</w:t>
      </w:r>
    </w:p>
    <w:p w14:paraId="75782715" w14:textId="77777777" w:rsidR="00370EF6" w:rsidRDefault="00D00CD1">
      <w:pPr>
        <w:pStyle w:val="BodyText"/>
      </w:pPr>
      <w:r>
        <w:t>Costs of debt renegotiation and corporate restructuring are more difficult to characterise, arising for several reasons including: (</w:t>
      </w:r>
      <w:proofErr w:type="spellStart"/>
      <w:r>
        <w:t>i</w:t>
      </w:r>
      <w:proofErr w:type="spellEnd"/>
      <w:r>
        <w:t xml:space="preserve">) the legal and administrative costs of valuing assets and assessing liabilities; (ii) the loss of value associated with finding purchasers of illiquid assets in ‘fire sales’ and (iii) resolution of conflicting claims in debt renegotiation or corporate restructuring; (iv) the loss of value from not continuing future value creating operations or selling them at a discount, what is referred to in the banking context as loss of ‘charter’ or ‘franchise’ value. Offsetting these costs, creating value for equity and debt holders, is the possibility of ‘risk shifting’ i.e. transferring losses onto third parties, </w:t>
      </w:r>
      <w:proofErr w:type="gramStart"/>
      <w:r>
        <w:t>in particular through</w:t>
      </w:r>
      <w:proofErr w:type="gramEnd"/>
      <w:r>
        <w:t xml:space="preserve"> government backed bailouts or deposit insurance arrangements.</w:t>
      </w:r>
    </w:p>
    <w:p w14:paraId="1D803ACE" w14:textId="77777777" w:rsidR="00370EF6" w:rsidRDefault="00D00CD1">
      <w:pPr>
        <w:pStyle w:val="BodyText"/>
      </w:pPr>
      <w:r>
        <w:t xml:space="preserve">A further factor magnifying the costs and reducing the supply of bank credit is opacity. </w:t>
      </w:r>
      <w:proofErr w:type="gramStart"/>
      <w:r>
        <w:t>As long as</w:t>
      </w:r>
      <w:proofErr w:type="gramEnd"/>
      <w:r>
        <w:t xml:space="preserve"> bank portfolio risks are understood by outside investors, then the marginal benefit of higher capitalisation depends only on the resulting reduction in the expected </w:t>
      </w:r>
      <w:r>
        <w:lastRenderedPageBreak/>
        <w:t>costs of debt renegotiation and corporate restructuring, not on the allocation of return on loans or other investment assets between debt and equity holders. Equity holders, in response to higher capitalisation, will require higher returns to compensate them for 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 ‘skin in the game’,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14:paraId="5B5CB325" w14:textId="77777777" w:rsidR="00370EF6" w:rsidRDefault="00D00CD1">
      <w:r>
        <w:br w:type="page"/>
      </w:r>
    </w:p>
    <w:p w14:paraId="0E518922" w14:textId="6EE45581" w:rsidR="00370EF6" w:rsidRDefault="003627CE">
      <w:pPr>
        <w:pStyle w:val="Heading2"/>
      </w:pPr>
      <w:bookmarkStart w:id="14" w:name="data-1"/>
      <w:bookmarkEnd w:id="11"/>
      <w:bookmarkEnd w:id="13"/>
      <w:r>
        <w:lastRenderedPageBreak/>
        <w:t>Appendix B</w:t>
      </w:r>
      <w:r w:rsidR="00D00CD1">
        <w:tab/>
        <w:t>Data</w:t>
      </w:r>
    </w:p>
    <w:p w14:paraId="69068609" w14:textId="48B134B7" w:rsidR="00370EF6" w:rsidRDefault="00D00CD1">
      <w:pPr>
        <w:pStyle w:val="TableCaption"/>
      </w:pPr>
      <w:r>
        <w:t xml:space="preserve">Table </w:t>
      </w:r>
      <w:r w:rsidR="00552550">
        <w:t>B</w:t>
      </w:r>
      <w:r>
        <w:t>.1: Data Sources</w:t>
      </w:r>
    </w:p>
    <w:tbl>
      <w:tblPr>
        <w:tblW w:w="5000" w:type="pct"/>
        <w:tblLook w:val="0420" w:firstRow="1" w:lastRow="0" w:firstColumn="0" w:lastColumn="0" w:noHBand="0" w:noVBand="1"/>
      </w:tblPr>
      <w:tblGrid>
        <w:gridCol w:w="816"/>
        <w:gridCol w:w="3882"/>
        <w:gridCol w:w="2162"/>
        <w:gridCol w:w="2191"/>
      </w:tblGrid>
      <w:tr w:rsidR="00370EF6" w14:paraId="755E16D1" w14:textId="77777777" w:rsidTr="00643442">
        <w:trPr>
          <w:tblHeader/>
        </w:trPr>
        <w:tc>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50F95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79371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Description</w:t>
            </w:r>
          </w:p>
        </w:tc>
        <w:tc>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84292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Availability</w:t>
            </w:r>
          </w:p>
        </w:tc>
        <w:tc>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CFCB2A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Source</w:t>
            </w:r>
          </w:p>
        </w:tc>
      </w:tr>
      <w:tr w:rsidR="00370EF6" w14:paraId="77CAC037" w14:textId="77777777" w:rsidTr="00643442">
        <w:tc>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9E369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BA900</w:t>
            </w:r>
          </w:p>
        </w:tc>
        <w:tc>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A09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balance sheet data at a bank level</w:t>
            </w:r>
          </w:p>
        </w:tc>
        <w:tc>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386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F79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2F68CA8C"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3CEF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BA930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B13CB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lending rates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71F88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7A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3E22C33F"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F3C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Controls</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2F98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performance data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3800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5244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2BB3D2B0"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92C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GDP</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1D9B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Nominal gross domestic product</w:t>
            </w:r>
            <w:r>
              <w:rPr>
                <w:rFonts w:eastAsia="Helvetica" w:hAnsi="Helvetica" w:cs="Helvetica"/>
                <w:color w:val="000000"/>
                <w:sz w:val="16"/>
                <w:szCs w:val="16"/>
              </w:rPr>
              <w:br/>
              <w:t>in a calendar year</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E7EA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0F51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Statistics South Africa</w:t>
            </w:r>
          </w:p>
        </w:tc>
      </w:tr>
      <w:tr w:rsidR="00370EF6" w14:paraId="3EDB40F5"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A668B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BA700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C89A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Regulatory capital buffer requirements</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99C9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C92D4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16847D39" w14:textId="77777777" w:rsidTr="00643442">
        <w:tc>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C57BF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Repo rate</w:t>
            </w:r>
          </w:p>
        </w:tc>
        <w:tc>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D479EE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Policy rate of the South African Reserve Bank</w:t>
            </w:r>
          </w:p>
        </w:tc>
        <w:tc>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A88C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0227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bl>
    <w:p w14:paraId="189DE9F3" w14:textId="77777777" w:rsidR="00643442" w:rsidRDefault="00643442">
      <w:pPr>
        <w:pStyle w:val="TableCaption"/>
        <w:sectPr w:rsidR="00643442" w:rsidSect="00EC5667">
          <w:footnotePr>
            <w:numFmt w:val="chicago"/>
            <w:numRestart w:val="eachSect"/>
          </w:footnotePr>
          <w:pgSz w:w="11907" w:h="16840" w:code="9"/>
          <w:pgMar w:top="1418" w:right="1418" w:bottom="1418" w:left="1418" w:header="720" w:footer="720" w:gutter="0"/>
          <w:cols w:space="720"/>
          <w:docGrid w:linePitch="326"/>
        </w:sectPr>
      </w:pPr>
    </w:p>
    <w:p w14:paraId="5D034894" w14:textId="51403E40" w:rsidR="00370EF6" w:rsidRDefault="00D00CD1">
      <w:pPr>
        <w:pStyle w:val="TableCaption"/>
      </w:pPr>
      <w:r>
        <w:lastRenderedPageBreak/>
        <w:t xml:space="preserve">Table </w:t>
      </w:r>
      <w:r w:rsidR="00552550">
        <w:t>B</w:t>
      </w:r>
      <w:r>
        <w:t>.2: Data Description</w:t>
      </w:r>
    </w:p>
    <w:tbl>
      <w:tblPr>
        <w:tblW w:w="5000" w:type="pct"/>
        <w:tblLook w:val="0420" w:firstRow="1" w:lastRow="0" w:firstColumn="0" w:lastColumn="0" w:noHBand="0" w:noVBand="1"/>
      </w:tblPr>
      <w:tblGrid>
        <w:gridCol w:w="2381"/>
        <w:gridCol w:w="4742"/>
        <w:gridCol w:w="1162"/>
        <w:gridCol w:w="2841"/>
        <w:gridCol w:w="1929"/>
        <w:gridCol w:w="929"/>
      </w:tblGrid>
      <w:tr w:rsidR="00370EF6" w:rsidRPr="00EC5667" w14:paraId="64A7A690" w14:textId="77777777" w:rsidTr="00643442">
        <w:trPr>
          <w:tblHeader/>
        </w:trPr>
        <w:tc>
          <w:tcPr>
            <w:tcW w:w="85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204338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Variable Description</w:t>
            </w:r>
          </w:p>
        </w:tc>
        <w:tc>
          <w:tcPr>
            <w:tcW w:w="170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38984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Data Description</w:t>
            </w:r>
          </w:p>
        </w:tc>
        <w:tc>
          <w:tcPr>
            <w:tcW w:w="4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435DEE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Measure</w:t>
            </w:r>
          </w:p>
        </w:tc>
        <w:tc>
          <w:tcPr>
            <w:tcW w:w="10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1B48C2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Cross-section</w:t>
            </w:r>
          </w:p>
        </w:tc>
        <w:tc>
          <w:tcPr>
            <w:tcW w:w="69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72486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Sample</w:t>
            </w:r>
          </w:p>
        </w:tc>
        <w:tc>
          <w:tcPr>
            <w:tcW w:w="294"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5172A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Frequency</w:t>
            </w:r>
          </w:p>
        </w:tc>
      </w:tr>
      <w:tr w:rsidR="00370EF6" w:rsidRPr="00EC5667" w14:paraId="13C27453" w14:textId="77777777" w:rsidTr="00643442">
        <w:tc>
          <w:tcPr>
            <w:tcW w:w="85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ADC9D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Loans by lending category and bank</w:t>
            </w:r>
          </w:p>
        </w:tc>
        <w:tc>
          <w:tcPr>
            <w:tcW w:w="170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C25FE2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900 data on bank level credit at a monthly frequency. </w:t>
            </w:r>
            <w:r w:rsidRPr="00EC5667">
              <w:rPr>
                <w:rFonts w:eastAsia="Helvetica" w:hAnsi="Helvetica" w:cs="Helvetica"/>
                <w:color w:val="000000"/>
                <w:sz w:val="15"/>
                <w:szCs w:val="15"/>
              </w:rPr>
              <w:br/>
              <w:t xml:space="preserve">We have summarised to six lending categories: </w:t>
            </w:r>
            <w:r w:rsidRPr="00EC5667">
              <w:rPr>
                <w:rFonts w:eastAsia="Helvetica" w:hAnsi="Helvetica" w:cs="Helvetica"/>
                <w:color w:val="000000"/>
                <w:sz w:val="15"/>
                <w:szCs w:val="15"/>
              </w:rPr>
              <w:br/>
              <w:t xml:space="preserve">Household secured credit, Household unsecured credit, Household residential mortgages, </w:t>
            </w:r>
            <w:r w:rsidRPr="00EC5667">
              <w:rPr>
                <w:rFonts w:eastAsia="Helvetica" w:hAnsi="Helvetica" w:cs="Helvetica"/>
                <w:color w:val="000000"/>
                <w:sz w:val="15"/>
                <w:szCs w:val="15"/>
              </w:rPr>
              <w:br/>
            </w:r>
            <w:proofErr w:type="spellStart"/>
            <w:proofErr w:type="gramStart"/>
            <w:r w:rsidRPr="00EC5667">
              <w:rPr>
                <w:rFonts w:eastAsia="Helvetica" w:hAnsi="Helvetica" w:cs="Helvetica"/>
                <w:color w:val="000000"/>
                <w:sz w:val="15"/>
                <w:szCs w:val="15"/>
              </w:rPr>
              <w:t>Non financial</w:t>
            </w:r>
            <w:proofErr w:type="spellEnd"/>
            <w:proofErr w:type="gramEnd"/>
            <w:r w:rsidRPr="00EC5667">
              <w:rPr>
                <w:rFonts w:eastAsia="Helvetica" w:hAnsi="Helvetica" w:cs="Helvetica"/>
                <w:color w:val="000000"/>
                <w:sz w:val="15"/>
                <w:szCs w:val="15"/>
              </w:rPr>
              <w:t xml:space="preserve"> sector secured credit, </w:t>
            </w:r>
            <w:proofErr w:type="spellStart"/>
            <w:r w:rsidRPr="00EC5667">
              <w:rPr>
                <w:rFonts w:eastAsia="Helvetica" w:hAnsi="Helvetica" w:cs="Helvetica"/>
                <w:color w:val="000000"/>
                <w:sz w:val="15"/>
                <w:szCs w:val="15"/>
              </w:rPr>
              <w:t>Non financial</w:t>
            </w:r>
            <w:proofErr w:type="spellEnd"/>
            <w:r w:rsidRPr="00EC5667">
              <w:rPr>
                <w:rFonts w:eastAsia="Helvetica" w:hAnsi="Helvetica" w:cs="Helvetica"/>
                <w:color w:val="000000"/>
                <w:sz w:val="15"/>
                <w:szCs w:val="15"/>
              </w:rPr>
              <w:t xml:space="preserve"> sector unsecured credit, </w:t>
            </w:r>
            <w:r w:rsidRPr="00EC5667">
              <w:rPr>
                <w:rFonts w:eastAsia="Helvetica" w:hAnsi="Helvetica" w:cs="Helvetica"/>
                <w:color w:val="000000"/>
                <w:sz w:val="15"/>
                <w:szCs w:val="15"/>
              </w:rPr>
              <w:br/>
              <w:t xml:space="preserve">and </w:t>
            </w:r>
            <w:proofErr w:type="spellStart"/>
            <w:r w:rsidRPr="00EC5667">
              <w:rPr>
                <w:rFonts w:eastAsia="Helvetica" w:hAnsi="Helvetica" w:cs="Helvetica"/>
                <w:color w:val="000000"/>
                <w:sz w:val="15"/>
                <w:szCs w:val="15"/>
              </w:rPr>
              <w:t>Non financial</w:t>
            </w:r>
            <w:proofErr w:type="spellEnd"/>
            <w:r w:rsidRPr="00EC5667">
              <w:rPr>
                <w:rFonts w:eastAsia="Helvetica" w:hAnsi="Helvetica" w:cs="Helvetica"/>
                <w:color w:val="000000"/>
                <w:sz w:val="15"/>
                <w:szCs w:val="15"/>
              </w:rPr>
              <w:t xml:space="preserve"> sector mortgages as explain in Section 8.2.</w:t>
            </w:r>
          </w:p>
        </w:tc>
        <w:tc>
          <w:tcPr>
            <w:tcW w:w="4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94C47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42B57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38901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November 2022</w:t>
            </w:r>
          </w:p>
        </w:tc>
        <w:tc>
          <w:tcPr>
            <w:tcW w:w="294"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FB9C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E8EEF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F550E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Lending rate by lending category and bank</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2D752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930 data on bank level lending rates at a monthly frequency. </w:t>
            </w:r>
            <w:r w:rsidRPr="00EC5667">
              <w:rPr>
                <w:rFonts w:eastAsia="Helvetica" w:hAnsi="Helvetica" w:cs="Helvetica"/>
                <w:color w:val="000000"/>
                <w:sz w:val="15"/>
                <w:szCs w:val="15"/>
              </w:rPr>
              <w:br/>
              <w:t xml:space="preserve">Lending rates are defined as the weighted average rate </w:t>
            </w:r>
            <w:r w:rsidRPr="00EC5667">
              <w:rPr>
                <w:rFonts w:eastAsia="Helvetica" w:hAnsi="Helvetica" w:cs="Helvetica"/>
                <w:color w:val="000000"/>
                <w:sz w:val="15"/>
                <w:szCs w:val="15"/>
              </w:rPr>
              <w:br/>
              <w:t xml:space="preserve">by lending category. These were also summarised into the </w:t>
            </w:r>
            <w:r w:rsidRPr="00EC5667">
              <w:rPr>
                <w:rFonts w:eastAsia="Helvetica" w:hAnsi="Helvetica" w:cs="Helvetica"/>
                <w:color w:val="000000"/>
                <w:sz w:val="15"/>
                <w:szCs w:val="15"/>
              </w:rPr>
              <w:br/>
              <w:t>same six lending categories as shown in Section 8.2.</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F4574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4E6C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7468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2012 to June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96CC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1E175362"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9724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buffer</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62EE5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Aggregate amount of qualifying capital and </w:t>
            </w:r>
            <w:r w:rsidRPr="00EC5667">
              <w:rPr>
                <w:rFonts w:eastAsia="Helvetica" w:hAnsi="Helvetica" w:cs="Helvetica"/>
                <w:color w:val="000000"/>
                <w:sz w:val="15"/>
                <w:szCs w:val="15"/>
              </w:rPr>
              <w:br/>
              <w:t>reserve funds less minimum required capital and reserve funds.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5EA92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8CB27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A80D0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0962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7F2E7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FE68F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requirement</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2F08B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Basel III required level of capital as a percentage of risk-weighted assets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66E680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992DE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1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A36F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184EB58"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B80C9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Repo rate</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C8F8F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South African Reserve Bank policy rate</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040754"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99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5B2E9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February 2021</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17578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8918FC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4575F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GDP</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CC881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Nominal gross domestic product.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E772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7E23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1E39A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March 2008 to March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96002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proofErr w:type="spellStart"/>
            <w:r w:rsidRPr="00EC5667">
              <w:rPr>
                <w:rFonts w:eastAsia="Helvetica" w:hAnsi="Helvetica" w:cs="Helvetica"/>
                <w:color w:val="000000"/>
                <w:sz w:val="15"/>
                <w:szCs w:val="15"/>
              </w:rPr>
              <w:t>Quartely</w:t>
            </w:r>
            <w:proofErr w:type="spellEnd"/>
          </w:p>
        </w:tc>
      </w:tr>
      <w:tr w:rsidR="00370EF6" w:rsidRPr="00EC5667" w14:paraId="139DA954" w14:textId="77777777" w:rsidTr="00643442">
        <w:tc>
          <w:tcPr>
            <w:tcW w:w="85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464997" w14:textId="166BE7FF"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Bank level </w:t>
            </w:r>
            <w:r w:rsidR="00EC5667" w:rsidRPr="00EC5667">
              <w:rPr>
                <w:rFonts w:eastAsia="Helvetica" w:hAnsi="Helvetica" w:cs="Helvetica"/>
                <w:color w:val="000000"/>
                <w:sz w:val="15"/>
                <w:szCs w:val="15"/>
              </w:rPr>
              <w:t>performance</w:t>
            </w:r>
            <w:r w:rsidRPr="00EC5667">
              <w:rPr>
                <w:rFonts w:eastAsia="Helvetica" w:hAnsi="Helvetica" w:cs="Helvetica"/>
                <w:color w:val="000000"/>
                <w:sz w:val="15"/>
                <w:szCs w:val="15"/>
              </w:rPr>
              <w:t xml:space="preserve"> metrics</w:t>
            </w:r>
          </w:p>
        </w:tc>
        <w:tc>
          <w:tcPr>
            <w:tcW w:w="170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A8226C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The following are bank </w:t>
            </w:r>
            <w:proofErr w:type="spellStart"/>
            <w:r w:rsidRPr="00EC5667">
              <w:rPr>
                <w:rFonts w:eastAsia="Helvetica" w:hAnsi="Helvetica" w:cs="Helvetica"/>
                <w:color w:val="000000"/>
                <w:sz w:val="15"/>
                <w:szCs w:val="15"/>
              </w:rPr>
              <w:t>perfomance</w:t>
            </w:r>
            <w:proofErr w:type="spellEnd"/>
            <w:r w:rsidRPr="00EC5667">
              <w:rPr>
                <w:rFonts w:eastAsia="Helvetica" w:hAnsi="Helvetica" w:cs="Helvetica"/>
                <w:color w:val="000000"/>
                <w:sz w:val="15"/>
                <w:szCs w:val="15"/>
              </w:rPr>
              <w:t xml:space="preserve"> metrics are include in the data: </w:t>
            </w:r>
            <w:r w:rsidRPr="00EC5667">
              <w:rPr>
                <w:rFonts w:eastAsia="Helvetica" w:hAnsi="Helvetica" w:cs="Helvetica"/>
                <w:color w:val="000000"/>
                <w:sz w:val="15"/>
                <w:szCs w:val="15"/>
              </w:rPr>
              <w:br/>
              <w:t>total assets, gross loan advances, retained earnings,</w:t>
            </w:r>
            <w:r w:rsidRPr="00EC5667">
              <w:rPr>
                <w:rFonts w:eastAsia="Helvetica" w:hAnsi="Helvetica" w:cs="Helvetica"/>
                <w:color w:val="000000"/>
                <w:sz w:val="15"/>
                <w:szCs w:val="15"/>
              </w:rPr>
              <w:br/>
              <w:t xml:space="preserve">net interest income (12 months), level one high-quality liquid assets required to be held, </w:t>
            </w:r>
            <w:r w:rsidRPr="00EC5667">
              <w:rPr>
                <w:rFonts w:eastAsia="Helvetica" w:hAnsi="Helvetica" w:cs="Helvetica"/>
                <w:color w:val="000000"/>
                <w:sz w:val="15"/>
                <w:szCs w:val="15"/>
              </w:rPr>
              <w:br/>
              <w:t xml:space="preserve">average daily amount of level one high-quality liquid assets held up to </w:t>
            </w:r>
            <w:r w:rsidRPr="00EC5667">
              <w:rPr>
                <w:rFonts w:eastAsia="Helvetica" w:hAnsi="Helvetica" w:cs="Helvetica"/>
                <w:color w:val="000000"/>
                <w:sz w:val="15"/>
                <w:szCs w:val="15"/>
              </w:rPr>
              <w:br/>
              <w:t xml:space="preserve">fourteenth business day of the month following the month to which this return relates, </w:t>
            </w:r>
            <w:r w:rsidRPr="00EC5667">
              <w:rPr>
                <w:rFonts w:eastAsia="Helvetica" w:hAnsi="Helvetica" w:cs="Helvetica"/>
                <w:color w:val="000000"/>
                <w:sz w:val="15"/>
                <w:szCs w:val="15"/>
              </w:rPr>
              <w:br/>
              <w:t xml:space="preserve">aggregate risk weighted exposure, return on equity, return on assets, </w:t>
            </w:r>
            <w:r w:rsidRPr="00EC5667">
              <w:rPr>
                <w:rFonts w:eastAsia="Helvetica" w:hAnsi="Helvetica" w:cs="Helvetica"/>
                <w:color w:val="000000"/>
                <w:sz w:val="15"/>
                <w:szCs w:val="15"/>
              </w:rPr>
              <w:br/>
              <w:t>total capital adequacy ratio, and leverage ratio.</w:t>
            </w:r>
          </w:p>
        </w:tc>
        <w:tc>
          <w:tcPr>
            <w:tcW w:w="4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E179DE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 and percent</w:t>
            </w:r>
          </w:p>
        </w:tc>
        <w:tc>
          <w:tcPr>
            <w:tcW w:w="10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B11846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123DD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2022</w:t>
            </w:r>
          </w:p>
        </w:tc>
        <w:tc>
          <w:tcPr>
            <w:tcW w:w="294"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8DA23D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bl>
    <w:p w14:paraId="7958C695" w14:textId="77777777" w:rsidR="00AE6F56" w:rsidRDefault="00AE6F56">
      <w:pPr>
        <w:pStyle w:val="Heading2"/>
        <w:sectPr w:rsidR="00AE6F56" w:rsidSect="00643442">
          <w:footnotePr>
            <w:numFmt w:val="chicago"/>
            <w:numRestart w:val="eachSect"/>
          </w:footnotePr>
          <w:pgSz w:w="16840" w:h="11907" w:orient="landscape" w:code="9"/>
          <w:pgMar w:top="1418" w:right="1418" w:bottom="1418" w:left="1418" w:header="720" w:footer="720" w:gutter="0"/>
          <w:cols w:space="720"/>
          <w:docGrid w:linePitch="326"/>
        </w:sectPr>
      </w:pPr>
      <w:bookmarkStart w:id="15" w:name="lending-rates-ba930s"/>
      <w:bookmarkEnd w:id="14"/>
    </w:p>
    <w:p w14:paraId="04E902C3" w14:textId="28A0FB10" w:rsidR="00370EF6" w:rsidRDefault="00DB6EB3">
      <w:pPr>
        <w:pStyle w:val="Heading2"/>
      </w:pPr>
      <w:r>
        <w:lastRenderedPageBreak/>
        <w:t>B</w:t>
      </w:r>
      <w:r w:rsidR="00D00CD1">
        <w:t>.3</w:t>
      </w:r>
      <w:r w:rsidR="00D00CD1">
        <w:tab/>
        <w:t>Lending rates (BA930s)</w:t>
      </w:r>
    </w:p>
    <w:p w14:paraId="7A1BB48C" w14:textId="77777777" w:rsidR="00370EF6" w:rsidRDefault="00D00CD1">
      <w:r>
        <w:rPr>
          <w:noProof/>
          <w:lang w:eastAsia="en-GB"/>
        </w:rPr>
        <w:drawing>
          <wp:inline distT="0" distB="0" distL="0" distR="0" wp14:anchorId="3B8FB999" wp14:editId="63948893">
            <wp:extent cx="4683114" cy="4240742"/>
            <wp:effectExtent l="0" t="0" r="3810" b="1270"/>
            <wp:docPr id="62" name="Picture 62" descr="Figure 7.1: Lending Rates. Source: South African Reserve Bank (2022)"/>
            <wp:cNvGraphicFramePr/>
            <a:graphic xmlns:a="http://schemas.openxmlformats.org/drawingml/2006/main">
              <a:graphicData uri="http://schemas.openxmlformats.org/drawingml/2006/picture">
                <pic:pic xmlns:pic="http://schemas.openxmlformats.org/drawingml/2006/picture">
                  <pic:nvPicPr>
                    <pic:cNvPr id="63" name="Picture" descr="Bank_capital_and_bank_lending_files/figure-docx/lending-1.png"/>
                    <pic:cNvPicPr>
                      <a:picLocks noChangeAspect="1" noChangeArrowheads="1"/>
                    </pic:cNvPicPr>
                  </pic:nvPicPr>
                  <pic:blipFill>
                    <a:blip r:embed="rId17"/>
                    <a:stretch>
                      <a:fillRect/>
                    </a:stretch>
                  </pic:blipFill>
                  <pic:spPr bwMode="auto">
                    <a:xfrm>
                      <a:off x="0" y="0"/>
                      <a:ext cx="4684426" cy="4241930"/>
                    </a:xfrm>
                    <a:prstGeom prst="rect">
                      <a:avLst/>
                    </a:prstGeom>
                    <a:noFill/>
                    <a:ln w="9525">
                      <a:noFill/>
                      <a:headEnd/>
                      <a:tailEnd/>
                    </a:ln>
                  </pic:spPr>
                </pic:pic>
              </a:graphicData>
            </a:graphic>
          </wp:inline>
        </w:drawing>
      </w:r>
    </w:p>
    <w:p w14:paraId="13EA6A87" w14:textId="42CC582C" w:rsidR="00AE6F56" w:rsidRDefault="00D00CD1">
      <w:r>
        <w:t xml:space="preserve">Figure </w:t>
      </w:r>
      <w:r w:rsidR="00552550">
        <w:t>B</w:t>
      </w:r>
      <w:r>
        <w:t>.1: Lending Rates. Source: South African Reserve Bank (2022)</w:t>
      </w:r>
    </w:p>
    <w:p w14:paraId="772E1EAA" w14:textId="7856291A" w:rsidR="00370EF6" w:rsidRDefault="00AE6F56" w:rsidP="00AE6F56">
      <w:pPr>
        <w:widowControl/>
        <w:tabs>
          <w:tab w:val="clear" w:pos="170"/>
        </w:tabs>
        <w:autoSpaceDE/>
        <w:autoSpaceDN/>
        <w:spacing w:after="160" w:line="259" w:lineRule="auto"/>
        <w:jc w:val="left"/>
      </w:pPr>
      <w:r>
        <w:br w:type="page"/>
      </w:r>
    </w:p>
    <w:p w14:paraId="230586B3" w14:textId="345F7523" w:rsidR="00370EF6" w:rsidRDefault="00C85D1F">
      <w:pPr>
        <w:pStyle w:val="Heading2"/>
      </w:pPr>
      <w:bookmarkStart w:id="16" w:name="aggregation"/>
      <w:bookmarkEnd w:id="15"/>
      <w:r>
        <w:lastRenderedPageBreak/>
        <w:t>B</w:t>
      </w:r>
      <w:r w:rsidR="00D00CD1">
        <w:t>.4</w:t>
      </w:r>
      <w:r w:rsidR="00D00CD1">
        <w:tab/>
        <w:t>Aggregation schema</w:t>
      </w:r>
    </w:p>
    <w:p w14:paraId="260D49B6" w14:textId="77777777" w:rsidR="00370EF6" w:rsidRDefault="00D00CD1">
      <w:r>
        <w:t>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14:paraId="66D185EF" w14:textId="4D1DA1CC" w:rsidR="00370EF6" w:rsidRDefault="00D00CD1">
      <w:pPr>
        <w:pStyle w:val="TableCaption"/>
      </w:pPr>
      <w:r>
        <w:t xml:space="preserve">Table </w:t>
      </w:r>
      <w:r w:rsidR="00C85D1F">
        <w:t>B</w:t>
      </w:r>
      <w:r>
        <w:t>.3: Aggregation schema</w:t>
      </w:r>
    </w:p>
    <w:tbl>
      <w:tblPr>
        <w:tblW w:w="0" w:type="auto"/>
        <w:tblLook w:val="0420" w:firstRow="1" w:lastRow="0" w:firstColumn="0" w:lastColumn="0" w:noHBand="0" w:noVBand="1"/>
      </w:tblPr>
      <w:tblGrid>
        <w:gridCol w:w="2349"/>
        <w:gridCol w:w="1087"/>
        <w:gridCol w:w="4263"/>
        <w:gridCol w:w="1352"/>
      </w:tblGrid>
      <w:tr w:rsidR="00370EF6" w14:paraId="40BB648E" w14:textId="77777777" w:rsidTr="00EC5667">
        <w:trPr>
          <w:tblHeader/>
        </w:trPr>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0C123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900 Categories</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D23B3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DAA28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3DE42F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Aggregation Key</w:t>
            </w:r>
          </w:p>
        </w:tc>
      </w:tr>
      <w:tr w:rsidR="00370EF6" w14:paraId="142F6591" w14:textId="77777777" w:rsidTr="00EC5667">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0D74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r>
              <w:rPr>
                <w:rFonts w:eastAsia="Helvetica" w:hAnsi="Helvetica" w:cs="Helvetica"/>
                <w:color w:val="000000"/>
                <w:sz w:val="16"/>
                <w:szCs w:val="16"/>
              </w:rPr>
              <w:t>Installment</w:t>
            </w:r>
            <w:proofErr w:type="spellEnd"/>
            <w:r>
              <w:rPr>
                <w:rFonts w:eastAsia="Helvetica" w:hAnsi="Helvetica" w:cs="Helvetica"/>
                <w:color w:val="000000"/>
                <w:sz w:val="16"/>
                <w:szCs w:val="16"/>
              </w:rPr>
              <w:t xml:space="preserve"> sales</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30AA5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141</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039A5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456B3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B815F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828D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22BC2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9929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D899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EACB2C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27773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166E5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942A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5AFF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0E57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4706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6861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5E31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9E59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2A2FBB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302D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60F49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94145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DB6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4D434D6"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9FA91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26E3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E306B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851DC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A5911D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FBAB8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F0B7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A9947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B0FF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37EF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0ED7F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7F538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B3479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CF44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7B9B835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F3A1F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Farm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A894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15A3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3F89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62A39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0B9C6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7C84A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FA7F1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EB8A6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B6FCBFA"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FF4FD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A6B60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A2435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FD88A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C042EE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F10B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Residential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F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B9852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3597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150542C0"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91C1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0801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87A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BF254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3ED94D9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DE773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8FA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8C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256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55A65D3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8313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Commercial and other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9931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FD54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8FBF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83B716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52090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11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68D6A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FF67B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DDC72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7B9CD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DD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40A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financial corporate</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C41EC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B4A9F6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0F854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F6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83EA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C7F6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28F921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2B30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2BB1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4FA7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D26C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7A966AD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E54B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91864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9CC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78E2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13FAB47"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EB8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lastRenderedPageBreak/>
              <w:t>Credit cards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39247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9E3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D569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69FB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9AA73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D124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A8374A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1F0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0A6EEF04"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F4C8C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C7C9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9A22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32F1B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0A877F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42C8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BCA96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BBD26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2826D5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41239A0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034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BFB7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ED31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sector (includes public corporations and local government)</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9739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3DCB6D8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D7FCD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0BB4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0CD82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CE13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2F85E39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367BD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3A85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702C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D16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2B0B22E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785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960B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5414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A571C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163597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47E86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AC10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F5C7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Pr>
                <w:rFonts w:eastAsia="Helvetica" w:hAnsi="Helvetica" w:cs="Helvetica"/>
                <w:color w:val="000000"/>
                <w:sz w:val="16"/>
                <w:szCs w:val="16"/>
              </w:rPr>
              <w:t>Other</w:t>
            </w:r>
            <w:proofErr w:type="gramEnd"/>
            <w:r>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8F60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B91AF5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6B768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AF0C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7FAD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3190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7AF9839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013F6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Factoring debtors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EA2A4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5F50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7545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1E77436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B1EF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loans and advances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209A9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D856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7D06B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D83E1C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61340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1710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DCD09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3A88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7971E9"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653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CF6F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FB4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9A09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C4E535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13DB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CC930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3094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Pr>
                <w:rFonts w:eastAsia="Helvetica" w:hAnsi="Helvetica" w:cs="Helvetica"/>
                <w:color w:val="000000"/>
                <w:sz w:val="16"/>
                <w:szCs w:val="16"/>
              </w:rPr>
              <w:t>Other</w:t>
            </w:r>
            <w:proofErr w:type="gramEnd"/>
            <w:r>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AAFA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0FE00D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DF38E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592F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33B9F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710C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875C85" w14:textId="77777777" w:rsidTr="00EC5667">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B72D9C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01863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2B113E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54AD4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r>
    </w:tbl>
    <w:p w14:paraId="70F55D37" w14:textId="77777777" w:rsidR="00370EF6" w:rsidRDefault="00D00CD1">
      <w:pPr>
        <w:pStyle w:val="BodyText"/>
      </w:pPr>
      <w:r>
        <w:t>The following aggregation scheme which results in six categories was followed based on Table 7.3, with unincorporated enterprise credit as part of household unsecured lending.</w:t>
      </w:r>
    </w:p>
    <w:p w14:paraId="1005ED69" w14:textId="77777777" w:rsidR="00370EF6" w:rsidRDefault="00D00CD1">
      <w:pPr>
        <w:numPr>
          <w:ilvl w:val="0"/>
          <w:numId w:val="17"/>
        </w:numPr>
      </w:pPr>
      <w:r>
        <w:t>Non-financial corporate sector secured credit: Items 142 + 147</w:t>
      </w:r>
    </w:p>
    <w:p w14:paraId="4E71944F" w14:textId="77777777" w:rsidR="00370EF6" w:rsidRDefault="00D00CD1">
      <w:pPr>
        <w:numPr>
          <w:ilvl w:val="0"/>
          <w:numId w:val="17"/>
        </w:numPr>
      </w:pPr>
      <w:r>
        <w:t>Non-financial corporate sector unsecured credit: Items 168 + 182 + 187+ 190</w:t>
      </w:r>
    </w:p>
    <w:p w14:paraId="76537941" w14:textId="77777777" w:rsidR="00370EF6" w:rsidRDefault="00D00CD1">
      <w:pPr>
        <w:numPr>
          <w:ilvl w:val="0"/>
          <w:numId w:val="17"/>
        </w:numPr>
      </w:pPr>
      <w:r>
        <w:t>Non-financial corporate sector mortgages (commercial and other mortgage advances): Items 152 + 153 + 154 + 156 + 158 + 163 + 164 + 165</w:t>
      </w:r>
    </w:p>
    <w:p w14:paraId="7B5FBBA7" w14:textId="77777777" w:rsidR="00370EF6" w:rsidRDefault="00D00CD1" w:rsidP="00AE6F56">
      <w:pPr>
        <w:numPr>
          <w:ilvl w:val="0"/>
          <w:numId w:val="17"/>
        </w:numPr>
        <w:jc w:val="left"/>
      </w:pPr>
      <w:r>
        <w:t>Household sector secured credit: Items 143 + 148</w:t>
      </w:r>
      <w:r>
        <w:br/>
      </w:r>
    </w:p>
    <w:p w14:paraId="22AEFE6A" w14:textId="77777777" w:rsidR="00370EF6" w:rsidRDefault="00D00CD1">
      <w:pPr>
        <w:numPr>
          <w:ilvl w:val="0"/>
          <w:numId w:val="17"/>
        </w:numPr>
      </w:pPr>
      <w:r>
        <w:t>Household sector unsecured credit: Items 169 + 184 + 185 + 192 + 193 + 183 + 191 (note includes unincorporated business enterprise credit last two items)</w:t>
      </w:r>
    </w:p>
    <w:p w14:paraId="2E62EF04" w14:textId="77777777" w:rsidR="00370EF6" w:rsidRDefault="00D00CD1">
      <w:pPr>
        <w:numPr>
          <w:ilvl w:val="0"/>
          <w:numId w:val="17"/>
        </w:numPr>
      </w:pPr>
      <w:r>
        <w:t>Household sector residential mortgages: Item 157</w:t>
      </w:r>
    </w:p>
    <w:p w14:paraId="2478435F" w14:textId="77777777" w:rsidR="00370EF6" w:rsidRDefault="00D00CD1">
      <w:r>
        <w:t>The loans quantities from the BA900s are then linked to the lending rate data from the BA930s using table to create six lending rate categories the schema on Table 7.4.</w:t>
      </w:r>
    </w:p>
    <w:p w14:paraId="7D5CE981" w14:textId="77777777" w:rsidR="00AE6F56" w:rsidRDefault="00AE6F56">
      <w:pPr>
        <w:widowControl/>
        <w:tabs>
          <w:tab w:val="clear" w:pos="170"/>
        </w:tabs>
        <w:autoSpaceDE/>
        <w:autoSpaceDN/>
        <w:spacing w:after="160" w:line="259" w:lineRule="auto"/>
        <w:jc w:val="left"/>
        <w:rPr>
          <w:szCs w:val="20"/>
        </w:rPr>
      </w:pPr>
      <w:r>
        <w:br w:type="page"/>
      </w:r>
    </w:p>
    <w:p w14:paraId="34BD61F6" w14:textId="04D4E009" w:rsidR="00370EF6" w:rsidRDefault="00D00CD1">
      <w:pPr>
        <w:pStyle w:val="TableCaption"/>
      </w:pPr>
      <w:r>
        <w:lastRenderedPageBreak/>
        <w:t xml:space="preserve">Table </w:t>
      </w:r>
      <w:r w:rsidR="0017052A">
        <w:t>B</w:t>
      </w:r>
      <w:r>
        <w:t>.4: Weighting schema</w:t>
      </w:r>
    </w:p>
    <w:tbl>
      <w:tblPr>
        <w:tblW w:w="5000" w:type="pct"/>
        <w:tblLook w:val="0420" w:firstRow="1" w:lastRow="0" w:firstColumn="0" w:lastColumn="0" w:noHBand="0" w:noVBand="1"/>
      </w:tblPr>
      <w:tblGrid>
        <w:gridCol w:w="2003"/>
        <w:gridCol w:w="3575"/>
        <w:gridCol w:w="1683"/>
        <w:gridCol w:w="1790"/>
      </w:tblGrid>
      <w:tr w:rsidR="00370EF6" w14:paraId="7D7C8F8B" w14:textId="77777777" w:rsidTr="00AE6F56">
        <w:trPr>
          <w:tblHeader/>
        </w:trPr>
        <w:tc>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63FB0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A1FB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930 Categories</w:t>
            </w:r>
          </w:p>
        </w:tc>
        <w:tc>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2D0F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EB9EB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Weighting Key</w:t>
            </w:r>
          </w:p>
        </w:tc>
      </w:tr>
      <w:tr w:rsidR="00370EF6" w14:paraId="4D610A05" w14:textId="77777777" w:rsidTr="00AE6F56">
        <w:tc>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9BBE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Corporate sector</w:t>
            </w:r>
          </w:p>
        </w:tc>
        <w:tc>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EA3F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94E8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48.000</w:t>
            </w:r>
          </w:p>
        </w:tc>
        <w:tc>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AD2B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64F930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CA3E8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CCA8C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742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78D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A91CCD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C83DC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F7952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229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50246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29FBE9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66B9E1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9C66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241B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516BC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32C03CE6"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F0A1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12AB0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3939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67DE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152A7705"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ED18E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E105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E60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1EA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16ECBA8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24A92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78EDD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493A4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4E9D1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32528E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D3B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AA9C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4E531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D590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8CC81F"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9EF77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775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B3AC5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56.000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E703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F24BDA2"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E630F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F251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1C0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58.000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FFA9E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04AA4B21"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8BBFB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470E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3F792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B7C9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498C5B9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10E77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8C75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8D54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00320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5B97DC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A34F6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C2B0E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C6A9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1C32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6A029DB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1BD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FBB1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E7D3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96D1F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A6800E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69684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D2036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D91BD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0E37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w:t>
            </w:r>
          </w:p>
        </w:tc>
      </w:tr>
      <w:tr w:rsidR="00370EF6" w14:paraId="52C51778"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6ACC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4F1D7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B446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EB6D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3FA3A84"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224A0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7FF7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0FD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F0B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483A0D77" w14:textId="77777777" w:rsidTr="00AE6F56">
        <w:tc>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A3B1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E7A7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5216B3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66.000</w:t>
            </w:r>
          </w:p>
        </w:tc>
        <w:tc>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1AE11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bl>
    <w:p w14:paraId="76236D76" w14:textId="77777777" w:rsidR="00370EF6" w:rsidRDefault="00D00CD1">
      <w:pPr>
        <w:pStyle w:val="BodyText"/>
      </w:pPr>
      <w:r>
        <w:t>The six categories, therefore, are as follows:</w:t>
      </w:r>
    </w:p>
    <w:p w14:paraId="482B42E6" w14:textId="77777777" w:rsidR="00370EF6" w:rsidRDefault="00D00CD1">
      <w:pPr>
        <w:numPr>
          <w:ilvl w:val="0"/>
          <w:numId w:val="18"/>
        </w:numPr>
      </w:pPr>
      <w:r>
        <w:t>Non-financial corporate sector secured credit rate: Weighted average of items 49 + 51</w:t>
      </w:r>
    </w:p>
    <w:p w14:paraId="3EB25549" w14:textId="77777777" w:rsidR="00370EF6" w:rsidRDefault="00D00CD1">
      <w:pPr>
        <w:numPr>
          <w:ilvl w:val="0"/>
          <w:numId w:val="18"/>
        </w:numPr>
      </w:pPr>
      <w:r>
        <w:t>Non-financial corporate sector unsecured credit rate: Weighted average items 48 + 55 + 56</w:t>
      </w:r>
    </w:p>
    <w:p w14:paraId="5A7EA24A" w14:textId="77777777" w:rsidR="00370EF6" w:rsidRDefault="00D00CD1">
      <w:pPr>
        <w:numPr>
          <w:ilvl w:val="0"/>
          <w:numId w:val="18"/>
        </w:numPr>
      </w:pPr>
      <w:r>
        <w:t>Non-financial corporate sector mortgage rate: Item 53</w:t>
      </w:r>
    </w:p>
    <w:p w14:paraId="4724E9BE" w14:textId="77777777" w:rsidR="00370EF6" w:rsidRDefault="00D00CD1">
      <w:pPr>
        <w:numPr>
          <w:ilvl w:val="0"/>
          <w:numId w:val="18"/>
        </w:numPr>
      </w:pPr>
      <w:r>
        <w:lastRenderedPageBreak/>
        <w:t>Household sector secured credit rate: Weighted average of items 59 + 61</w:t>
      </w:r>
    </w:p>
    <w:p w14:paraId="6E27F756" w14:textId="77777777" w:rsidR="00370EF6" w:rsidRDefault="00D00CD1">
      <w:pPr>
        <w:numPr>
          <w:ilvl w:val="0"/>
          <w:numId w:val="18"/>
        </w:numPr>
      </w:pPr>
      <w:r>
        <w:t>Household sector unsecured credit rate: Weighted average of items 58 + 65 + 66</w:t>
      </w:r>
    </w:p>
    <w:p w14:paraId="0E488BDE" w14:textId="77777777" w:rsidR="00370EF6" w:rsidRDefault="00D00CD1">
      <w:pPr>
        <w:numPr>
          <w:ilvl w:val="0"/>
          <w:numId w:val="18"/>
        </w:numPr>
      </w:pPr>
      <w:r>
        <w:t>Household sector residential mortgages: Item 63</w:t>
      </w:r>
    </w:p>
    <w:p w14:paraId="102A6D3D" w14:textId="77777777" w:rsidR="00370EF6" w:rsidRDefault="00D00CD1">
      <w:r>
        <w:br w:type="page"/>
      </w:r>
    </w:p>
    <w:p w14:paraId="05B01B6F" w14:textId="75A37356" w:rsidR="00370EF6" w:rsidRDefault="0017052A">
      <w:pPr>
        <w:pStyle w:val="Heading2"/>
      </w:pPr>
      <w:bookmarkStart w:id="17" w:name="three-month-loans-growth-results"/>
      <w:bookmarkEnd w:id="16"/>
      <w:r>
        <w:lastRenderedPageBreak/>
        <w:t>Appendix C</w:t>
      </w:r>
      <w:r w:rsidR="00D00CD1">
        <w:tab/>
      </w:r>
      <w:r w:rsidR="00AE6F56">
        <w:t>Three-month</w:t>
      </w:r>
      <w:r w:rsidR="00D00CD1">
        <w:t xml:space="preserve"> loans growth results</w:t>
      </w:r>
    </w:p>
    <w:p w14:paraId="50193476" w14:textId="2023585F" w:rsidR="00370EF6" w:rsidRDefault="00D00CD1">
      <w:pPr>
        <w:pStyle w:val="TableCaption"/>
      </w:pPr>
      <w:r>
        <w:t xml:space="preserve">Table </w:t>
      </w:r>
      <w:r w:rsidR="0017052A">
        <w:t>C.1</w:t>
      </w:r>
      <w:r>
        <w:t xml:space="preserve">: Household </w:t>
      </w:r>
      <w:proofErr w:type="gramStart"/>
      <w:r>
        <w:t>3 month</w:t>
      </w:r>
      <w:proofErr w:type="gramEnd"/>
      <w:r>
        <w:t xml:space="preserve"> loan growth results</w:t>
      </w:r>
    </w:p>
    <w:tbl>
      <w:tblPr>
        <w:tblW w:w="5000" w:type="pct"/>
        <w:tblLook w:val="0420" w:firstRow="1" w:lastRow="0" w:firstColumn="0" w:lastColumn="0" w:noHBand="0" w:noVBand="1"/>
      </w:tblPr>
      <w:tblGrid>
        <w:gridCol w:w="3094"/>
        <w:gridCol w:w="1230"/>
        <w:gridCol w:w="1230"/>
        <w:gridCol w:w="1110"/>
        <w:gridCol w:w="1230"/>
        <w:gridCol w:w="1177"/>
      </w:tblGrid>
      <w:tr w:rsidR="00370EF6" w:rsidRPr="005A0D08" w14:paraId="3EE950E4" w14:textId="77777777" w:rsidTr="00AE6F56">
        <w:trPr>
          <w:tblHeader/>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FE63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2D3D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F962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1F68E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09060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8B0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6EAA1856"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7D102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6974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A4FE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2FA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4F98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A7BA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63991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992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A1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-0.0094***</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CF0C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D9E8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-0.0061*</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00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7B7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r>
      <w:tr w:rsidR="00370EF6" w:rsidRPr="005A0D08" w14:paraId="20A70F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32B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AE36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289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C7B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707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A727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71E078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6F7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36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24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872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AC2A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B177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0.0502</w:t>
            </w:r>
          </w:p>
        </w:tc>
      </w:tr>
      <w:tr w:rsidR="00370EF6" w:rsidRPr="005A0D08" w14:paraId="1943814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C7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AA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19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AC3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2D4A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(0.1753)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61F8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(0.2039)</w:t>
            </w:r>
          </w:p>
        </w:tc>
      </w:tr>
      <w:tr w:rsidR="00370EF6" w:rsidRPr="005A0D08" w14:paraId="674B8D2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BD2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C07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3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28B6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C53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82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6EA7DD9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3DC9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DC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31AF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06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26D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202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r>
      <w:tr w:rsidR="00370EF6" w:rsidRPr="005A0D08" w14:paraId="4344CC60"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DAA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087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901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797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31D9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2F67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0.1973</w:t>
            </w:r>
          </w:p>
        </w:tc>
      </w:tr>
      <w:tr w:rsidR="00370EF6" w:rsidRPr="005A0D08" w14:paraId="79A4BEF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166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EBD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A9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685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AF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(4.5698)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659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(4.3791)</w:t>
            </w:r>
          </w:p>
        </w:tc>
      </w:tr>
      <w:tr w:rsidR="00370EF6" w:rsidRPr="005A0D08" w14:paraId="13858F07"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3E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8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8A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D1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011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605B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-0.2302</w:t>
            </w:r>
          </w:p>
        </w:tc>
      </w:tr>
      <w:tr w:rsidR="00370EF6" w:rsidRPr="005A0D08" w14:paraId="47C0B20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C1B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FFF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BDF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50A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5D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(0.3768)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696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(0.3664)</w:t>
            </w:r>
          </w:p>
        </w:tc>
      </w:tr>
      <w:tr w:rsidR="00370EF6" w:rsidRPr="005A0D08" w14:paraId="67E826F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9CCD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62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AD3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EC4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DBA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8C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-0.0267</w:t>
            </w:r>
          </w:p>
        </w:tc>
      </w:tr>
      <w:tr w:rsidR="00370EF6" w:rsidRPr="005A0D08" w14:paraId="0883D4F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2C3E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99F7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1666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5B9C8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91A7E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(0.0224)</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E281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(0.0236)</w:t>
            </w:r>
          </w:p>
        </w:tc>
      </w:tr>
      <w:tr w:rsidR="00370EF6" w:rsidRPr="005A0D08" w14:paraId="3349FC51"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E44E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043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9ED8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20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6C02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8F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370EF6" w:rsidRPr="005A0D08" w14:paraId="4E14749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16C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BF9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DB1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5BC1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AD8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9CE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2A0FE25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C9098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7EC5D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7804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4AB85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A8FF4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9398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09AEA873"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6B846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C2C7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5FAA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51B7C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713E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73E1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10D50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007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DA6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58C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A60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CC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BD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3F1853C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99A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0857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BE5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2B4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24C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705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228647C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1FC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DEFC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ACB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1BE6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1F61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-0.0816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C28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0.0769</w:t>
            </w:r>
          </w:p>
        </w:tc>
      </w:tr>
      <w:tr w:rsidR="00370EF6" w:rsidRPr="005A0D08" w14:paraId="2F91125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86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707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4CA7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(0.1246)</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2DE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839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(0.1393)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30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(0.2098)</w:t>
            </w:r>
          </w:p>
        </w:tc>
      </w:tr>
      <w:tr w:rsidR="00370EF6" w:rsidRPr="005A0D08" w14:paraId="7CE65F1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91BE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0CC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9C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51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909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45B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-0.0194*</w:t>
            </w:r>
          </w:p>
        </w:tc>
      </w:tr>
      <w:tr w:rsidR="00370EF6" w:rsidRPr="005A0D08" w14:paraId="238508C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06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1D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A63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81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091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2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(0.0103)</w:t>
            </w:r>
          </w:p>
        </w:tc>
      </w:tr>
      <w:tr w:rsidR="00370EF6" w:rsidRPr="005A0D08" w14:paraId="1181673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EB6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B72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E2D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0E5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B47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2.7782</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551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2.0878</w:t>
            </w:r>
          </w:p>
        </w:tc>
      </w:tr>
      <w:tr w:rsidR="00370EF6" w:rsidRPr="005A0D08" w14:paraId="63DE71D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3E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FFD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DF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7F5D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DCD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(4.1950)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B3C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(3.9166)</w:t>
            </w:r>
          </w:p>
        </w:tc>
      </w:tr>
      <w:tr w:rsidR="00370EF6" w:rsidRPr="005A0D08" w14:paraId="46F9959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177E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BB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849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492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FB6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-0.2210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C4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-0.1838</w:t>
            </w:r>
          </w:p>
        </w:tc>
      </w:tr>
      <w:tr w:rsidR="00370EF6" w:rsidRPr="005A0D08" w14:paraId="6812D58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BFA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18F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1C1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1772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ADE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(0.3458)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E4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(0.3276)</w:t>
            </w:r>
          </w:p>
        </w:tc>
      </w:tr>
      <w:tr w:rsidR="00370EF6" w:rsidRPr="005A0D08" w14:paraId="5966B65B"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A1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w:lastRenderedPageBreak/>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13E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C8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9CB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7B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B0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r>
      <w:tr w:rsidR="00370EF6" w:rsidRPr="005A0D08" w14:paraId="4F9739A8"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6EA7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1C258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6D777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0094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0A4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(0.0233)</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2F22C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(0.0241)</w:t>
            </w:r>
          </w:p>
        </w:tc>
      </w:tr>
      <w:tr w:rsidR="00370EF6" w:rsidRPr="005A0D08" w14:paraId="2AA0688A"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CF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A098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E54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3943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A55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462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6939493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741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8E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AFE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9B8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0C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85D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1AC63F33"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BA61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A48BBB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72F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D1CC2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90BC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A5AC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6DF121D4"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733E2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421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29FD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DE532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2837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D34B0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4E4D8E85"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B24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BB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07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DF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7D54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C66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6DBCD324"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5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7E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457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669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0F4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EE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68FABCD6"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00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0C9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0AD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5E2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6C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0.0200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88A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0.0265</w:t>
            </w:r>
          </w:p>
        </w:tc>
      </w:tr>
      <w:tr w:rsidR="00370EF6" w:rsidRPr="005A0D08" w14:paraId="002E2D7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56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90B2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DA9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99D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00E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(0.0624)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063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(0.0713)</w:t>
            </w:r>
          </w:p>
        </w:tc>
      </w:tr>
      <w:tr w:rsidR="00370EF6" w:rsidRPr="005A0D08" w14:paraId="1C5F6F7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325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BA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1B8F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5F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07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B3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41EA9A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DAC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48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3B2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F605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3C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EED1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0731F3C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649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20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460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082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FCED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FBB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1.6751***</w:t>
            </w:r>
          </w:p>
        </w:tc>
      </w:tr>
      <w:tr w:rsidR="00370EF6" w:rsidRPr="005A0D08" w14:paraId="3111174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1317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9F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4D3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9AF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FC29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(0.6151)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6A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(0.5685)</w:t>
            </w:r>
          </w:p>
        </w:tc>
      </w:tr>
      <w:tr w:rsidR="00370EF6" w:rsidRPr="005A0D08" w14:paraId="760FD5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77EF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EF16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083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148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CD3E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-0.1130**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A4F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-0.1170**</w:t>
            </w:r>
          </w:p>
        </w:tc>
      </w:tr>
      <w:tr w:rsidR="00370EF6" w:rsidRPr="005A0D08" w14:paraId="77C07C3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607C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5F9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9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64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E6E7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56D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(0.0468)</w:t>
            </w:r>
          </w:p>
        </w:tc>
      </w:tr>
      <w:tr w:rsidR="00370EF6" w:rsidRPr="005A0D08" w14:paraId="51F8E2B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9C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71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E3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8E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75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E98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r>
      <w:tr w:rsidR="00370EF6" w:rsidRPr="005A0D08" w14:paraId="44134E09"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1E7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DFC7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FE2B8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D87E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7273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BBE3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(0.0071)</w:t>
            </w:r>
          </w:p>
        </w:tc>
      </w:tr>
      <w:tr w:rsidR="00370EF6" w:rsidRPr="005A0D08" w14:paraId="1E6C1180"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5937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676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FF4C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E05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7B5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EE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16D313B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1F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CD8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91D4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441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A4B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7CF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D839C24"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AA888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95368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5AB8C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EB5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4642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5EF25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3212B946"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6D09F54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sector results with longer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w:t>
            </w:r>
            <w:proofErr w:type="spellStart"/>
            <w:r w:rsidRPr="005A0D08">
              <w:rPr>
                <w:rFonts w:eastAsia="Helvetica" w:hAnsi="Helvetica" w:cs="Helvetica"/>
                <w:color w:val="000000"/>
                <w:sz w:val="18"/>
                <w:szCs w:val="18"/>
              </w:rPr>
              <w:t>depandant</w:t>
            </w:r>
            <w:proofErr w:type="spellEnd"/>
            <w:r w:rsidRPr="005A0D08">
              <w:rPr>
                <w:rFonts w:eastAsia="Helvetica" w:hAnsi="Helvetica" w:cs="Helvetica"/>
                <w:color w:val="000000"/>
                <w:sz w:val="18"/>
                <w:szCs w:val="18"/>
              </w:rPr>
              <w:t xml:space="preserve">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135A733F" w14:textId="77777777" w:rsidR="00370EF6" w:rsidRDefault="00D00CD1">
      <w:r>
        <w:br w:type="page"/>
      </w:r>
    </w:p>
    <w:p w14:paraId="1003EFF0" w14:textId="0701E4EB" w:rsidR="00370EF6" w:rsidRDefault="00D00CD1">
      <w:pPr>
        <w:pStyle w:val="TableCaption"/>
      </w:pPr>
      <w:r>
        <w:lastRenderedPageBreak/>
        <w:t xml:space="preserve">Table </w:t>
      </w:r>
      <w:r w:rsidR="0017052A">
        <w:t>C.2</w:t>
      </w:r>
      <w:r>
        <w:t xml:space="preserve">: Non-financial corporations </w:t>
      </w:r>
      <w:proofErr w:type="gramStart"/>
      <w:r>
        <w:t>3 month</w:t>
      </w:r>
      <w:proofErr w:type="gramEnd"/>
      <w:r>
        <w:t xml:space="preserve"> loan growth results </w:t>
      </w:r>
    </w:p>
    <w:tbl>
      <w:tblPr>
        <w:tblW w:w="5000" w:type="pct"/>
        <w:tblLook w:val="0420" w:firstRow="1" w:lastRow="0" w:firstColumn="0" w:lastColumn="0" w:noHBand="0" w:noVBand="1"/>
      </w:tblPr>
      <w:tblGrid>
        <w:gridCol w:w="3782"/>
        <w:gridCol w:w="1057"/>
        <w:gridCol w:w="1058"/>
        <w:gridCol w:w="1058"/>
        <w:gridCol w:w="1058"/>
        <w:gridCol w:w="1058"/>
      </w:tblGrid>
      <w:tr w:rsidR="00370EF6" w:rsidRPr="005A0D08" w14:paraId="4AA491AB" w14:textId="77777777" w:rsidTr="00AE6F56">
        <w:trPr>
          <w:tblHeader/>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18789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D63D3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8F798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D49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BDB8FB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245A2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33521C64"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7529B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CED8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4B0FF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B0C6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7AAF7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62E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0E1C518"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F67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1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478D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CBE8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F7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F65D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04AD94F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2DC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B599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A7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BC5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F67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A2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(0.0073)</w:t>
            </w:r>
          </w:p>
        </w:tc>
      </w:tr>
      <w:tr w:rsidR="00370EF6" w:rsidRPr="005A0D08" w14:paraId="26D49E0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36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5CD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C10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E49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538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F22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0.3136</w:t>
            </w:r>
          </w:p>
        </w:tc>
      </w:tr>
      <w:tr w:rsidR="00370EF6" w:rsidRPr="005A0D08" w14:paraId="632CD47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66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BAF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84D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31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6E95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28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(0.1922)</w:t>
            </w:r>
          </w:p>
        </w:tc>
      </w:tr>
      <w:tr w:rsidR="00370EF6" w:rsidRPr="005A0D08" w14:paraId="67D4ACB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0CE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442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790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BB9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CF5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9C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396D334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210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7C8B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DD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B5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0CE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D193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02FDC00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47AD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95A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C1D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BDE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F255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1.1543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996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0.9446</w:t>
            </w:r>
          </w:p>
        </w:tc>
      </w:tr>
      <w:tr w:rsidR="00370EF6" w:rsidRPr="005A0D08" w14:paraId="2EA28AF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57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C57D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4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AD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29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(3.5779)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E26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(3.8589)</w:t>
            </w:r>
          </w:p>
        </w:tc>
      </w:tr>
      <w:tr w:rsidR="00370EF6" w:rsidRPr="005A0D08" w14:paraId="50D0188C"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B0A6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BD9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2A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39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EF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6066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-0.1250</w:t>
            </w:r>
          </w:p>
        </w:tc>
      </w:tr>
      <w:tr w:rsidR="00370EF6" w:rsidRPr="005A0D08" w14:paraId="657744C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A94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11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9D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7B5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8A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(0.2376)</w:t>
            </w:r>
          </w:p>
        </w:tc>
      </w:tr>
      <w:tr w:rsidR="00370EF6" w:rsidRPr="005A0D08" w14:paraId="4C5E108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A84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C76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211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4DA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5F4F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901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-0.0493***</w:t>
            </w:r>
          </w:p>
        </w:tc>
      </w:tr>
      <w:tr w:rsidR="00370EF6" w:rsidRPr="005A0D08" w14:paraId="60C352D7"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CECE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0915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9B5E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89C9B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C1D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DBC93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(0.0042)</w:t>
            </w:r>
          </w:p>
        </w:tc>
      </w:tr>
      <w:tr w:rsidR="00370EF6" w:rsidRPr="005A0D08" w14:paraId="71FF3E0F"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DF8B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72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4BD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5E52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64A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6A83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1ACA13B"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2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D4A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6D7A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664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E7D8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209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43EEA750"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6B21A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BAA6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9B046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051DF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57D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A2A05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75FDBE5D"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595834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3D90A4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6B88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57E0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5672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634FE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39873FE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E76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535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DD0D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0.0303***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19A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DE0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0.0408***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857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0.0190**</w:t>
            </w:r>
          </w:p>
        </w:tc>
      </w:tr>
      <w:tr w:rsidR="00370EF6" w:rsidRPr="005A0D08" w14:paraId="76343F5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96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4FD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F38B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F61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6E9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D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(0.0093)</w:t>
            </w:r>
          </w:p>
        </w:tc>
      </w:tr>
      <w:tr w:rsidR="00370EF6" w:rsidRPr="005A0D08" w14:paraId="732ED04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FCB7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92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81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-0.4822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18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-0.7947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B89A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BA9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-0.8247</w:t>
            </w:r>
          </w:p>
        </w:tc>
      </w:tr>
      <w:tr w:rsidR="00370EF6" w:rsidRPr="005A0D08" w14:paraId="2627DE1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A13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AE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9B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(0.6430)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D97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(0.6690)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2B8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(0.4773)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9D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(0.5198)</w:t>
            </w:r>
          </w:p>
        </w:tc>
      </w:tr>
      <w:tr w:rsidR="00370EF6" w:rsidRPr="005A0D08" w14:paraId="6A53B30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FE48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11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758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901A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-0.0134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0A5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454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7C9CB2D0"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89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E6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7E8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1D03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1A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2E5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(0.0092)</w:t>
            </w:r>
          </w:p>
        </w:tc>
      </w:tr>
      <w:tr w:rsidR="00370EF6" w:rsidRPr="005A0D08" w14:paraId="63803D6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CA3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EE5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447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0B3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3712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3.0914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943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4.0843</w:t>
            </w:r>
          </w:p>
        </w:tc>
      </w:tr>
      <w:tr w:rsidR="00370EF6" w:rsidRPr="005A0D08" w14:paraId="7461C2A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03C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4DC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D3C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5061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5F7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(4.8279)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29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(4.1092)</w:t>
            </w:r>
          </w:p>
        </w:tc>
      </w:tr>
      <w:tr w:rsidR="00370EF6" w:rsidRPr="005A0D08" w14:paraId="2332F4C1"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A1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04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9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FA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D1A9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1A5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-0.1892</w:t>
            </w:r>
          </w:p>
        </w:tc>
      </w:tr>
      <w:tr w:rsidR="00370EF6" w:rsidRPr="005A0D08" w14:paraId="34B620A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62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0D50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09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B7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9ADA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F1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(0.1804)</w:t>
            </w:r>
          </w:p>
        </w:tc>
      </w:tr>
      <w:tr w:rsidR="00370EF6" w:rsidRPr="005A0D08" w14:paraId="7EE1272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F3B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303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EB5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B40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3A1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-0.0738***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79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-0.0807***</w:t>
            </w:r>
          </w:p>
        </w:tc>
      </w:tr>
      <w:tr w:rsidR="00370EF6" w:rsidRPr="005A0D08" w14:paraId="50CBC4B3"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A7BE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4A3BE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E9C7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60E4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AF734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E6DD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(0.0223)</w:t>
            </w:r>
          </w:p>
        </w:tc>
      </w:tr>
      <w:tr w:rsidR="00370EF6" w:rsidRPr="005A0D08" w14:paraId="39F08BF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DB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040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BDB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A03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77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511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370EF6" w:rsidRPr="005A0D08" w14:paraId="3CC5EF7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992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F961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A70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8E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D396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4F7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6919E916"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804A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01E6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8C385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5ABF1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61D2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4E3254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78732C46"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0FD81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E1E8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445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50D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2981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C4A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8B95A3B"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66B8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8A5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1C39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8F6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5A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4CE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3F69DA1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8B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210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3382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E2C2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85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880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(0.0108)</w:t>
            </w:r>
          </w:p>
        </w:tc>
      </w:tr>
      <w:tr w:rsidR="00370EF6" w:rsidRPr="005A0D08" w14:paraId="79711FC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E8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7DE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E8E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9A28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1E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6C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-0.1566</w:t>
            </w:r>
          </w:p>
        </w:tc>
      </w:tr>
      <w:tr w:rsidR="00370EF6" w:rsidRPr="005A0D08" w14:paraId="7BC8FE2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34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AFC1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56C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CA1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388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(0.3404)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65C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(0.3608)</w:t>
            </w:r>
          </w:p>
        </w:tc>
      </w:tr>
      <w:tr w:rsidR="00370EF6" w:rsidRPr="005A0D08" w14:paraId="3C1A2DD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AFD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D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0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75B5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71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A3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10966F5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D27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124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C5A8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A43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ADF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r>
      <w:tr w:rsidR="00370EF6" w:rsidRPr="005A0D08" w14:paraId="25B6ECC3"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A24F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9C33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315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3C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04A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4.1386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7F8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3.6179</w:t>
            </w:r>
          </w:p>
        </w:tc>
      </w:tr>
      <w:tr w:rsidR="00370EF6" w:rsidRPr="005A0D08" w14:paraId="27DF44E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5B2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0CB6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72C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598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7DB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(6.2007)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CC4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(6.0718)</w:t>
            </w:r>
          </w:p>
        </w:tc>
      </w:tr>
      <w:tr w:rsidR="00370EF6" w:rsidRPr="005A0D08" w14:paraId="446FCDA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29FC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F4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176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96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290C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BA6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-0.2599</w:t>
            </w:r>
          </w:p>
        </w:tc>
      </w:tr>
      <w:tr w:rsidR="00370EF6" w:rsidRPr="005A0D08" w14:paraId="078B267F"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1D5F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A2B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3DA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EBE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0FB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65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(0.4075)</w:t>
            </w:r>
          </w:p>
        </w:tc>
      </w:tr>
      <w:tr w:rsidR="00370EF6" w:rsidRPr="005A0D08" w14:paraId="461DAA0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09C5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BD6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FEA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F4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D0C7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328B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0.0234</w:t>
            </w:r>
          </w:p>
        </w:tc>
      </w:tr>
      <w:tr w:rsidR="00370EF6" w:rsidRPr="005A0D08" w14:paraId="3857A0EC"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11B0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9BE2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40B1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D86EF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26F9F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(0.0251)</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03D9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(0.0244)</w:t>
            </w:r>
          </w:p>
        </w:tc>
      </w:tr>
      <w:tr w:rsidR="00370EF6" w:rsidRPr="005A0D08" w14:paraId="5F9B678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55A2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F46A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5E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F6C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7B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F8F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690C86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CF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54A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B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21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09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4E6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5B690D9"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65B7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846CC1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F6C1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B16B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6364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021A4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4B4E0D61"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7DFAF1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results with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w:t>
            </w:r>
            <w:proofErr w:type="spellStart"/>
            <w:r w:rsidRPr="005A0D08">
              <w:rPr>
                <w:rFonts w:eastAsia="Helvetica" w:hAnsi="Helvetica" w:cs="Helvetica"/>
                <w:color w:val="000000"/>
                <w:sz w:val="18"/>
                <w:szCs w:val="18"/>
              </w:rPr>
              <w:t>depandant</w:t>
            </w:r>
            <w:proofErr w:type="spellEnd"/>
            <w:r w:rsidRPr="005A0D08">
              <w:rPr>
                <w:rFonts w:eastAsia="Helvetica" w:hAnsi="Helvetica" w:cs="Helvetica"/>
                <w:color w:val="000000"/>
                <w:sz w:val="18"/>
                <w:szCs w:val="18"/>
              </w:rPr>
              <w:t xml:space="preserve">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0C642945" w14:textId="77777777" w:rsidR="00370EF6" w:rsidRDefault="00D00CD1">
      <w:r>
        <w:br w:type="page"/>
      </w:r>
    </w:p>
    <w:p w14:paraId="207E2956" w14:textId="77777777" w:rsidR="00370EF6" w:rsidRDefault="00D00CD1">
      <w:pPr>
        <w:pStyle w:val="Heading1"/>
      </w:pPr>
      <w:bookmarkStart w:id="18" w:name="references"/>
      <w:bookmarkEnd w:id="10"/>
      <w:bookmarkEnd w:id="17"/>
      <w:r>
        <w:lastRenderedPageBreak/>
        <w:t>References</w:t>
      </w:r>
    </w:p>
    <w:p w14:paraId="7BD3A992" w14:textId="7D59CB24" w:rsidR="006B6A8C" w:rsidRPr="00FF788A" w:rsidRDefault="006B6A8C" w:rsidP="006B6A8C">
      <w:bookmarkStart w:id="19" w:name="ref-aiyar2014international"/>
      <w:bookmarkStart w:id="20" w:name="refs"/>
      <w:r w:rsidRPr="00FF788A">
        <w:t xml:space="preserve">Aiyar, S., Calomiris, C. W., &amp; </w:t>
      </w:r>
      <w:proofErr w:type="spellStart"/>
      <w:r w:rsidRPr="00FF788A">
        <w:t>Wieladek</w:t>
      </w:r>
      <w:proofErr w:type="spellEnd"/>
      <w:r w:rsidRPr="00FF788A">
        <w:t>, T. (2014</w:t>
      </w:r>
      <w:r>
        <w:t>a</w:t>
      </w:r>
      <w:r w:rsidRPr="00FF788A">
        <w:t>). Does macro</w:t>
      </w:r>
      <w:r w:rsidRPr="00FF788A">
        <w:rPr>
          <w:rFonts w:ascii="Cambria Math" w:hAnsi="Cambria Math" w:cs="Cambria Math"/>
        </w:rPr>
        <w:t>‐</w:t>
      </w:r>
      <w:r w:rsidRPr="00FF788A">
        <w:t>prudential regulation leak? Evidence from a UK policy experiment. Journal of Money, Credit and Banking, 46(s1), 181–214.</w:t>
      </w:r>
    </w:p>
    <w:p w14:paraId="1EAF2FA6" w14:textId="1190DBCF" w:rsidR="006B6A8C" w:rsidRDefault="00D00CD1" w:rsidP="004711AE">
      <w:r>
        <w:t xml:space="preserve">Aiyar, S., Calomiris, C. W., Hooley, J., </w:t>
      </w:r>
      <w:proofErr w:type="spellStart"/>
      <w:r>
        <w:t>Korniyenko</w:t>
      </w:r>
      <w:proofErr w:type="spellEnd"/>
      <w:r>
        <w:t xml:space="preserve">, Y. and </w:t>
      </w:r>
      <w:proofErr w:type="spellStart"/>
      <w:r>
        <w:t>Wieladek</w:t>
      </w:r>
      <w:proofErr w:type="spellEnd"/>
      <w:r>
        <w:t>, T. (2014</w:t>
      </w:r>
      <w:r w:rsidR="006B6A8C">
        <w:t>b</w:t>
      </w:r>
      <w:r>
        <w:t xml:space="preserve">). ‘The international transmission of bank capital requirements: Evidence from the UK’. </w:t>
      </w:r>
      <w:r>
        <w:rPr>
          <w:i/>
          <w:iCs/>
        </w:rPr>
        <w:t>Journal of Financial Economics</w:t>
      </w:r>
      <w:r>
        <w:t>. Elsevier, 113 (3), pp. 368–382.</w:t>
      </w:r>
    </w:p>
    <w:p w14:paraId="007237D8" w14:textId="77777777" w:rsidR="00370EF6" w:rsidRDefault="00D00CD1">
      <w:bookmarkStart w:id="21" w:name="ref-aiyar2016does"/>
      <w:bookmarkEnd w:id="19"/>
      <w:r>
        <w:t xml:space="preserve">Aiyar, S., Calomiris, C. W. and </w:t>
      </w:r>
      <w:proofErr w:type="spellStart"/>
      <w:r>
        <w:t>Wieladek</w:t>
      </w:r>
      <w:proofErr w:type="spellEnd"/>
      <w:r>
        <w:t xml:space="preserve">, T. (2016). ‘How does credit supply respond to monetary policy and bank minimum capital requirements?’ </w:t>
      </w:r>
      <w:r>
        <w:rPr>
          <w:i/>
          <w:iCs/>
        </w:rPr>
        <w:t>European Economic Review</w:t>
      </w:r>
      <w:r>
        <w:t>. Elsevier, 82, pp. 142–165.</w:t>
      </w:r>
    </w:p>
    <w:p w14:paraId="38D50CF2" w14:textId="77777777" w:rsidR="00370EF6" w:rsidRDefault="00D00CD1">
      <w:bookmarkStart w:id="22" w:name="ref-ateba2019strategic"/>
      <w:bookmarkEnd w:id="21"/>
      <w:proofErr w:type="spellStart"/>
      <w:r>
        <w:t>Ateba</w:t>
      </w:r>
      <w:proofErr w:type="spellEnd"/>
      <w:r>
        <w:t xml:space="preserve">, B. B. and Prinsloo, J. J. (2019). ‘Strategic management for electricity supply sustainability in south </w:t>
      </w:r>
      <w:proofErr w:type="spellStart"/>
      <w:r>
        <w:t>africa</w:t>
      </w:r>
      <w:proofErr w:type="spellEnd"/>
      <w:r>
        <w:t xml:space="preserve">’. </w:t>
      </w:r>
      <w:r>
        <w:rPr>
          <w:i/>
          <w:iCs/>
        </w:rPr>
        <w:t>Utilities Policy</w:t>
      </w:r>
      <w:r>
        <w:t>. Elsevier, 56, pp. 92–103.</w:t>
      </w:r>
    </w:p>
    <w:p w14:paraId="605E7196" w14:textId="77777777" w:rsidR="00370EF6" w:rsidRDefault="00D00CD1">
      <w:bookmarkStart w:id="23" w:name="ref-berger1994lines"/>
      <w:bookmarkEnd w:id="22"/>
      <w:r>
        <w:t xml:space="preserve">Berger, A. N. and </w:t>
      </w:r>
      <w:proofErr w:type="spellStart"/>
      <w:r>
        <w:t>Udell</w:t>
      </w:r>
      <w:proofErr w:type="spellEnd"/>
      <w:r>
        <w:t xml:space="preserve">, G. F. (1994). ‘Lines of credit and relationship lending in small firm finance’. </w:t>
      </w:r>
      <w:r>
        <w:rPr>
          <w:i/>
          <w:iCs/>
        </w:rPr>
        <w:t>Jerome Levy Economics Institute Working Paper</w:t>
      </w:r>
      <w:r>
        <w:t>, (113).</w:t>
      </w:r>
    </w:p>
    <w:p w14:paraId="22386C59" w14:textId="77777777" w:rsidR="00370EF6" w:rsidRDefault="00D00CD1">
      <w:bookmarkStart w:id="24" w:name="ref-berrospide2010effects"/>
      <w:bookmarkEnd w:id="23"/>
      <w:proofErr w:type="spellStart"/>
      <w:r>
        <w:t>Berrospide</w:t>
      </w:r>
      <w:proofErr w:type="spellEnd"/>
      <w:r>
        <w:t>, J. M. and Edge, R. M. (2010). ‘The effects of bank capital on lending: What do we know, and what does it mean?’ CAMA Working Paper Series 26/2010.</w:t>
      </w:r>
    </w:p>
    <w:p w14:paraId="69A1588A" w14:textId="77777777" w:rsidR="00370EF6" w:rsidRDefault="00D00CD1">
      <w:bookmarkStart w:id="25" w:name="ref-calomiris1991role"/>
      <w:bookmarkEnd w:id="24"/>
      <w:r>
        <w:t xml:space="preserve">Calomiris, C. W. and Kahn, C. M. (1991). ‘The role of demandable debt in structuring optimal banking arrangements’. </w:t>
      </w:r>
      <w:r>
        <w:rPr>
          <w:i/>
          <w:iCs/>
        </w:rPr>
        <w:t>The American Economic Review</w:t>
      </w:r>
      <w:r>
        <w:t>. JSTOR, pp. 497–513.</w:t>
      </w:r>
    </w:p>
    <w:p w14:paraId="725FCB84" w14:textId="531C3281" w:rsidR="00F01003" w:rsidRPr="00405CFD" w:rsidRDefault="00F01003" w:rsidP="00405CFD">
      <w:bookmarkStart w:id="26" w:name="ref-calomiris1998bank"/>
      <w:bookmarkEnd w:id="25"/>
      <w:r w:rsidRPr="00405CFD">
        <w:t xml:space="preserve">Calomiris, Charles W. and Berry Wilson. </w:t>
      </w:r>
      <w:r w:rsidR="00B261DA" w:rsidRPr="00405CFD">
        <w:t>(</w:t>
      </w:r>
      <w:r w:rsidRPr="00405CFD">
        <w:t>2004</w:t>
      </w:r>
      <w:r w:rsidR="00B261DA" w:rsidRPr="00405CFD">
        <w:t>)</w:t>
      </w:r>
      <w:r w:rsidRPr="00405CFD">
        <w:t>. “Bank Capital and Portfolio Management: The 1930s ‘Capital Crunch’ and the Scramble to Shed Risk.” Journal of Business 77(3).</w:t>
      </w:r>
    </w:p>
    <w:p w14:paraId="5B00A369" w14:textId="77777777" w:rsidR="00370EF6" w:rsidRDefault="00D00CD1">
      <w:bookmarkStart w:id="27" w:name="ref-de2020bank"/>
      <w:bookmarkEnd w:id="26"/>
      <w:r>
        <w:t xml:space="preserve">De </w:t>
      </w:r>
      <w:proofErr w:type="spellStart"/>
      <w:r>
        <w:t>Jonghe</w:t>
      </w:r>
      <w:proofErr w:type="spellEnd"/>
      <w:r>
        <w:t xml:space="preserve">, O., </w:t>
      </w:r>
      <w:proofErr w:type="spellStart"/>
      <w:r>
        <w:t>Dewachter</w:t>
      </w:r>
      <w:proofErr w:type="spellEnd"/>
      <w:r>
        <w:t xml:space="preserve">, H. and </w:t>
      </w:r>
      <w:proofErr w:type="spellStart"/>
      <w:r>
        <w:t>Ongena</w:t>
      </w:r>
      <w:proofErr w:type="spellEnd"/>
      <w:r>
        <w:t xml:space="preserve">, S. (2020). ‘Bank capital (requirements) and credit supply: Evidence from pillar 2 decisions’. </w:t>
      </w:r>
      <w:r>
        <w:rPr>
          <w:i/>
          <w:iCs/>
        </w:rPr>
        <w:t>Journal of Corporate Finance</w:t>
      </w:r>
      <w:r>
        <w:t>. Elsevier, 60, p. 101518.</w:t>
      </w:r>
    </w:p>
    <w:p w14:paraId="4289C7D0" w14:textId="77777777" w:rsidR="00370EF6" w:rsidRDefault="00D00CD1">
      <w:bookmarkStart w:id="28" w:name="ref-fang2020bank"/>
      <w:bookmarkEnd w:id="27"/>
      <w:r>
        <w:t xml:space="preserve">Fang, X., </w:t>
      </w:r>
      <w:proofErr w:type="spellStart"/>
      <w:r>
        <w:t>Jutrsa</w:t>
      </w:r>
      <w:proofErr w:type="spellEnd"/>
      <w:r>
        <w:t xml:space="preserve">, D., </w:t>
      </w:r>
      <w:proofErr w:type="spellStart"/>
      <w:r>
        <w:t>Peria</w:t>
      </w:r>
      <w:proofErr w:type="spellEnd"/>
      <w:r>
        <w:t xml:space="preserve">, S. M., </w:t>
      </w:r>
      <w:proofErr w:type="spellStart"/>
      <w:r>
        <w:t>Presbitero</w:t>
      </w:r>
      <w:proofErr w:type="spellEnd"/>
      <w:r>
        <w:t xml:space="preserve">, A. F. and </w:t>
      </w:r>
      <w:proofErr w:type="spellStart"/>
      <w:r>
        <w:t>Ratnovski</w:t>
      </w:r>
      <w:proofErr w:type="spellEnd"/>
      <w:r>
        <w:t xml:space="preserve">, L. (2020). ‘Bank capital requirements and lending in emerging markets: The role of bank characteristics </w:t>
      </w:r>
      <w:r>
        <w:lastRenderedPageBreak/>
        <w:t xml:space="preserve">and economic conditions’. </w:t>
      </w:r>
      <w:r>
        <w:rPr>
          <w:i/>
          <w:iCs/>
        </w:rPr>
        <w:t>Journal of Banking &amp; Finance</w:t>
      </w:r>
      <w:r>
        <w:t>. Elsevier, p. 105806.</w:t>
      </w:r>
    </w:p>
    <w:p w14:paraId="3AC35A25" w14:textId="77777777" w:rsidR="00370EF6" w:rsidRDefault="00D00CD1">
      <w:bookmarkStart w:id="29" w:name="ref-folly2021competition"/>
      <w:bookmarkEnd w:id="28"/>
      <w:r>
        <w:t xml:space="preserve">Folly, K. A. (2021). ‘Competition and restructuring of the south </w:t>
      </w:r>
      <w:proofErr w:type="spellStart"/>
      <w:r>
        <w:t>african</w:t>
      </w:r>
      <w:proofErr w:type="spellEnd"/>
      <w:r>
        <w:t xml:space="preserve"> electricity market’. in </w:t>
      </w:r>
      <w:r>
        <w:rPr>
          <w:i/>
          <w:iCs/>
        </w:rPr>
        <w:t>Local electricity markets</w:t>
      </w:r>
      <w:r>
        <w:t>. Elsevier, pp. 355–366.</w:t>
      </w:r>
    </w:p>
    <w:p w14:paraId="73660046" w14:textId="77777777" w:rsidR="00370EF6" w:rsidRDefault="00D00CD1">
      <w:bookmarkStart w:id="30" w:name="ref-fraisse2020real"/>
      <w:bookmarkEnd w:id="29"/>
      <w:proofErr w:type="spellStart"/>
      <w:r>
        <w:t>Fraisse</w:t>
      </w:r>
      <w:proofErr w:type="spellEnd"/>
      <w:r>
        <w:t xml:space="preserve">, H., </w:t>
      </w:r>
      <w:proofErr w:type="spellStart"/>
      <w:r>
        <w:t>Lé</w:t>
      </w:r>
      <w:proofErr w:type="spellEnd"/>
      <w:r>
        <w:t xml:space="preserve">, M. and </w:t>
      </w:r>
      <w:proofErr w:type="spellStart"/>
      <w:r>
        <w:t>Thesmar</w:t>
      </w:r>
      <w:proofErr w:type="spellEnd"/>
      <w:r>
        <w:t xml:space="preserve">, D. (2020). ‘The real effects of bank capital requirements’. </w:t>
      </w:r>
      <w:r>
        <w:rPr>
          <w:i/>
          <w:iCs/>
        </w:rPr>
        <w:t>Management Science</w:t>
      </w:r>
      <w:r>
        <w:t>. INFORMS, 66 (1), pp. 5–23.</w:t>
      </w:r>
    </w:p>
    <w:p w14:paraId="2B257E88" w14:textId="77777777" w:rsidR="00370EF6" w:rsidRDefault="00D00CD1">
      <w:bookmarkStart w:id="31" w:name="ref-francis2012capital"/>
      <w:bookmarkEnd w:id="30"/>
      <w:r>
        <w:t xml:space="preserve">Francis, W. B. and Osborne, M. (2012). ‘Capital requirements and bank </w:t>
      </w:r>
      <w:proofErr w:type="spellStart"/>
      <w:r>
        <w:t>behavior</w:t>
      </w:r>
      <w:proofErr w:type="spellEnd"/>
      <w:r>
        <w:t xml:space="preserve"> in the UK: Are there lessons for international capital standards?’ </w:t>
      </w:r>
      <w:r>
        <w:rPr>
          <w:i/>
          <w:iCs/>
        </w:rPr>
        <w:t>Journal of Banking &amp; Finance</w:t>
      </w:r>
      <w:r>
        <w:t>. Elsevier, 36 (3), pp. 803–816.</w:t>
      </w:r>
    </w:p>
    <w:p w14:paraId="5874000C" w14:textId="77777777" w:rsidR="00370EF6" w:rsidRDefault="00D00CD1">
      <w:bookmarkStart w:id="32" w:name="ref-gambacorta2004does"/>
      <w:bookmarkEnd w:id="31"/>
      <w:proofErr w:type="spellStart"/>
      <w:r>
        <w:t>Gambacorta</w:t>
      </w:r>
      <w:proofErr w:type="spellEnd"/>
      <w:r>
        <w:t xml:space="preserve">, L. and </w:t>
      </w:r>
      <w:proofErr w:type="spellStart"/>
      <w:r>
        <w:t>Mistrulli</w:t>
      </w:r>
      <w:proofErr w:type="spellEnd"/>
      <w:r>
        <w:t xml:space="preserve">, P. E. (2004). ‘Does bank capital affect lending </w:t>
      </w:r>
      <w:proofErr w:type="spellStart"/>
      <w:r>
        <w:t>behavior</w:t>
      </w:r>
      <w:proofErr w:type="spellEnd"/>
      <w:r>
        <w:t xml:space="preserve">?’ </w:t>
      </w:r>
      <w:r>
        <w:rPr>
          <w:i/>
          <w:iCs/>
        </w:rPr>
        <w:t>Journal of Financial intermediation</w:t>
      </w:r>
      <w:r>
        <w:t>. Elsevier, 13 (4), pp. 436–457.</w:t>
      </w:r>
    </w:p>
    <w:p w14:paraId="7532A1A0" w14:textId="77777777" w:rsidR="00370EF6" w:rsidRDefault="00D00CD1">
      <w:bookmarkStart w:id="33" w:name="ref-hancock1994bank"/>
      <w:bookmarkEnd w:id="32"/>
      <w:r>
        <w:t xml:space="preserve">Hancock, D. and Wilcox, J. A. (1994). ‘Bank capital and the credit crunch: The roles of risk-weighted and unweighted capital regulations’. </w:t>
      </w:r>
      <w:r>
        <w:rPr>
          <w:i/>
          <w:iCs/>
        </w:rPr>
        <w:t>Real Estate Economics</w:t>
      </w:r>
      <w:r>
        <w:t>. Wiley Online Library, 22 (1), pp. 59–94.</w:t>
      </w:r>
    </w:p>
    <w:p w14:paraId="326F6C17" w14:textId="77777777" w:rsidR="00370EF6" w:rsidRDefault="00D00CD1">
      <w:bookmarkStart w:id="34" w:name="ref-hellwig2014bankers"/>
      <w:bookmarkEnd w:id="33"/>
      <w:proofErr w:type="spellStart"/>
      <w:r>
        <w:t>Hellwig</w:t>
      </w:r>
      <w:proofErr w:type="spellEnd"/>
      <w:r>
        <w:t xml:space="preserve">, M. and </w:t>
      </w:r>
      <w:proofErr w:type="spellStart"/>
      <w:r>
        <w:t>Admati</w:t>
      </w:r>
      <w:proofErr w:type="spellEnd"/>
      <w:r>
        <w:t xml:space="preserve">, A. (2014). </w:t>
      </w:r>
      <w:r>
        <w:rPr>
          <w:i/>
          <w:iCs/>
        </w:rPr>
        <w:t>The bankers’ new clothes: What’s wrong with banking and what to do about it-updated edition</w:t>
      </w:r>
      <w:r>
        <w:t>. Princeton University Press.</w:t>
      </w:r>
    </w:p>
    <w:p w14:paraId="779276A9" w14:textId="77777777" w:rsidR="00370EF6" w:rsidRDefault="00D00CD1">
      <w:bookmarkStart w:id="35" w:name="ref-houston1997capital"/>
      <w:bookmarkEnd w:id="34"/>
      <w:r>
        <w:t xml:space="preserve">Houston, J., James, C. and Marcus, D. (1997). ‘Capital market frictions and the role of internal capital markets in banking’. </w:t>
      </w:r>
      <w:r>
        <w:rPr>
          <w:i/>
          <w:iCs/>
        </w:rPr>
        <w:t>Journal of financial Economics</w:t>
      </w:r>
      <w:r>
        <w:t>. Elsevier, 46 (2), pp. 135–164.</w:t>
      </w:r>
    </w:p>
    <w:p w14:paraId="48DF1619" w14:textId="77777777" w:rsidR="00370EF6" w:rsidRDefault="00D00CD1">
      <w:bookmarkStart w:id="36" w:name="ref-imbierowicz2018time"/>
      <w:bookmarkEnd w:id="35"/>
      <w:proofErr w:type="spellStart"/>
      <w:r>
        <w:t>Imbierowicz</w:t>
      </w:r>
      <w:proofErr w:type="spellEnd"/>
      <w:r>
        <w:t xml:space="preserve">, B., </w:t>
      </w:r>
      <w:proofErr w:type="spellStart"/>
      <w:r>
        <w:t>Kragh</w:t>
      </w:r>
      <w:proofErr w:type="spellEnd"/>
      <w:r>
        <w:t xml:space="preserve">, J. and </w:t>
      </w:r>
      <w:proofErr w:type="spellStart"/>
      <w:r>
        <w:t>Rangvid</w:t>
      </w:r>
      <w:proofErr w:type="spellEnd"/>
      <w:r>
        <w:t xml:space="preserve">, J. (2018). ‘Time-varying capital requirements and disclosure rules: Effects on capitalization and lending decisions’. </w:t>
      </w:r>
      <w:r>
        <w:rPr>
          <w:i/>
          <w:iCs/>
        </w:rPr>
        <w:t>Journal of Money, Credit and Banking</w:t>
      </w:r>
      <w:r>
        <w:t>. Wiley Online Library, 50 (4), pp. 573–602.</w:t>
      </w:r>
    </w:p>
    <w:p w14:paraId="315F9BB8" w14:textId="77777777" w:rsidR="00370EF6" w:rsidRDefault="00D00CD1">
      <w:bookmarkStart w:id="37" w:name="ref-jimenez2017macroprudential"/>
      <w:bookmarkEnd w:id="36"/>
      <w:r>
        <w:t xml:space="preserve">Jiménez, G., </w:t>
      </w:r>
      <w:proofErr w:type="spellStart"/>
      <w:r>
        <w:t>Ongena</w:t>
      </w:r>
      <w:proofErr w:type="spellEnd"/>
      <w:r>
        <w:t xml:space="preserve">, S., </w:t>
      </w:r>
      <w:proofErr w:type="spellStart"/>
      <w:r>
        <w:t>Peydró</w:t>
      </w:r>
      <w:proofErr w:type="spellEnd"/>
      <w:r>
        <w:t xml:space="preserve">, J.-L. and </w:t>
      </w:r>
      <w:proofErr w:type="spellStart"/>
      <w:r>
        <w:t>Saurina</w:t>
      </w:r>
      <w:proofErr w:type="spellEnd"/>
      <w:r>
        <w:t xml:space="preserve">, J. (2017). ‘Macroprudential policy, countercyclical bank capital buffers, and credit supply: Evidence from the </w:t>
      </w:r>
      <w:proofErr w:type="spellStart"/>
      <w:r>
        <w:t>spanish</w:t>
      </w:r>
      <w:proofErr w:type="spellEnd"/>
      <w:r>
        <w:t xml:space="preserve"> dynamic provisioning experiments’. </w:t>
      </w:r>
      <w:r>
        <w:rPr>
          <w:i/>
          <w:iCs/>
        </w:rPr>
        <w:t>Journal of Political Economy</w:t>
      </w:r>
      <w:r>
        <w:t>. University of Chicago Press Chicago, IL, 125 (6), pp. 2126–2177.</w:t>
      </w:r>
    </w:p>
    <w:p w14:paraId="3BE5A521" w14:textId="77777777" w:rsidR="00370EF6" w:rsidRDefault="00D00CD1">
      <w:bookmarkStart w:id="38" w:name="ref-jorda2005estimation"/>
      <w:bookmarkEnd w:id="37"/>
      <w:proofErr w:type="spellStart"/>
      <w:r>
        <w:t>Jordà</w:t>
      </w:r>
      <w:proofErr w:type="spellEnd"/>
      <w:r>
        <w:t xml:space="preserve">, Ò. (2005). ‘Estimation and inference of impulse responses by local projections’. </w:t>
      </w:r>
      <w:r>
        <w:rPr>
          <w:i/>
          <w:iCs/>
        </w:rPr>
        <w:lastRenderedPageBreak/>
        <w:t xml:space="preserve">American </w:t>
      </w:r>
      <w:r w:rsidRPr="00405CFD">
        <w:t>economic review</w:t>
      </w:r>
      <w:r>
        <w:t>. American Economic Association, 95 (1), pp. 161–182.</w:t>
      </w:r>
    </w:p>
    <w:p w14:paraId="427FCAC8" w14:textId="77777777" w:rsidR="00F3467E" w:rsidRPr="00405CFD" w:rsidRDefault="00F3467E" w:rsidP="00405CFD">
      <w:bookmarkStart w:id="39" w:name="ref-milne2002bank"/>
      <w:bookmarkEnd w:id="38"/>
      <w:r w:rsidRPr="00405CFD">
        <w:t>Khwaja, A. I., &amp; Mian, A. (2008). Tracing the impact of bank liquidity shocks: Evidence from an emerging market. American Economic Review, 98(4), 1413–1442.</w:t>
      </w:r>
    </w:p>
    <w:p w14:paraId="73FCC12C" w14:textId="539E8515" w:rsidR="00370EF6" w:rsidRDefault="00D00CD1">
      <w:r>
        <w:t xml:space="preserve">Milne, A. and Whalley, A. (2002). ‘Bank capital regulation and incentives for risk-taking (SSRN </w:t>
      </w:r>
      <w:r w:rsidR="00F3467E">
        <w:t>s</w:t>
      </w:r>
      <w:r>
        <w:t>cholarly paper no. ID 299319). Rochester, NY: Social science research network’.</w:t>
      </w:r>
    </w:p>
    <w:p w14:paraId="428B9B30" w14:textId="77777777" w:rsidR="00370EF6" w:rsidRDefault="00D00CD1">
      <w:bookmarkStart w:id="40" w:name="ref-modigliani58"/>
      <w:bookmarkEnd w:id="39"/>
      <w:r>
        <w:t xml:space="preserve">Modigliani, F. and Miller, M. H. (1958). ‘The cost of capital, corporate finance and the theory of investment’. </w:t>
      </w:r>
      <w:r>
        <w:rPr>
          <w:i/>
          <w:iCs/>
        </w:rPr>
        <w:t>American Economic Review</w:t>
      </w:r>
      <w:r>
        <w:t>, 48, pp. 261–97.</w:t>
      </w:r>
    </w:p>
    <w:p w14:paraId="00CD50FD" w14:textId="77777777" w:rsidR="00370EF6" w:rsidRDefault="00D00CD1">
      <w:bookmarkStart w:id="41" w:name="ref-nier2005bank"/>
      <w:bookmarkEnd w:id="40"/>
      <w:proofErr w:type="spellStart"/>
      <w:r>
        <w:t>Nier</w:t>
      </w:r>
      <w:proofErr w:type="spellEnd"/>
      <w:r>
        <w:t xml:space="preserve">, E. and </w:t>
      </w:r>
      <w:proofErr w:type="spellStart"/>
      <w:r>
        <w:t>Zicchino</w:t>
      </w:r>
      <w:proofErr w:type="spellEnd"/>
      <w:r>
        <w:t xml:space="preserve">, L. (2005). ‘Bank weakness and bank loan supply’. </w:t>
      </w:r>
      <w:r>
        <w:rPr>
          <w:i/>
          <w:iCs/>
        </w:rPr>
        <w:t>Bank of England Financial Stability Review (December)</w:t>
      </w:r>
      <w:r>
        <w:t>, pp. 85–93.</w:t>
      </w:r>
    </w:p>
    <w:p w14:paraId="5FA8B780" w14:textId="77777777" w:rsidR="00370EF6" w:rsidRDefault="00D00CD1">
      <w:bookmarkStart w:id="42" w:name="ref-nowak2005first"/>
      <w:bookmarkEnd w:id="41"/>
      <w:r>
        <w:t xml:space="preserve">Nowak, M. (2005). ‘The first ten years after apartheid: An overview of the south </w:t>
      </w:r>
      <w:proofErr w:type="spellStart"/>
      <w:r>
        <w:t>african</w:t>
      </w:r>
      <w:proofErr w:type="spellEnd"/>
      <w:r>
        <w:t xml:space="preserve"> economy’. </w:t>
      </w:r>
      <w:r>
        <w:rPr>
          <w:i/>
          <w:iCs/>
        </w:rPr>
        <w:t>Post-Apartheid South Africa: The First Ten Years. Washington, DC: International Monetary Fund</w:t>
      </w:r>
      <w:r>
        <w:t>, pp. 1–10.</w:t>
      </w:r>
    </w:p>
    <w:p w14:paraId="66948F2D" w14:textId="77777777" w:rsidR="00370EF6" w:rsidRDefault="00D00CD1">
      <w:bookmarkStart w:id="43" w:name="ref-nowak2006post"/>
      <w:bookmarkEnd w:id="42"/>
      <w:r>
        <w:t xml:space="preserve">Nowak, M. M. and Ricci, M. L. A. (2006). ‘Post-apartheid south </w:t>
      </w:r>
      <w:proofErr w:type="spellStart"/>
      <w:r>
        <w:t>africa</w:t>
      </w:r>
      <w:proofErr w:type="spellEnd"/>
      <w:r>
        <w:t>: The first ten years’. International Monetary Fund.</w:t>
      </w:r>
    </w:p>
    <w:p w14:paraId="6C45A94E" w14:textId="03646288" w:rsidR="00370EF6" w:rsidRDefault="00D00CD1">
      <w:bookmarkStart w:id="44" w:name="ref-peek1997international"/>
      <w:bookmarkEnd w:id="43"/>
      <w:r>
        <w:t xml:space="preserve">Peek, J. and Rosengren, E. S. (1997). ‘The international transmission of financial shocks: The case of </w:t>
      </w:r>
      <w:r w:rsidR="005D0D76">
        <w:t>J</w:t>
      </w:r>
      <w:r>
        <w:t xml:space="preserve">apan’. </w:t>
      </w:r>
      <w:r>
        <w:rPr>
          <w:i/>
          <w:iCs/>
        </w:rPr>
        <w:t>The American Economic Review</w:t>
      </w:r>
      <w:r>
        <w:t>. JSTOR, pp. 495–505.</w:t>
      </w:r>
    </w:p>
    <w:p w14:paraId="477D0E1F" w14:textId="3D249E19" w:rsidR="00370EF6" w:rsidRDefault="00D00CD1">
      <w:bookmarkStart w:id="45" w:name="ref-neryvia2023"/>
      <w:bookmarkEnd w:id="44"/>
      <w:r>
        <w:t xml:space="preserve">Pillay, N. and </w:t>
      </w:r>
      <w:proofErr w:type="spellStart"/>
      <w:r>
        <w:t>Makrelov</w:t>
      </w:r>
      <w:proofErr w:type="spellEnd"/>
      <w:r>
        <w:t xml:space="preserve">, K. (2023). ‘Capital buffers and lending in south </w:t>
      </w:r>
      <w:proofErr w:type="spellStart"/>
      <w:r>
        <w:t>africa</w:t>
      </w:r>
      <w:proofErr w:type="spellEnd"/>
      <w:r>
        <w:t xml:space="preserve"> (</w:t>
      </w:r>
      <w:r w:rsidR="005D0D76">
        <w:t>forth</w:t>
      </w:r>
      <w:r>
        <w:t>coming)’. South African Reserve Bank.</w:t>
      </w:r>
    </w:p>
    <w:p w14:paraId="23938D9C" w14:textId="77777777" w:rsidR="00370EF6" w:rsidRDefault="00D00CD1">
      <w:bookmarkStart w:id="46" w:name="ref-van2008welfare"/>
      <w:bookmarkEnd w:id="45"/>
      <w:r>
        <w:t xml:space="preserve">Van den Heuvel, S. J. (2008). ‘The welfare cost of bank capital requirements’. </w:t>
      </w:r>
      <w:r>
        <w:rPr>
          <w:i/>
          <w:iCs/>
        </w:rPr>
        <w:t>Journal of Monetary Economics</w:t>
      </w:r>
      <w:r>
        <w:t>. Elsevier, 55 (2), pp. 298–320.</w:t>
      </w:r>
      <w:bookmarkEnd w:id="18"/>
      <w:bookmarkEnd w:id="20"/>
      <w:bookmarkEnd w:id="46"/>
    </w:p>
    <w:sectPr w:rsidR="00370EF6" w:rsidSect="00AE6F56">
      <w:footnotePr>
        <w:numFmt w:val="chicago"/>
        <w:numRestart w:val="eachSect"/>
      </w:footnotePr>
      <w:pgSz w:w="11907" w:h="16840"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5ECC0" w14:textId="77777777" w:rsidR="00996EA8" w:rsidRDefault="00996EA8">
      <w:pPr>
        <w:spacing w:after="0" w:line="240" w:lineRule="auto"/>
      </w:pPr>
      <w:r>
        <w:separator/>
      </w:r>
    </w:p>
  </w:endnote>
  <w:endnote w:type="continuationSeparator" w:id="0">
    <w:p w14:paraId="40A4E302" w14:textId="77777777" w:rsidR="00996EA8" w:rsidRDefault="00996EA8">
      <w:pPr>
        <w:spacing w:after="0" w:line="240" w:lineRule="auto"/>
      </w:pPr>
      <w:r>
        <w:continuationSeparator/>
      </w:r>
    </w:p>
  </w:endnote>
  <w:endnote w:type="continuationNotice" w:id="1">
    <w:p w14:paraId="3A83ED67" w14:textId="77777777" w:rsidR="00996EA8" w:rsidRDefault="00996E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auto"/>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A78" w14:textId="77777777" w:rsidR="00405CFD" w:rsidRDefault="00405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2FE7" w14:textId="77777777" w:rsidR="00405CFD" w:rsidRDefault="00405CFD">
    <w:pPr>
      <w:pStyle w:val="Footer"/>
      <w:jc w:val="center"/>
    </w:pPr>
  </w:p>
  <w:p w14:paraId="685680CA" w14:textId="77777777" w:rsidR="00405CFD" w:rsidRDefault="00405CF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C102" w14:textId="77777777" w:rsidR="00405CFD" w:rsidRDefault="00405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97C1B" w14:textId="77777777" w:rsidR="00996EA8" w:rsidRDefault="00996EA8">
      <w:r>
        <w:separator/>
      </w:r>
    </w:p>
  </w:footnote>
  <w:footnote w:type="continuationSeparator" w:id="0">
    <w:p w14:paraId="435A0A49" w14:textId="77777777" w:rsidR="00996EA8" w:rsidRDefault="00996EA8">
      <w:r>
        <w:continuationSeparator/>
      </w:r>
    </w:p>
  </w:footnote>
  <w:footnote w:type="continuationNotice" w:id="1">
    <w:p w14:paraId="4DC5E076" w14:textId="77777777" w:rsidR="00996EA8" w:rsidRDefault="00996EA8">
      <w:pPr>
        <w:spacing w:after="0" w:line="240" w:lineRule="auto"/>
      </w:pPr>
    </w:p>
  </w:footnote>
  <w:footnote w:id="2">
    <w:p w14:paraId="0C2BEB54" w14:textId="40D202BE" w:rsidR="00405CFD" w:rsidRDefault="00405CFD" w:rsidP="00205B2D">
      <w:pPr>
        <w:pStyle w:val="FootnoteText"/>
      </w:pPr>
      <w:r>
        <w:rPr>
          <w:rStyle w:val="FootnoteReference"/>
        </w:rPr>
        <w:footnoteRef/>
      </w:r>
      <w:r>
        <w:t xml:space="preserve">. South African Reserve Bank, Pretoria, South Africa; Email: xolani.sibande@resbank.co.za. We thank the reviewers for their invaluable comments. </w:t>
      </w:r>
    </w:p>
  </w:footnote>
  <w:footnote w:id="3">
    <w:p w14:paraId="0A6F9BF6" w14:textId="7E27908C" w:rsidR="00405CFD" w:rsidRPr="00B37C0F" w:rsidRDefault="00405CFD" w:rsidP="00205B2D">
      <w:pPr>
        <w:pStyle w:val="FootnoteText"/>
        <w:rPr>
          <w:lang w:val="en-ZA"/>
        </w:rPr>
      </w:pPr>
      <w:r>
        <w:rPr>
          <w:rStyle w:val="FootnoteReference"/>
        </w:rPr>
        <w:footnoteRef/>
      </w:r>
      <w:r>
        <w:t xml:space="preserve"> </w:t>
      </w:r>
      <w:r w:rsidRPr="00B37C0F">
        <w:rPr>
          <w:lang w:val="en-ZA"/>
        </w:rPr>
        <w:t xml:space="preserve">Loughborough </w:t>
      </w:r>
      <w:r>
        <w:rPr>
          <w:lang w:val="en-ZA"/>
        </w:rPr>
        <w:t xml:space="preserve">Business School, Loughborough </w:t>
      </w:r>
      <w:r w:rsidRPr="00B37C0F">
        <w:rPr>
          <w:lang w:val="en-ZA"/>
        </w:rPr>
        <w:t xml:space="preserve">University, </w:t>
      </w:r>
      <w:r>
        <w:rPr>
          <w:lang w:val="en-ZA"/>
        </w:rPr>
        <w:t>Loughborough</w:t>
      </w:r>
      <w:r w:rsidRPr="00B37C0F">
        <w:rPr>
          <w:lang w:val="en-ZA"/>
        </w:rPr>
        <w:t xml:space="preserve">, United Kingdom; Email: A.K.L.Milne@lboro.ac.uk </w:t>
      </w:r>
    </w:p>
    <w:p w14:paraId="36DCC6E0" w14:textId="76BECFE1" w:rsidR="00405CFD" w:rsidRPr="00B37C0F" w:rsidRDefault="00405CFD" w:rsidP="00205B2D">
      <w:pPr>
        <w:pStyle w:val="FootnoteText"/>
        <w:rPr>
          <w:lang w:val="en-US"/>
        </w:rPr>
      </w:pPr>
    </w:p>
  </w:footnote>
  <w:footnote w:id="4">
    <w:p w14:paraId="54ED32FB" w14:textId="77777777" w:rsidR="00405CFD" w:rsidRDefault="00405CFD" w:rsidP="00FF15E3">
      <w:pPr>
        <w:pStyle w:val="FootnoteText"/>
      </w:pPr>
      <w:r>
        <w:rPr>
          <w:rStyle w:val="FootnoteReference"/>
        </w:rPr>
        <w:footnoteRef/>
      </w:r>
      <w:r>
        <w:t xml:space="preserve"> This literature is part of broader literature on credit supply shocks and bank lending, see </w:t>
      </w:r>
      <w:proofErr w:type="spellStart"/>
      <w:r>
        <w:t>Degryse</w:t>
      </w:r>
      <w:proofErr w:type="spellEnd"/>
      <w:r>
        <w:t xml:space="preserve"> et al. (2019) for a more </w:t>
      </w:r>
      <w:proofErr w:type="spellStart"/>
      <w:r>
        <w:t>comprehesive</w:t>
      </w:r>
      <w:proofErr w:type="spellEnd"/>
      <w:r>
        <w:t xml:space="preserve"> review. </w:t>
      </w:r>
    </w:p>
  </w:footnote>
  <w:footnote w:id="5">
    <w:p w14:paraId="57235CD5" w14:textId="77777777" w:rsidR="00405CFD" w:rsidRDefault="00405CFD" w:rsidP="003152EA">
      <w:pPr>
        <w:pStyle w:val="FootnoteText"/>
      </w:pPr>
      <w:r>
        <w:rPr>
          <w:rStyle w:val="FootnoteReference"/>
        </w:rPr>
        <w:footnoteRef/>
      </w:r>
      <w:r>
        <w:t xml:space="preserve"> Macroeconomic data, except where otherwise specified, is from the IMF data mapper </w:t>
      </w:r>
      <w:hyperlink r:id="rId1">
        <w:r>
          <w:rPr>
            <w:rStyle w:val="Hyperlink"/>
          </w:rPr>
          <w:t>https://www.imf.org/external/datamapper/profile/ZAF</w:t>
        </w:r>
      </w:hyperlink>
    </w:p>
  </w:footnote>
  <w:footnote w:id="6">
    <w:p w14:paraId="366A0E40" w14:textId="77777777" w:rsidR="00405CFD" w:rsidRDefault="00405CFD" w:rsidP="003152EA">
      <w:pPr>
        <w:pStyle w:val="FootnoteText"/>
      </w:pPr>
      <w:r>
        <w:rPr>
          <w:rStyle w:val="FootnoteReference"/>
        </w:rPr>
        <w:footnoteRef/>
      </w:r>
      <w:r>
        <w:t xml:space="preserve"> Nowak (2005); Nowak and Ricci (2006)</w:t>
      </w:r>
    </w:p>
  </w:footnote>
  <w:footnote w:id="7">
    <w:p w14:paraId="124E6429" w14:textId="77777777" w:rsidR="00405CFD" w:rsidRDefault="00405CFD" w:rsidP="003152EA">
      <w:pPr>
        <w:pStyle w:val="FootnoteText"/>
      </w:pPr>
      <w:r>
        <w:rPr>
          <w:rStyle w:val="FootnoteReference"/>
        </w:rPr>
        <w:footnoteRef/>
      </w:r>
      <w:r>
        <w:t xml:space="preserve"> See the 2010 IMF Article IV consultation, Sept 2010, highlighting South Africa’s strong economic performance since the mid-1990s.</w:t>
      </w:r>
    </w:p>
  </w:footnote>
  <w:footnote w:id="8">
    <w:p w14:paraId="046F2CB7" w14:textId="77777777" w:rsidR="00405CFD" w:rsidRDefault="00405CFD" w:rsidP="001A0BED">
      <w:pPr>
        <w:pStyle w:val="FootnoteText"/>
      </w:pPr>
      <w:r>
        <w:rPr>
          <w:rStyle w:val="FootnoteReference"/>
        </w:rPr>
        <w:footnoteRef/>
      </w:r>
      <w:r>
        <w:t xml:space="preserve"> See the IMF Article IV consultations, that of July 2011 which ascribes the lack of labour intensive growth, in part, to concentration and lack of competition in the non-financial corporate sector.</w:t>
      </w:r>
    </w:p>
  </w:footnote>
  <w:footnote w:id="9">
    <w:p w14:paraId="786D8C05" w14:textId="77777777" w:rsidR="00405CFD" w:rsidRDefault="00405CFD" w:rsidP="00FF6D52">
      <w:pPr>
        <w:pStyle w:val="FootnoteText"/>
      </w:pPr>
      <w:r>
        <w:rPr>
          <w:rStyle w:val="FootnoteReference"/>
        </w:rPr>
        <w:footnoteRef/>
      </w:r>
      <w:r>
        <w:t xml:space="preserve"> </w:t>
      </w:r>
      <w:proofErr w:type="spellStart"/>
      <w:r>
        <w:t>Ateba</w:t>
      </w:r>
      <w:proofErr w:type="spellEnd"/>
      <w:r>
        <w:t xml:space="preserve"> and Prinsloo (2019); Folly (2021)</w:t>
      </w:r>
    </w:p>
  </w:footnote>
  <w:footnote w:id="10">
    <w:p w14:paraId="6B354711" w14:textId="77777777" w:rsidR="00405CFD" w:rsidRDefault="00405CFD" w:rsidP="00FF6D52">
      <w:pPr>
        <w:pStyle w:val="FootnoteText"/>
      </w:pPr>
      <w:r>
        <w:rPr>
          <w:rStyle w:val="FootnoteReference"/>
        </w:rPr>
        <w:footnoteRef/>
      </w:r>
      <w:r>
        <w:t xml:space="preserve"> </w:t>
      </w:r>
      <w:hyperlink r:id="rId2" w:history="1">
        <w:r w:rsidRPr="0022789C">
          <w:rPr>
            <w:rStyle w:val="Hyperlink"/>
          </w:rPr>
          <w:t>https://www.resbank.co.za/en/home/what-we-do/Prudentialregulation/sa-registered-banks-and-representative-offices</w:t>
        </w:r>
      </w:hyperlink>
      <w:r>
        <w:t>, January 2022; these consisted of 13 branches of foreign banks, 4 foreign controlled commercial bank subsidiaries, 14 locally controlled commercial banks and 3 mutual banks.</w:t>
      </w:r>
    </w:p>
  </w:footnote>
  <w:footnote w:id="11">
    <w:p w14:paraId="23A1E516" w14:textId="77777777" w:rsidR="00405CFD" w:rsidRDefault="00405CFD" w:rsidP="00FF6D52">
      <w:pPr>
        <w:pStyle w:val="FootnoteText"/>
      </w:pPr>
      <w:r>
        <w:rPr>
          <w:rStyle w:val="FootnoteReference"/>
        </w:rPr>
        <w:footnoteRef/>
      </w:r>
      <w:r>
        <w:t xml:space="preserve"> As of </w:t>
      </w:r>
      <w:proofErr w:type="gramStart"/>
      <w:r>
        <w:t>April,</w:t>
      </w:r>
      <w:proofErr w:type="gramEnd"/>
      <w:r>
        <w:t xml:space="preserve"> 2020, these were (% of banking sector assets): Standard Bank of South Africa (24.1%), First Rand (20.4%), ABSA (19.8%), Nedbank (17.0%) and Investec (7.8%); the next largest bank is Capitec (2%).</w:t>
      </w:r>
    </w:p>
  </w:footnote>
  <w:footnote w:id="12">
    <w:p w14:paraId="08CA6C89" w14:textId="77777777" w:rsidR="00405CFD" w:rsidRDefault="00405CFD" w:rsidP="00FF6D52">
      <w:pPr>
        <w:pStyle w:val="FootnoteText"/>
      </w:pPr>
      <w:r>
        <w:rPr>
          <w:rStyle w:val="FootnoteReference"/>
        </w:rPr>
        <w:footnoteRef/>
      </w:r>
      <w:r>
        <w:t xml:space="preserve"> IMF financial soundness indicators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B10" w14:textId="77777777" w:rsidR="00405CFD" w:rsidRDefault="00405C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533" w14:textId="77777777" w:rsidR="00405CFD" w:rsidRDefault="00405C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B5BD" w14:textId="77777777" w:rsidR="00405CFD" w:rsidRDefault="00405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3855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1"/>
    <w:multiLevelType w:val="multilevel"/>
    <w:tmpl w:val="EA0673C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40E328C"/>
    <w:multiLevelType w:val="hybridMultilevel"/>
    <w:tmpl w:val="DEA4CBE8"/>
    <w:lvl w:ilvl="0" w:tplc="19E48E48">
      <w:start w:val="8"/>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C3E4873E">
      <w:numFmt w:val="bullet"/>
      <w:lvlText w:val="•"/>
      <w:lvlJc w:val="left"/>
      <w:pPr>
        <w:ind w:left="1136" w:hanging="240"/>
      </w:pPr>
      <w:rPr>
        <w:rFonts w:hint="default"/>
        <w:lang w:val="en-US" w:eastAsia="en-US" w:bidi="ar-SA"/>
      </w:rPr>
    </w:lvl>
    <w:lvl w:ilvl="2" w:tplc="C83AE142">
      <w:numFmt w:val="bullet"/>
      <w:lvlText w:val="•"/>
      <w:lvlJc w:val="left"/>
      <w:pPr>
        <w:ind w:left="1912" w:hanging="240"/>
      </w:pPr>
      <w:rPr>
        <w:rFonts w:hint="default"/>
        <w:lang w:val="en-US" w:eastAsia="en-US" w:bidi="ar-SA"/>
      </w:rPr>
    </w:lvl>
    <w:lvl w:ilvl="3" w:tplc="47E4724C">
      <w:numFmt w:val="bullet"/>
      <w:lvlText w:val="•"/>
      <w:lvlJc w:val="left"/>
      <w:pPr>
        <w:ind w:left="2688" w:hanging="240"/>
      </w:pPr>
      <w:rPr>
        <w:rFonts w:hint="default"/>
        <w:lang w:val="en-US" w:eastAsia="en-US" w:bidi="ar-SA"/>
      </w:rPr>
    </w:lvl>
    <w:lvl w:ilvl="4" w:tplc="362CB408">
      <w:numFmt w:val="bullet"/>
      <w:lvlText w:val="•"/>
      <w:lvlJc w:val="left"/>
      <w:pPr>
        <w:ind w:left="3464" w:hanging="240"/>
      </w:pPr>
      <w:rPr>
        <w:rFonts w:hint="default"/>
        <w:lang w:val="en-US" w:eastAsia="en-US" w:bidi="ar-SA"/>
      </w:rPr>
    </w:lvl>
    <w:lvl w:ilvl="5" w:tplc="1340E1C0">
      <w:numFmt w:val="bullet"/>
      <w:lvlText w:val="•"/>
      <w:lvlJc w:val="left"/>
      <w:pPr>
        <w:ind w:left="4240" w:hanging="240"/>
      </w:pPr>
      <w:rPr>
        <w:rFonts w:hint="default"/>
        <w:lang w:val="en-US" w:eastAsia="en-US" w:bidi="ar-SA"/>
      </w:rPr>
    </w:lvl>
    <w:lvl w:ilvl="6" w:tplc="08D880C2">
      <w:numFmt w:val="bullet"/>
      <w:lvlText w:val="•"/>
      <w:lvlJc w:val="left"/>
      <w:pPr>
        <w:ind w:left="5016" w:hanging="240"/>
      </w:pPr>
      <w:rPr>
        <w:rFonts w:hint="default"/>
        <w:lang w:val="en-US" w:eastAsia="en-US" w:bidi="ar-SA"/>
      </w:rPr>
    </w:lvl>
    <w:lvl w:ilvl="7" w:tplc="FC98141C">
      <w:numFmt w:val="bullet"/>
      <w:lvlText w:val="•"/>
      <w:lvlJc w:val="left"/>
      <w:pPr>
        <w:ind w:left="5792" w:hanging="240"/>
      </w:pPr>
      <w:rPr>
        <w:rFonts w:hint="default"/>
        <w:lang w:val="en-US" w:eastAsia="en-US" w:bidi="ar-SA"/>
      </w:rPr>
    </w:lvl>
    <w:lvl w:ilvl="8" w:tplc="F44A8586">
      <w:numFmt w:val="bullet"/>
      <w:lvlText w:val="•"/>
      <w:lvlJc w:val="left"/>
      <w:pPr>
        <w:ind w:left="6568" w:hanging="240"/>
      </w:pPr>
      <w:rPr>
        <w:rFonts w:hint="default"/>
        <w:lang w:val="en-US" w:eastAsia="en-US" w:bidi="ar-SA"/>
      </w:rPr>
    </w:lvl>
  </w:abstractNum>
  <w:abstractNum w:abstractNumId="3" w15:restartNumberingAfterBreak="0">
    <w:nsid w:val="08AC64A2"/>
    <w:multiLevelType w:val="hybridMultilevel"/>
    <w:tmpl w:val="BFEC42DC"/>
    <w:lvl w:ilvl="0" w:tplc="86D8949A">
      <w:start w:val="25"/>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6CF8C498">
      <w:numFmt w:val="bullet"/>
      <w:lvlText w:val="•"/>
      <w:lvlJc w:val="left"/>
      <w:pPr>
        <w:ind w:left="1136" w:hanging="240"/>
      </w:pPr>
      <w:rPr>
        <w:rFonts w:hint="default"/>
        <w:lang w:val="en-US" w:eastAsia="en-US" w:bidi="ar-SA"/>
      </w:rPr>
    </w:lvl>
    <w:lvl w:ilvl="2" w:tplc="A3509E14">
      <w:numFmt w:val="bullet"/>
      <w:lvlText w:val="•"/>
      <w:lvlJc w:val="left"/>
      <w:pPr>
        <w:ind w:left="1912" w:hanging="240"/>
      </w:pPr>
      <w:rPr>
        <w:rFonts w:hint="default"/>
        <w:lang w:val="en-US" w:eastAsia="en-US" w:bidi="ar-SA"/>
      </w:rPr>
    </w:lvl>
    <w:lvl w:ilvl="3" w:tplc="DA72ED20">
      <w:numFmt w:val="bullet"/>
      <w:lvlText w:val="•"/>
      <w:lvlJc w:val="left"/>
      <w:pPr>
        <w:ind w:left="2688" w:hanging="240"/>
      </w:pPr>
      <w:rPr>
        <w:rFonts w:hint="default"/>
        <w:lang w:val="en-US" w:eastAsia="en-US" w:bidi="ar-SA"/>
      </w:rPr>
    </w:lvl>
    <w:lvl w:ilvl="4" w:tplc="90F0ADFC">
      <w:numFmt w:val="bullet"/>
      <w:lvlText w:val="•"/>
      <w:lvlJc w:val="left"/>
      <w:pPr>
        <w:ind w:left="3464" w:hanging="240"/>
      </w:pPr>
      <w:rPr>
        <w:rFonts w:hint="default"/>
        <w:lang w:val="en-US" w:eastAsia="en-US" w:bidi="ar-SA"/>
      </w:rPr>
    </w:lvl>
    <w:lvl w:ilvl="5" w:tplc="3134FC8C">
      <w:numFmt w:val="bullet"/>
      <w:lvlText w:val="•"/>
      <w:lvlJc w:val="left"/>
      <w:pPr>
        <w:ind w:left="4240" w:hanging="240"/>
      </w:pPr>
      <w:rPr>
        <w:rFonts w:hint="default"/>
        <w:lang w:val="en-US" w:eastAsia="en-US" w:bidi="ar-SA"/>
      </w:rPr>
    </w:lvl>
    <w:lvl w:ilvl="6" w:tplc="40DA4308">
      <w:numFmt w:val="bullet"/>
      <w:lvlText w:val="•"/>
      <w:lvlJc w:val="left"/>
      <w:pPr>
        <w:ind w:left="5016" w:hanging="240"/>
      </w:pPr>
      <w:rPr>
        <w:rFonts w:hint="default"/>
        <w:lang w:val="en-US" w:eastAsia="en-US" w:bidi="ar-SA"/>
      </w:rPr>
    </w:lvl>
    <w:lvl w:ilvl="7" w:tplc="1E1C59A4">
      <w:numFmt w:val="bullet"/>
      <w:lvlText w:val="•"/>
      <w:lvlJc w:val="left"/>
      <w:pPr>
        <w:ind w:left="5792" w:hanging="240"/>
      </w:pPr>
      <w:rPr>
        <w:rFonts w:hint="default"/>
        <w:lang w:val="en-US" w:eastAsia="en-US" w:bidi="ar-SA"/>
      </w:rPr>
    </w:lvl>
    <w:lvl w:ilvl="8" w:tplc="614E7348">
      <w:numFmt w:val="bullet"/>
      <w:lvlText w:val="•"/>
      <w:lvlJc w:val="left"/>
      <w:pPr>
        <w:ind w:left="6568" w:hanging="240"/>
      </w:pPr>
      <w:rPr>
        <w:rFonts w:hint="default"/>
        <w:lang w:val="en-US" w:eastAsia="en-US" w:bidi="ar-SA"/>
      </w:rPr>
    </w:lvl>
  </w:abstractNum>
  <w:abstractNum w:abstractNumId="4" w15:restartNumberingAfterBreak="0">
    <w:nsid w:val="19783F87"/>
    <w:multiLevelType w:val="hybridMultilevel"/>
    <w:tmpl w:val="BB0C5D72"/>
    <w:lvl w:ilvl="0" w:tplc="5B94B0C6">
      <w:start w:val="20"/>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071AEA36">
      <w:numFmt w:val="bullet"/>
      <w:lvlText w:val="•"/>
      <w:lvlJc w:val="left"/>
      <w:pPr>
        <w:ind w:left="1136" w:hanging="240"/>
      </w:pPr>
      <w:rPr>
        <w:rFonts w:hint="default"/>
        <w:lang w:val="en-US" w:eastAsia="en-US" w:bidi="ar-SA"/>
      </w:rPr>
    </w:lvl>
    <w:lvl w:ilvl="2" w:tplc="B1DE3F62">
      <w:numFmt w:val="bullet"/>
      <w:lvlText w:val="•"/>
      <w:lvlJc w:val="left"/>
      <w:pPr>
        <w:ind w:left="1912" w:hanging="240"/>
      </w:pPr>
      <w:rPr>
        <w:rFonts w:hint="default"/>
        <w:lang w:val="en-US" w:eastAsia="en-US" w:bidi="ar-SA"/>
      </w:rPr>
    </w:lvl>
    <w:lvl w:ilvl="3" w:tplc="0B4CBB1C">
      <w:numFmt w:val="bullet"/>
      <w:lvlText w:val="•"/>
      <w:lvlJc w:val="left"/>
      <w:pPr>
        <w:ind w:left="2688" w:hanging="240"/>
      </w:pPr>
      <w:rPr>
        <w:rFonts w:hint="default"/>
        <w:lang w:val="en-US" w:eastAsia="en-US" w:bidi="ar-SA"/>
      </w:rPr>
    </w:lvl>
    <w:lvl w:ilvl="4" w:tplc="D0783AD6">
      <w:numFmt w:val="bullet"/>
      <w:lvlText w:val="•"/>
      <w:lvlJc w:val="left"/>
      <w:pPr>
        <w:ind w:left="3464" w:hanging="240"/>
      </w:pPr>
      <w:rPr>
        <w:rFonts w:hint="default"/>
        <w:lang w:val="en-US" w:eastAsia="en-US" w:bidi="ar-SA"/>
      </w:rPr>
    </w:lvl>
    <w:lvl w:ilvl="5" w:tplc="785495FE">
      <w:numFmt w:val="bullet"/>
      <w:lvlText w:val="•"/>
      <w:lvlJc w:val="left"/>
      <w:pPr>
        <w:ind w:left="4240" w:hanging="240"/>
      </w:pPr>
      <w:rPr>
        <w:rFonts w:hint="default"/>
        <w:lang w:val="en-US" w:eastAsia="en-US" w:bidi="ar-SA"/>
      </w:rPr>
    </w:lvl>
    <w:lvl w:ilvl="6" w:tplc="CA989FCA">
      <w:numFmt w:val="bullet"/>
      <w:lvlText w:val="•"/>
      <w:lvlJc w:val="left"/>
      <w:pPr>
        <w:ind w:left="5016" w:hanging="240"/>
      </w:pPr>
      <w:rPr>
        <w:rFonts w:hint="default"/>
        <w:lang w:val="en-US" w:eastAsia="en-US" w:bidi="ar-SA"/>
      </w:rPr>
    </w:lvl>
    <w:lvl w:ilvl="7" w:tplc="A9A804A2">
      <w:numFmt w:val="bullet"/>
      <w:lvlText w:val="•"/>
      <w:lvlJc w:val="left"/>
      <w:pPr>
        <w:ind w:left="5792" w:hanging="240"/>
      </w:pPr>
      <w:rPr>
        <w:rFonts w:hint="default"/>
        <w:lang w:val="en-US" w:eastAsia="en-US" w:bidi="ar-SA"/>
      </w:rPr>
    </w:lvl>
    <w:lvl w:ilvl="8" w:tplc="FE3A9CE6">
      <w:numFmt w:val="bullet"/>
      <w:lvlText w:val="•"/>
      <w:lvlJc w:val="left"/>
      <w:pPr>
        <w:ind w:left="6568" w:hanging="240"/>
      </w:pPr>
      <w:rPr>
        <w:rFonts w:hint="default"/>
        <w:lang w:val="en-US" w:eastAsia="en-US" w:bidi="ar-SA"/>
      </w:rPr>
    </w:lvl>
  </w:abstractNum>
  <w:abstractNum w:abstractNumId="5" w15:restartNumberingAfterBreak="0">
    <w:nsid w:val="25630202"/>
    <w:multiLevelType w:val="multilevel"/>
    <w:tmpl w:val="A9B0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67451E"/>
    <w:multiLevelType w:val="hybridMultilevel"/>
    <w:tmpl w:val="89B211AE"/>
    <w:lvl w:ilvl="0" w:tplc="8062AE06">
      <w:start w:val="1"/>
      <w:numFmt w:val="decimal"/>
      <w:lvlText w:val="%1"/>
      <w:lvlJc w:val="left"/>
      <w:pPr>
        <w:ind w:left="599" w:hanging="480"/>
      </w:pPr>
      <w:rPr>
        <w:rFonts w:hint="default"/>
        <w:b/>
        <w:bCs/>
        <w:w w:val="67"/>
        <w:lang w:val="en-US" w:eastAsia="en-US" w:bidi="ar-SA"/>
      </w:rPr>
    </w:lvl>
    <w:lvl w:ilvl="1" w:tplc="ACA4C584">
      <w:numFmt w:val="bullet"/>
      <w:lvlText w:val="•"/>
      <w:lvlJc w:val="left"/>
      <w:pPr>
        <w:ind w:left="1083" w:hanging="480"/>
      </w:pPr>
      <w:rPr>
        <w:rFonts w:hint="default"/>
        <w:lang w:val="en-US" w:eastAsia="en-US" w:bidi="ar-SA"/>
      </w:rPr>
    </w:lvl>
    <w:lvl w:ilvl="2" w:tplc="0BBC98C4">
      <w:numFmt w:val="bullet"/>
      <w:lvlText w:val="•"/>
      <w:lvlJc w:val="left"/>
      <w:pPr>
        <w:ind w:left="1567" w:hanging="480"/>
      </w:pPr>
      <w:rPr>
        <w:rFonts w:hint="default"/>
        <w:lang w:val="en-US" w:eastAsia="en-US" w:bidi="ar-SA"/>
      </w:rPr>
    </w:lvl>
    <w:lvl w:ilvl="3" w:tplc="03A064EA">
      <w:numFmt w:val="bullet"/>
      <w:lvlText w:val="•"/>
      <w:lvlJc w:val="left"/>
      <w:pPr>
        <w:ind w:left="2051" w:hanging="480"/>
      </w:pPr>
      <w:rPr>
        <w:rFonts w:hint="default"/>
        <w:lang w:val="en-US" w:eastAsia="en-US" w:bidi="ar-SA"/>
      </w:rPr>
    </w:lvl>
    <w:lvl w:ilvl="4" w:tplc="02A4A092">
      <w:numFmt w:val="bullet"/>
      <w:lvlText w:val="•"/>
      <w:lvlJc w:val="left"/>
      <w:pPr>
        <w:ind w:left="2535" w:hanging="480"/>
      </w:pPr>
      <w:rPr>
        <w:rFonts w:hint="default"/>
        <w:lang w:val="en-US" w:eastAsia="en-US" w:bidi="ar-SA"/>
      </w:rPr>
    </w:lvl>
    <w:lvl w:ilvl="5" w:tplc="90580C6A">
      <w:numFmt w:val="bullet"/>
      <w:lvlText w:val="•"/>
      <w:lvlJc w:val="left"/>
      <w:pPr>
        <w:ind w:left="3019" w:hanging="480"/>
      </w:pPr>
      <w:rPr>
        <w:rFonts w:hint="default"/>
        <w:lang w:val="en-US" w:eastAsia="en-US" w:bidi="ar-SA"/>
      </w:rPr>
    </w:lvl>
    <w:lvl w:ilvl="6" w:tplc="82162DF8">
      <w:numFmt w:val="bullet"/>
      <w:lvlText w:val="•"/>
      <w:lvlJc w:val="left"/>
      <w:pPr>
        <w:ind w:left="3503" w:hanging="480"/>
      </w:pPr>
      <w:rPr>
        <w:rFonts w:hint="default"/>
        <w:lang w:val="en-US" w:eastAsia="en-US" w:bidi="ar-SA"/>
      </w:rPr>
    </w:lvl>
    <w:lvl w:ilvl="7" w:tplc="EF986290">
      <w:numFmt w:val="bullet"/>
      <w:lvlText w:val="•"/>
      <w:lvlJc w:val="left"/>
      <w:pPr>
        <w:ind w:left="3987" w:hanging="480"/>
      </w:pPr>
      <w:rPr>
        <w:rFonts w:hint="default"/>
        <w:lang w:val="en-US" w:eastAsia="en-US" w:bidi="ar-SA"/>
      </w:rPr>
    </w:lvl>
    <w:lvl w:ilvl="8" w:tplc="AEA46BFA">
      <w:numFmt w:val="bullet"/>
      <w:lvlText w:val="•"/>
      <w:lvlJc w:val="left"/>
      <w:pPr>
        <w:ind w:left="4471" w:hanging="480"/>
      </w:pPr>
      <w:rPr>
        <w:rFonts w:hint="default"/>
        <w:lang w:val="en-US" w:eastAsia="en-US" w:bidi="ar-SA"/>
      </w:rPr>
    </w:lvl>
  </w:abstractNum>
  <w:abstractNum w:abstractNumId="7" w15:restartNumberingAfterBreak="0">
    <w:nsid w:val="34835332"/>
    <w:multiLevelType w:val="hybridMultilevel"/>
    <w:tmpl w:val="F3B05E94"/>
    <w:lvl w:ilvl="0" w:tplc="7D98CD52">
      <w:start w:val="1"/>
      <w:numFmt w:val="decimal"/>
      <w:lvlText w:val="%1."/>
      <w:lvlJc w:val="left"/>
      <w:pPr>
        <w:ind w:left="530" w:hanging="360"/>
      </w:pPr>
    </w:lvl>
    <w:lvl w:ilvl="1" w:tplc="1C090019" w:tentative="1">
      <w:start w:val="1"/>
      <w:numFmt w:val="lowerLetter"/>
      <w:lvlText w:val="%2."/>
      <w:lvlJc w:val="left"/>
      <w:pPr>
        <w:ind w:left="1250" w:hanging="360"/>
      </w:pPr>
    </w:lvl>
    <w:lvl w:ilvl="2" w:tplc="1C09001B" w:tentative="1">
      <w:start w:val="1"/>
      <w:numFmt w:val="lowerRoman"/>
      <w:lvlText w:val="%3."/>
      <w:lvlJc w:val="right"/>
      <w:pPr>
        <w:ind w:left="1970" w:hanging="180"/>
      </w:pPr>
    </w:lvl>
    <w:lvl w:ilvl="3" w:tplc="1C09000F" w:tentative="1">
      <w:start w:val="1"/>
      <w:numFmt w:val="decimal"/>
      <w:lvlText w:val="%4."/>
      <w:lvlJc w:val="left"/>
      <w:pPr>
        <w:ind w:left="2690" w:hanging="360"/>
      </w:pPr>
    </w:lvl>
    <w:lvl w:ilvl="4" w:tplc="1C090019" w:tentative="1">
      <w:start w:val="1"/>
      <w:numFmt w:val="lowerLetter"/>
      <w:lvlText w:val="%5."/>
      <w:lvlJc w:val="left"/>
      <w:pPr>
        <w:ind w:left="3410" w:hanging="360"/>
      </w:pPr>
    </w:lvl>
    <w:lvl w:ilvl="5" w:tplc="1C09001B" w:tentative="1">
      <w:start w:val="1"/>
      <w:numFmt w:val="lowerRoman"/>
      <w:lvlText w:val="%6."/>
      <w:lvlJc w:val="right"/>
      <w:pPr>
        <w:ind w:left="4130" w:hanging="180"/>
      </w:pPr>
    </w:lvl>
    <w:lvl w:ilvl="6" w:tplc="1C09000F" w:tentative="1">
      <w:start w:val="1"/>
      <w:numFmt w:val="decimal"/>
      <w:lvlText w:val="%7."/>
      <w:lvlJc w:val="left"/>
      <w:pPr>
        <w:ind w:left="4850" w:hanging="360"/>
      </w:pPr>
    </w:lvl>
    <w:lvl w:ilvl="7" w:tplc="1C090019" w:tentative="1">
      <w:start w:val="1"/>
      <w:numFmt w:val="lowerLetter"/>
      <w:lvlText w:val="%8."/>
      <w:lvlJc w:val="left"/>
      <w:pPr>
        <w:ind w:left="5570" w:hanging="360"/>
      </w:pPr>
    </w:lvl>
    <w:lvl w:ilvl="8" w:tplc="1C09001B" w:tentative="1">
      <w:start w:val="1"/>
      <w:numFmt w:val="lowerRoman"/>
      <w:lvlText w:val="%9."/>
      <w:lvlJc w:val="right"/>
      <w:pPr>
        <w:ind w:left="6290" w:hanging="180"/>
      </w:pPr>
    </w:lvl>
  </w:abstractNum>
  <w:abstractNum w:abstractNumId="8" w15:restartNumberingAfterBreak="0">
    <w:nsid w:val="35F94D4D"/>
    <w:multiLevelType w:val="hybridMultilevel"/>
    <w:tmpl w:val="730E513C"/>
    <w:lvl w:ilvl="0" w:tplc="DE62DAE0">
      <w:start w:val="38"/>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5944FCC8">
      <w:numFmt w:val="bullet"/>
      <w:lvlText w:val="•"/>
      <w:lvlJc w:val="left"/>
      <w:pPr>
        <w:ind w:left="1136" w:hanging="240"/>
      </w:pPr>
      <w:rPr>
        <w:rFonts w:hint="default"/>
        <w:lang w:val="en-US" w:eastAsia="en-US" w:bidi="ar-SA"/>
      </w:rPr>
    </w:lvl>
    <w:lvl w:ilvl="2" w:tplc="1892EDC6">
      <w:numFmt w:val="bullet"/>
      <w:lvlText w:val="•"/>
      <w:lvlJc w:val="left"/>
      <w:pPr>
        <w:ind w:left="1912" w:hanging="240"/>
      </w:pPr>
      <w:rPr>
        <w:rFonts w:hint="default"/>
        <w:lang w:val="en-US" w:eastAsia="en-US" w:bidi="ar-SA"/>
      </w:rPr>
    </w:lvl>
    <w:lvl w:ilvl="3" w:tplc="84ECF1F2">
      <w:numFmt w:val="bullet"/>
      <w:lvlText w:val="•"/>
      <w:lvlJc w:val="left"/>
      <w:pPr>
        <w:ind w:left="2688" w:hanging="240"/>
      </w:pPr>
      <w:rPr>
        <w:rFonts w:hint="default"/>
        <w:lang w:val="en-US" w:eastAsia="en-US" w:bidi="ar-SA"/>
      </w:rPr>
    </w:lvl>
    <w:lvl w:ilvl="4" w:tplc="7CB4619E">
      <w:numFmt w:val="bullet"/>
      <w:lvlText w:val="•"/>
      <w:lvlJc w:val="left"/>
      <w:pPr>
        <w:ind w:left="3464" w:hanging="240"/>
      </w:pPr>
      <w:rPr>
        <w:rFonts w:hint="default"/>
        <w:lang w:val="en-US" w:eastAsia="en-US" w:bidi="ar-SA"/>
      </w:rPr>
    </w:lvl>
    <w:lvl w:ilvl="5" w:tplc="6C3EE6F4">
      <w:numFmt w:val="bullet"/>
      <w:lvlText w:val="•"/>
      <w:lvlJc w:val="left"/>
      <w:pPr>
        <w:ind w:left="4240" w:hanging="240"/>
      </w:pPr>
      <w:rPr>
        <w:rFonts w:hint="default"/>
        <w:lang w:val="en-US" w:eastAsia="en-US" w:bidi="ar-SA"/>
      </w:rPr>
    </w:lvl>
    <w:lvl w:ilvl="6" w:tplc="B57A9EDC">
      <w:numFmt w:val="bullet"/>
      <w:lvlText w:val="•"/>
      <w:lvlJc w:val="left"/>
      <w:pPr>
        <w:ind w:left="5016" w:hanging="240"/>
      </w:pPr>
      <w:rPr>
        <w:rFonts w:hint="default"/>
        <w:lang w:val="en-US" w:eastAsia="en-US" w:bidi="ar-SA"/>
      </w:rPr>
    </w:lvl>
    <w:lvl w:ilvl="7" w:tplc="E5DEF972">
      <w:numFmt w:val="bullet"/>
      <w:lvlText w:val="•"/>
      <w:lvlJc w:val="left"/>
      <w:pPr>
        <w:ind w:left="5792" w:hanging="240"/>
      </w:pPr>
      <w:rPr>
        <w:rFonts w:hint="default"/>
        <w:lang w:val="en-US" w:eastAsia="en-US" w:bidi="ar-SA"/>
      </w:rPr>
    </w:lvl>
    <w:lvl w:ilvl="8" w:tplc="571C4C4E">
      <w:numFmt w:val="bullet"/>
      <w:lvlText w:val="•"/>
      <w:lvlJc w:val="left"/>
      <w:pPr>
        <w:ind w:left="6568" w:hanging="240"/>
      </w:pPr>
      <w:rPr>
        <w:rFonts w:hint="default"/>
        <w:lang w:val="en-US" w:eastAsia="en-US" w:bidi="ar-SA"/>
      </w:rPr>
    </w:lvl>
  </w:abstractNum>
  <w:abstractNum w:abstractNumId="9" w15:restartNumberingAfterBreak="0">
    <w:nsid w:val="548B298F"/>
    <w:multiLevelType w:val="hybridMultilevel"/>
    <w:tmpl w:val="18EA27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5105DD1"/>
    <w:multiLevelType w:val="hybridMultilevel"/>
    <w:tmpl w:val="CDF0F3B6"/>
    <w:lvl w:ilvl="0" w:tplc="3B1E4E5A">
      <w:start w:val="33"/>
      <w:numFmt w:val="decimal"/>
      <w:lvlText w:val="%1."/>
      <w:lvlJc w:val="left"/>
      <w:pPr>
        <w:ind w:left="359" w:hanging="240"/>
      </w:pPr>
      <w:rPr>
        <w:rFonts w:ascii="Times New Roman" w:eastAsia="Times New Roman" w:hAnsi="Times New Roman" w:cs="Times New Roman" w:hint="default"/>
        <w:color w:val="231F20"/>
        <w:spacing w:val="-3"/>
        <w:w w:val="90"/>
        <w:sz w:val="18"/>
        <w:szCs w:val="18"/>
        <w:lang w:val="en-US" w:eastAsia="en-US" w:bidi="ar-SA"/>
      </w:rPr>
    </w:lvl>
    <w:lvl w:ilvl="1" w:tplc="3D58CD36">
      <w:numFmt w:val="bullet"/>
      <w:lvlText w:val="•"/>
      <w:lvlJc w:val="left"/>
      <w:pPr>
        <w:ind w:left="1136" w:hanging="240"/>
      </w:pPr>
      <w:rPr>
        <w:rFonts w:hint="default"/>
        <w:lang w:val="en-US" w:eastAsia="en-US" w:bidi="ar-SA"/>
      </w:rPr>
    </w:lvl>
    <w:lvl w:ilvl="2" w:tplc="5074DDC2">
      <w:numFmt w:val="bullet"/>
      <w:lvlText w:val="•"/>
      <w:lvlJc w:val="left"/>
      <w:pPr>
        <w:ind w:left="1912" w:hanging="240"/>
      </w:pPr>
      <w:rPr>
        <w:rFonts w:hint="default"/>
        <w:lang w:val="en-US" w:eastAsia="en-US" w:bidi="ar-SA"/>
      </w:rPr>
    </w:lvl>
    <w:lvl w:ilvl="3" w:tplc="039E1F4A">
      <w:numFmt w:val="bullet"/>
      <w:lvlText w:val="•"/>
      <w:lvlJc w:val="left"/>
      <w:pPr>
        <w:ind w:left="2688" w:hanging="240"/>
      </w:pPr>
      <w:rPr>
        <w:rFonts w:hint="default"/>
        <w:lang w:val="en-US" w:eastAsia="en-US" w:bidi="ar-SA"/>
      </w:rPr>
    </w:lvl>
    <w:lvl w:ilvl="4" w:tplc="BABAEFBA">
      <w:numFmt w:val="bullet"/>
      <w:lvlText w:val="•"/>
      <w:lvlJc w:val="left"/>
      <w:pPr>
        <w:ind w:left="3464" w:hanging="240"/>
      </w:pPr>
      <w:rPr>
        <w:rFonts w:hint="default"/>
        <w:lang w:val="en-US" w:eastAsia="en-US" w:bidi="ar-SA"/>
      </w:rPr>
    </w:lvl>
    <w:lvl w:ilvl="5" w:tplc="71B6D9C8">
      <w:numFmt w:val="bullet"/>
      <w:lvlText w:val="•"/>
      <w:lvlJc w:val="left"/>
      <w:pPr>
        <w:ind w:left="4240" w:hanging="240"/>
      </w:pPr>
      <w:rPr>
        <w:rFonts w:hint="default"/>
        <w:lang w:val="en-US" w:eastAsia="en-US" w:bidi="ar-SA"/>
      </w:rPr>
    </w:lvl>
    <w:lvl w:ilvl="6" w:tplc="7FCC5372">
      <w:numFmt w:val="bullet"/>
      <w:lvlText w:val="•"/>
      <w:lvlJc w:val="left"/>
      <w:pPr>
        <w:ind w:left="5016" w:hanging="240"/>
      </w:pPr>
      <w:rPr>
        <w:rFonts w:hint="default"/>
        <w:lang w:val="en-US" w:eastAsia="en-US" w:bidi="ar-SA"/>
      </w:rPr>
    </w:lvl>
    <w:lvl w:ilvl="7" w:tplc="D3A0598C">
      <w:numFmt w:val="bullet"/>
      <w:lvlText w:val="•"/>
      <w:lvlJc w:val="left"/>
      <w:pPr>
        <w:ind w:left="5792" w:hanging="240"/>
      </w:pPr>
      <w:rPr>
        <w:rFonts w:hint="default"/>
        <w:lang w:val="en-US" w:eastAsia="en-US" w:bidi="ar-SA"/>
      </w:rPr>
    </w:lvl>
    <w:lvl w:ilvl="8" w:tplc="BA76DED4">
      <w:numFmt w:val="bullet"/>
      <w:lvlText w:val="•"/>
      <w:lvlJc w:val="left"/>
      <w:pPr>
        <w:ind w:left="6568" w:hanging="240"/>
      </w:pPr>
      <w:rPr>
        <w:rFonts w:hint="default"/>
        <w:lang w:val="en-US" w:eastAsia="en-US" w:bidi="ar-SA"/>
      </w:rPr>
    </w:lvl>
  </w:abstractNum>
  <w:abstractNum w:abstractNumId="11" w15:restartNumberingAfterBreak="0">
    <w:nsid w:val="66AF218F"/>
    <w:multiLevelType w:val="hybridMultilevel"/>
    <w:tmpl w:val="24261D34"/>
    <w:lvl w:ilvl="0" w:tplc="C84CBFD6">
      <w:start w:val="17"/>
      <w:numFmt w:val="decimal"/>
      <w:lvlText w:val="%1."/>
      <w:lvlJc w:val="left"/>
      <w:pPr>
        <w:ind w:left="359" w:hanging="240"/>
      </w:pPr>
      <w:rPr>
        <w:rFonts w:ascii="Times New Roman" w:eastAsia="Times New Roman" w:hAnsi="Times New Roman" w:cs="Times New Roman" w:hint="default"/>
        <w:color w:val="231F20"/>
        <w:spacing w:val="-2"/>
        <w:w w:val="80"/>
        <w:sz w:val="18"/>
        <w:szCs w:val="18"/>
        <w:lang w:val="en-US" w:eastAsia="en-US" w:bidi="ar-SA"/>
      </w:rPr>
    </w:lvl>
    <w:lvl w:ilvl="1" w:tplc="2E40AE92">
      <w:numFmt w:val="bullet"/>
      <w:lvlText w:val="•"/>
      <w:lvlJc w:val="left"/>
      <w:pPr>
        <w:ind w:left="1136" w:hanging="240"/>
      </w:pPr>
      <w:rPr>
        <w:rFonts w:hint="default"/>
        <w:lang w:val="en-US" w:eastAsia="en-US" w:bidi="ar-SA"/>
      </w:rPr>
    </w:lvl>
    <w:lvl w:ilvl="2" w:tplc="9222A39C">
      <w:numFmt w:val="bullet"/>
      <w:lvlText w:val="•"/>
      <w:lvlJc w:val="left"/>
      <w:pPr>
        <w:ind w:left="1912" w:hanging="240"/>
      </w:pPr>
      <w:rPr>
        <w:rFonts w:hint="default"/>
        <w:lang w:val="en-US" w:eastAsia="en-US" w:bidi="ar-SA"/>
      </w:rPr>
    </w:lvl>
    <w:lvl w:ilvl="3" w:tplc="13645A64">
      <w:numFmt w:val="bullet"/>
      <w:lvlText w:val="•"/>
      <w:lvlJc w:val="left"/>
      <w:pPr>
        <w:ind w:left="2688" w:hanging="240"/>
      </w:pPr>
      <w:rPr>
        <w:rFonts w:hint="default"/>
        <w:lang w:val="en-US" w:eastAsia="en-US" w:bidi="ar-SA"/>
      </w:rPr>
    </w:lvl>
    <w:lvl w:ilvl="4" w:tplc="225C6860">
      <w:numFmt w:val="bullet"/>
      <w:lvlText w:val="•"/>
      <w:lvlJc w:val="left"/>
      <w:pPr>
        <w:ind w:left="3464" w:hanging="240"/>
      </w:pPr>
      <w:rPr>
        <w:rFonts w:hint="default"/>
        <w:lang w:val="en-US" w:eastAsia="en-US" w:bidi="ar-SA"/>
      </w:rPr>
    </w:lvl>
    <w:lvl w:ilvl="5" w:tplc="B296A9FA">
      <w:numFmt w:val="bullet"/>
      <w:lvlText w:val="•"/>
      <w:lvlJc w:val="left"/>
      <w:pPr>
        <w:ind w:left="4240" w:hanging="240"/>
      </w:pPr>
      <w:rPr>
        <w:rFonts w:hint="default"/>
        <w:lang w:val="en-US" w:eastAsia="en-US" w:bidi="ar-SA"/>
      </w:rPr>
    </w:lvl>
    <w:lvl w:ilvl="6" w:tplc="8B20DAB2">
      <w:numFmt w:val="bullet"/>
      <w:lvlText w:val="•"/>
      <w:lvlJc w:val="left"/>
      <w:pPr>
        <w:ind w:left="5016" w:hanging="240"/>
      </w:pPr>
      <w:rPr>
        <w:rFonts w:hint="default"/>
        <w:lang w:val="en-US" w:eastAsia="en-US" w:bidi="ar-SA"/>
      </w:rPr>
    </w:lvl>
    <w:lvl w:ilvl="7" w:tplc="9AD432EC">
      <w:numFmt w:val="bullet"/>
      <w:lvlText w:val="•"/>
      <w:lvlJc w:val="left"/>
      <w:pPr>
        <w:ind w:left="5792" w:hanging="240"/>
      </w:pPr>
      <w:rPr>
        <w:rFonts w:hint="default"/>
        <w:lang w:val="en-US" w:eastAsia="en-US" w:bidi="ar-SA"/>
      </w:rPr>
    </w:lvl>
    <w:lvl w:ilvl="8" w:tplc="07BAD506">
      <w:numFmt w:val="bullet"/>
      <w:lvlText w:val="•"/>
      <w:lvlJc w:val="left"/>
      <w:pPr>
        <w:ind w:left="6568" w:hanging="240"/>
      </w:pPr>
      <w:rPr>
        <w:rFonts w:hint="default"/>
        <w:lang w:val="en-US" w:eastAsia="en-US" w:bidi="ar-SA"/>
      </w:rPr>
    </w:lvl>
  </w:abstractNum>
  <w:abstractNum w:abstractNumId="12" w15:restartNumberingAfterBreak="0">
    <w:nsid w:val="68B238FE"/>
    <w:multiLevelType w:val="hybridMultilevel"/>
    <w:tmpl w:val="3200B046"/>
    <w:lvl w:ilvl="0" w:tplc="E7846922">
      <w:start w:val="14"/>
      <w:numFmt w:val="decimal"/>
      <w:lvlText w:val="%1."/>
      <w:lvlJc w:val="left"/>
      <w:pPr>
        <w:ind w:left="359" w:hanging="240"/>
      </w:pPr>
      <w:rPr>
        <w:rFonts w:ascii="Times New Roman" w:eastAsia="Times New Roman" w:hAnsi="Times New Roman" w:cs="Times New Roman" w:hint="default"/>
        <w:color w:val="231F20"/>
        <w:spacing w:val="-3"/>
        <w:w w:val="83"/>
        <w:sz w:val="18"/>
        <w:szCs w:val="18"/>
        <w:lang w:val="en-US" w:eastAsia="en-US" w:bidi="ar-SA"/>
      </w:rPr>
    </w:lvl>
    <w:lvl w:ilvl="1" w:tplc="99749048">
      <w:numFmt w:val="bullet"/>
      <w:lvlText w:val="•"/>
      <w:lvlJc w:val="left"/>
      <w:pPr>
        <w:ind w:left="1136" w:hanging="240"/>
      </w:pPr>
      <w:rPr>
        <w:rFonts w:hint="default"/>
        <w:lang w:val="en-US" w:eastAsia="en-US" w:bidi="ar-SA"/>
      </w:rPr>
    </w:lvl>
    <w:lvl w:ilvl="2" w:tplc="A7FE3066">
      <w:numFmt w:val="bullet"/>
      <w:lvlText w:val="•"/>
      <w:lvlJc w:val="left"/>
      <w:pPr>
        <w:ind w:left="1912" w:hanging="240"/>
      </w:pPr>
      <w:rPr>
        <w:rFonts w:hint="default"/>
        <w:lang w:val="en-US" w:eastAsia="en-US" w:bidi="ar-SA"/>
      </w:rPr>
    </w:lvl>
    <w:lvl w:ilvl="3" w:tplc="3D3A404C">
      <w:numFmt w:val="bullet"/>
      <w:lvlText w:val="•"/>
      <w:lvlJc w:val="left"/>
      <w:pPr>
        <w:ind w:left="2688" w:hanging="240"/>
      </w:pPr>
      <w:rPr>
        <w:rFonts w:hint="default"/>
        <w:lang w:val="en-US" w:eastAsia="en-US" w:bidi="ar-SA"/>
      </w:rPr>
    </w:lvl>
    <w:lvl w:ilvl="4" w:tplc="32A088C0">
      <w:numFmt w:val="bullet"/>
      <w:lvlText w:val="•"/>
      <w:lvlJc w:val="left"/>
      <w:pPr>
        <w:ind w:left="3464" w:hanging="240"/>
      </w:pPr>
      <w:rPr>
        <w:rFonts w:hint="default"/>
        <w:lang w:val="en-US" w:eastAsia="en-US" w:bidi="ar-SA"/>
      </w:rPr>
    </w:lvl>
    <w:lvl w:ilvl="5" w:tplc="C4C8AFDE">
      <w:numFmt w:val="bullet"/>
      <w:lvlText w:val="•"/>
      <w:lvlJc w:val="left"/>
      <w:pPr>
        <w:ind w:left="4240" w:hanging="240"/>
      </w:pPr>
      <w:rPr>
        <w:rFonts w:hint="default"/>
        <w:lang w:val="en-US" w:eastAsia="en-US" w:bidi="ar-SA"/>
      </w:rPr>
    </w:lvl>
    <w:lvl w:ilvl="6" w:tplc="7D50F4B8">
      <w:numFmt w:val="bullet"/>
      <w:lvlText w:val="•"/>
      <w:lvlJc w:val="left"/>
      <w:pPr>
        <w:ind w:left="5016" w:hanging="240"/>
      </w:pPr>
      <w:rPr>
        <w:rFonts w:hint="default"/>
        <w:lang w:val="en-US" w:eastAsia="en-US" w:bidi="ar-SA"/>
      </w:rPr>
    </w:lvl>
    <w:lvl w:ilvl="7" w:tplc="C5C0CCC4">
      <w:numFmt w:val="bullet"/>
      <w:lvlText w:val="•"/>
      <w:lvlJc w:val="left"/>
      <w:pPr>
        <w:ind w:left="5792" w:hanging="240"/>
      </w:pPr>
      <w:rPr>
        <w:rFonts w:hint="default"/>
        <w:lang w:val="en-US" w:eastAsia="en-US" w:bidi="ar-SA"/>
      </w:rPr>
    </w:lvl>
    <w:lvl w:ilvl="8" w:tplc="1400C8BA">
      <w:numFmt w:val="bullet"/>
      <w:lvlText w:val="•"/>
      <w:lvlJc w:val="left"/>
      <w:pPr>
        <w:ind w:left="6568" w:hanging="240"/>
      </w:pPr>
      <w:rPr>
        <w:rFonts w:hint="default"/>
        <w:lang w:val="en-US" w:eastAsia="en-US" w:bidi="ar-SA"/>
      </w:rPr>
    </w:lvl>
  </w:abstractNum>
  <w:abstractNum w:abstractNumId="13" w15:restartNumberingAfterBreak="0">
    <w:nsid w:val="6C717698"/>
    <w:multiLevelType w:val="hybridMultilevel"/>
    <w:tmpl w:val="13F640C2"/>
    <w:lvl w:ilvl="0" w:tplc="AEF46D7C">
      <w:start w:val="3"/>
      <w:numFmt w:val="decimal"/>
      <w:lvlText w:val="%1."/>
      <w:lvlJc w:val="left"/>
      <w:pPr>
        <w:ind w:left="359" w:hanging="240"/>
      </w:pPr>
      <w:rPr>
        <w:rFonts w:ascii="Times New Roman" w:eastAsia="Times New Roman" w:hAnsi="Times New Roman" w:cs="Times New Roman" w:hint="default"/>
        <w:color w:val="231F20"/>
        <w:w w:val="90"/>
        <w:sz w:val="18"/>
        <w:szCs w:val="18"/>
        <w:lang w:val="en-US" w:eastAsia="en-US" w:bidi="ar-SA"/>
      </w:rPr>
    </w:lvl>
    <w:lvl w:ilvl="1" w:tplc="B980EE52">
      <w:numFmt w:val="bullet"/>
      <w:lvlText w:val="•"/>
      <w:lvlJc w:val="left"/>
      <w:pPr>
        <w:ind w:left="1136" w:hanging="240"/>
      </w:pPr>
      <w:rPr>
        <w:rFonts w:hint="default"/>
        <w:lang w:val="en-US" w:eastAsia="en-US" w:bidi="ar-SA"/>
      </w:rPr>
    </w:lvl>
    <w:lvl w:ilvl="2" w:tplc="48FC723A">
      <w:numFmt w:val="bullet"/>
      <w:lvlText w:val="•"/>
      <w:lvlJc w:val="left"/>
      <w:pPr>
        <w:ind w:left="1912" w:hanging="240"/>
      </w:pPr>
      <w:rPr>
        <w:rFonts w:hint="default"/>
        <w:lang w:val="en-US" w:eastAsia="en-US" w:bidi="ar-SA"/>
      </w:rPr>
    </w:lvl>
    <w:lvl w:ilvl="3" w:tplc="89E80606">
      <w:numFmt w:val="bullet"/>
      <w:lvlText w:val="•"/>
      <w:lvlJc w:val="left"/>
      <w:pPr>
        <w:ind w:left="2688" w:hanging="240"/>
      </w:pPr>
      <w:rPr>
        <w:rFonts w:hint="default"/>
        <w:lang w:val="en-US" w:eastAsia="en-US" w:bidi="ar-SA"/>
      </w:rPr>
    </w:lvl>
    <w:lvl w:ilvl="4" w:tplc="94C0F876">
      <w:numFmt w:val="bullet"/>
      <w:lvlText w:val="•"/>
      <w:lvlJc w:val="left"/>
      <w:pPr>
        <w:ind w:left="3464" w:hanging="240"/>
      </w:pPr>
      <w:rPr>
        <w:rFonts w:hint="default"/>
        <w:lang w:val="en-US" w:eastAsia="en-US" w:bidi="ar-SA"/>
      </w:rPr>
    </w:lvl>
    <w:lvl w:ilvl="5" w:tplc="4BC2A3D2">
      <w:numFmt w:val="bullet"/>
      <w:lvlText w:val="•"/>
      <w:lvlJc w:val="left"/>
      <w:pPr>
        <w:ind w:left="4240" w:hanging="240"/>
      </w:pPr>
      <w:rPr>
        <w:rFonts w:hint="default"/>
        <w:lang w:val="en-US" w:eastAsia="en-US" w:bidi="ar-SA"/>
      </w:rPr>
    </w:lvl>
    <w:lvl w:ilvl="6" w:tplc="5D726FBC">
      <w:numFmt w:val="bullet"/>
      <w:lvlText w:val="•"/>
      <w:lvlJc w:val="left"/>
      <w:pPr>
        <w:ind w:left="5016" w:hanging="240"/>
      </w:pPr>
      <w:rPr>
        <w:rFonts w:hint="default"/>
        <w:lang w:val="en-US" w:eastAsia="en-US" w:bidi="ar-SA"/>
      </w:rPr>
    </w:lvl>
    <w:lvl w:ilvl="7" w:tplc="E0CC94C6">
      <w:numFmt w:val="bullet"/>
      <w:lvlText w:val="•"/>
      <w:lvlJc w:val="left"/>
      <w:pPr>
        <w:ind w:left="5792" w:hanging="240"/>
      </w:pPr>
      <w:rPr>
        <w:rFonts w:hint="default"/>
        <w:lang w:val="en-US" w:eastAsia="en-US" w:bidi="ar-SA"/>
      </w:rPr>
    </w:lvl>
    <w:lvl w:ilvl="8" w:tplc="10CA9A8C">
      <w:numFmt w:val="bullet"/>
      <w:lvlText w:val="•"/>
      <w:lvlJc w:val="left"/>
      <w:pPr>
        <w:ind w:left="6568" w:hanging="240"/>
      </w:pPr>
      <w:rPr>
        <w:rFonts w:hint="default"/>
        <w:lang w:val="en-US" w:eastAsia="en-US" w:bidi="ar-SA"/>
      </w:rPr>
    </w:lvl>
  </w:abstractNum>
  <w:abstractNum w:abstractNumId="14" w15:restartNumberingAfterBreak="0">
    <w:nsid w:val="71550ECC"/>
    <w:multiLevelType w:val="multilevel"/>
    <w:tmpl w:val="1C09001F"/>
    <w:lvl w:ilvl="0">
      <w:start w:val="1"/>
      <w:numFmt w:val="decimal"/>
      <w:lvlText w:val="%1."/>
      <w:lvlJc w:val="left"/>
      <w:pPr>
        <w:ind w:left="360" w:hanging="360"/>
      </w:pPr>
      <w:rPr>
        <w:rFonts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6B48"/>
    <w:multiLevelType w:val="multilevel"/>
    <w:tmpl w:val="E264BB02"/>
    <w:lvl w:ilvl="0">
      <w:start w:val="1"/>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num w:numId="1" w16cid:durableId="1190099571">
    <w:abstractNumId w:val="8"/>
  </w:num>
  <w:num w:numId="2" w16cid:durableId="90123190">
    <w:abstractNumId w:val="10"/>
  </w:num>
  <w:num w:numId="3" w16cid:durableId="1171796969">
    <w:abstractNumId w:val="3"/>
  </w:num>
  <w:num w:numId="4" w16cid:durableId="354625110">
    <w:abstractNumId w:val="4"/>
  </w:num>
  <w:num w:numId="5" w16cid:durableId="1269389561">
    <w:abstractNumId w:val="11"/>
  </w:num>
  <w:num w:numId="6" w16cid:durableId="251547994">
    <w:abstractNumId w:val="12"/>
  </w:num>
  <w:num w:numId="7" w16cid:durableId="1015108063">
    <w:abstractNumId w:val="2"/>
  </w:num>
  <w:num w:numId="8" w16cid:durableId="1985892405">
    <w:abstractNumId w:val="13"/>
  </w:num>
  <w:num w:numId="9" w16cid:durableId="270668032">
    <w:abstractNumId w:val="6"/>
  </w:num>
  <w:num w:numId="10" w16cid:durableId="957221072">
    <w:abstractNumId w:val="9"/>
  </w:num>
  <w:num w:numId="11" w16cid:durableId="505511680">
    <w:abstractNumId w:val="14"/>
  </w:num>
  <w:num w:numId="12" w16cid:durableId="2088721459">
    <w:abstractNumId w:val="5"/>
  </w:num>
  <w:num w:numId="13" w16cid:durableId="1919092340">
    <w:abstractNumId w:val="7"/>
  </w:num>
  <w:num w:numId="14" w16cid:durableId="1591885322">
    <w:abstractNumId w:val="15"/>
  </w:num>
  <w:num w:numId="15" w16cid:durableId="462160676">
    <w:abstractNumId w:val="5"/>
  </w:num>
  <w:num w:numId="16" w16cid:durableId="1158956749">
    <w:abstractNumId w:val="0"/>
  </w:num>
  <w:num w:numId="17" w16cid:durableId="14527497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584267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1134"/>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EF6"/>
    <w:rsid w:val="000022DF"/>
    <w:rsid w:val="000025D0"/>
    <w:rsid w:val="00004B77"/>
    <w:rsid w:val="000120A3"/>
    <w:rsid w:val="00016F44"/>
    <w:rsid w:val="0001796C"/>
    <w:rsid w:val="000179B7"/>
    <w:rsid w:val="00034497"/>
    <w:rsid w:val="00035C9D"/>
    <w:rsid w:val="000367AE"/>
    <w:rsid w:val="000442DD"/>
    <w:rsid w:val="00045AA0"/>
    <w:rsid w:val="00050621"/>
    <w:rsid w:val="00052010"/>
    <w:rsid w:val="0005791D"/>
    <w:rsid w:val="00060990"/>
    <w:rsid w:val="00062D17"/>
    <w:rsid w:val="00064B46"/>
    <w:rsid w:val="0007019F"/>
    <w:rsid w:val="0007700A"/>
    <w:rsid w:val="000770A2"/>
    <w:rsid w:val="000849F7"/>
    <w:rsid w:val="00087643"/>
    <w:rsid w:val="000932B3"/>
    <w:rsid w:val="00096A6F"/>
    <w:rsid w:val="000A2804"/>
    <w:rsid w:val="000D126D"/>
    <w:rsid w:val="000E1973"/>
    <w:rsid w:val="000E5156"/>
    <w:rsid w:val="000F4217"/>
    <w:rsid w:val="000F6F3F"/>
    <w:rsid w:val="00105EA3"/>
    <w:rsid w:val="00111B00"/>
    <w:rsid w:val="00117E7F"/>
    <w:rsid w:val="00140056"/>
    <w:rsid w:val="00144233"/>
    <w:rsid w:val="00147353"/>
    <w:rsid w:val="001524CA"/>
    <w:rsid w:val="00155849"/>
    <w:rsid w:val="00157D88"/>
    <w:rsid w:val="00161372"/>
    <w:rsid w:val="001615BA"/>
    <w:rsid w:val="00166F71"/>
    <w:rsid w:val="001703E6"/>
    <w:rsid w:val="0017052A"/>
    <w:rsid w:val="00170683"/>
    <w:rsid w:val="00172EE7"/>
    <w:rsid w:val="00173305"/>
    <w:rsid w:val="001736E9"/>
    <w:rsid w:val="0017613B"/>
    <w:rsid w:val="00177FE9"/>
    <w:rsid w:val="00181597"/>
    <w:rsid w:val="001859E0"/>
    <w:rsid w:val="001A0BED"/>
    <w:rsid w:val="001B2A8B"/>
    <w:rsid w:val="001B399B"/>
    <w:rsid w:val="001B5683"/>
    <w:rsid w:val="001B64DA"/>
    <w:rsid w:val="001B7100"/>
    <w:rsid w:val="001C3463"/>
    <w:rsid w:val="001D4511"/>
    <w:rsid w:val="001E011E"/>
    <w:rsid w:val="001E79D6"/>
    <w:rsid w:val="001F4DE9"/>
    <w:rsid w:val="001F5960"/>
    <w:rsid w:val="001F7252"/>
    <w:rsid w:val="00205B2D"/>
    <w:rsid w:val="002071EA"/>
    <w:rsid w:val="00214404"/>
    <w:rsid w:val="0022789C"/>
    <w:rsid w:val="00245687"/>
    <w:rsid w:val="0025116A"/>
    <w:rsid w:val="00254A51"/>
    <w:rsid w:val="002578D7"/>
    <w:rsid w:val="00257F3F"/>
    <w:rsid w:val="0027031F"/>
    <w:rsid w:val="002720DD"/>
    <w:rsid w:val="0027539C"/>
    <w:rsid w:val="00275C43"/>
    <w:rsid w:val="0028604E"/>
    <w:rsid w:val="00291D8C"/>
    <w:rsid w:val="00292C20"/>
    <w:rsid w:val="00293C59"/>
    <w:rsid w:val="00293FE0"/>
    <w:rsid w:val="0029730F"/>
    <w:rsid w:val="002A003D"/>
    <w:rsid w:val="002A0F23"/>
    <w:rsid w:val="002A7579"/>
    <w:rsid w:val="002B3408"/>
    <w:rsid w:val="002B38A5"/>
    <w:rsid w:val="002B784D"/>
    <w:rsid w:val="002C2D6C"/>
    <w:rsid w:val="002C5C34"/>
    <w:rsid w:val="002D0EE1"/>
    <w:rsid w:val="002D17F6"/>
    <w:rsid w:val="002D4E9D"/>
    <w:rsid w:val="002E1A95"/>
    <w:rsid w:val="002E1E91"/>
    <w:rsid w:val="002F0D38"/>
    <w:rsid w:val="002F4F6D"/>
    <w:rsid w:val="0030110A"/>
    <w:rsid w:val="00302D5E"/>
    <w:rsid w:val="003152EA"/>
    <w:rsid w:val="00317B68"/>
    <w:rsid w:val="00322ACE"/>
    <w:rsid w:val="0032321C"/>
    <w:rsid w:val="00331815"/>
    <w:rsid w:val="00347BF6"/>
    <w:rsid w:val="00354460"/>
    <w:rsid w:val="00357209"/>
    <w:rsid w:val="003608F3"/>
    <w:rsid w:val="003627CE"/>
    <w:rsid w:val="00370EF6"/>
    <w:rsid w:val="00382B0E"/>
    <w:rsid w:val="003A1212"/>
    <w:rsid w:val="003A2C77"/>
    <w:rsid w:val="003A3A31"/>
    <w:rsid w:val="003A49CC"/>
    <w:rsid w:val="003B5F81"/>
    <w:rsid w:val="003E3501"/>
    <w:rsid w:val="003F4584"/>
    <w:rsid w:val="003F6346"/>
    <w:rsid w:val="003F6974"/>
    <w:rsid w:val="003F77F2"/>
    <w:rsid w:val="003F7FBA"/>
    <w:rsid w:val="0040074C"/>
    <w:rsid w:val="00405CFD"/>
    <w:rsid w:val="00406140"/>
    <w:rsid w:val="00417316"/>
    <w:rsid w:val="004175B9"/>
    <w:rsid w:val="00423421"/>
    <w:rsid w:val="00424038"/>
    <w:rsid w:val="00437A3C"/>
    <w:rsid w:val="00443DA4"/>
    <w:rsid w:val="0045282C"/>
    <w:rsid w:val="004557AD"/>
    <w:rsid w:val="00456601"/>
    <w:rsid w:val="00461329"/>
    <w:rsid w:val="00461852"/>
    <w:rsid w:val="0046505B"/>
    <w:rsid w:val="00465623"/>
    <w:rsid w:val="00465C1D"/>
    <w:rsid w:val="004711AE"/>
    <w:rsid w:val="00476A02"/>
    <w:rsid w:val="00480D4A"/>
    <w:rsid w:val="00481C45"/>
    <w:rsid w:val="004834F3"/>
    <w:rsid w:val="00483F2E"/>
    <w:rsid w:val="0049049A"/>
    <w:rsid w:val="00494800"/>
    <w:rsid w:val="004A16EE"/>
    <w:rsid w:val="004A4EC6"/>
    <w:rsid w:val="004B483A"/>
    <w:rsid w:val="004B56C0"/>
    <w:rsid w:val="004C1C9E"/>
    <w:rsid w:val="004C3832"/>
    <w:rsid w:val="004C4DD0"/>
    <w:rsid w:val="004C50DF"/>
    <w:rsid w:val="004C72CB"/>
    <w:rsid w:val="004D1E0B"/>
    <w:rsid w:val="004D2755"/>
    <w:rsid w:val="004D7A93"/>
    <w:rsid w:val="004E4B00"/>
    <w:rsid w:val="0050345B"/>
    <w:rsid w:val="005050FE"/>
    <w:rsid w:val="005066E2"/>
    <w:rsid w:val="005204D6"/>
    <w:rsid w:val="00534DFB"/>
    <w:rsid w:val="00540FB7"/>
    <w:rsid w:val="00550302"/>
    <w:rsid w:val="0055084B"/>
    <w:rsid w:val="00552550"/>
    <w:rsid w:val="00556D69"/>
    <w:rsid w:val="00556E9A"/>
    <w:rsid w:val="00570AEF"/>
    <w:rsid w:val="00580183"/>
    <w:rsid w:val="00583229"/>
    <w:rsid w:val="00586410"/>
    <w:rsid w:val="005A0D08"/>
    <w:rsid w:val="005A7373"/>
    <w:rsid w:val="005A752C"/>
    <w:rsid w:val="005B1FEC"/>
    <w:rsid w:val="005D0D76"/>
    <w:rsid w:val="005E6DA2"/>
    <w:rsid w:val="005F77E3"/>
    <w:rsid w:val="00603207"/>
    <w:rsid w:val="0060367B"/>
    <w:rsid w:val="00621CF3"/>
    <w:rsid w:val="00623E7C"/>
    <w:rsid w:val="00625225"/>
    <w:rsid w:val="00625A90"/>
    <w:rsid w:val="00640757"/>
    <w:rsid w:val="00641493"/>
    <w:rsid w:val="00643442"/>
    <w:rsid w:val="00645E78"/>
    <w:rsid w:val="0064639E"/>
    <w:rsid w:val="00647C28"/>
    <w:rsid w:val="00653FCC"/>
    <w:rsid w:val="006667C1"/>
    <w:rsid w:val="00667D80"/>
    <w:rsid w:val="0069145B"/>
    <w:rsid w:val="00692F41"/>
    <w:rsid w:val="00696D03"/>
    <w:rsid w:val="006A4514"/>
    <w:rsid w:val="006B0216"/>
    <w:rsid w:val="006B6A8C"/>
    <w:rsid w:val="006C1B52"/>
    <w:rsid w:val="006C1D17"/>
    <w:rsid w:val="006C2305"/>
    <w:rsid w:val="006C32EA"/>
    <w:rsid w:val="006E09FB"/>
    <w:rsid w:val="006E3483"/>
    <w:rsid w:val="006F0068"/>
    <w:rsid w:val="006F5454"/>
    <w:rsid w:val="006F5ADA"/>
    <w:rsid w:val="006F7C22"/>
    <w:rsid w:val="00711DFB"/>
    <w:rsid w:val="007170D3"/>
    <w:rsid w:val="00717C6A"/>
    <w:rsid w:val="00720008"/>
    <w:rsid w:val="00720326"/>
    <w:rsid w:val="0072238E"/>
    <w:rsid w:val="00730F28"/>
    <w:rsid w:val="00732DAA"/>
    <w:rsid w:val="00733C76"/>
    <w:rsid w:val="0074063D"/>
    <w:rsid w:val="00753679"/>
    <w:rsid w:val="00756C39"/>
    <w:rsid w:val="00763365"/>
    <w:rsid w:val="00764E0B"/>
    <w:rsid w:val="00772384"/>
    <w:rsid w:val="0077610A"/>
    <w:rsid w:val="00786F3B"/>
    <w:rsid w:val="00792EB6"/>
    <w:rsid w:val="0079371E"/>
    <w:rsid w:val="007937AE"/>
    <w:rsid w:val="007A06CC"/>
    <w:rsid w:val="007A618D"/>
    <w:rsid w:val="007B1521"/>
    <w:rsid w:val="007B5F21"/>
    <w:rsid w:val="007C1DDC"/>
    <w:rsid w:val="007C5E31"/>
    <w:rsid w:val="007E6804"/>
    <w:rsid w:val="007F3798"/>
    <w:rsid w:val="007F4239"/>
    <w:rsid w:val="00803DB7"/>
    <w:rsid w:val="00803E3D"/>
    <w:rsid w:val="00804DE1"/>
    <w:rsid w:val="008073B5"/>
    <w:rsid w:val="008105A4"/>
    <w:rsid w:val="008165B5"/>
    <w:rsid w:val="00823DA9"/>
    <w:rsid w:val="00823F93"/>
    <w:rsid w:val="00833EDA"/>
    <w:rsid w:val="008406A1"/>
    <w:rsid w:val="00844B4C"/>
    <w:rsid w:val="00845932"/>
    <w:rsid w:val="00846834"/>
    <w:rsid w:val="00855C5C"/>
    <w:rsid w:val="00862FCB"/>
    <w:rsid w:val="00880538"/>
    <w:rsid w:val="0089141A"/>
    <w:rsid w:val="008925D9"/>
    <w:rsid w:val="00896B97"/>
    <w:rsid w:val="008A6F2F"/>
    <w:rsid w:val="008B0EE7"/>
    <w:rsid w:val="008B59AF"/>
    <w:rsid w:val="008C26FF"/>
    <w:rsid w:val="008E14BF"/>
    <w:rsid w:val="008E7EB5"/>
    <w:rsid w:val="008F1320"/>
    <w:rsid w:val="008F73B5"/>
    <w:rsid w:val="00901B0A"/>
    <w:rsid w:val="00902832"/>
    <w:rsid w:val="009113E9"/>
    <w:rsid w:val="00916DDE"/>
    <w:rsid w:val="00917C36"/>
    <w:rsid w:val="00920C1E"/>
    <w:rsid w:val="0092198D"/>
    <w:rsid w:val="00930EA5"/>
    <w:rsid w:val="00935283"/>
    <w:rsid w:val="00936783"/>
    <w:rsid w:val="00937828"/>
    <w:rsid w:val="00944F92"/>
    <w:rsid w:val="00951AD8"/>
    <w:rsid w:val="00953882"/>
    <w:rsid w:val="00954B7A"/>
    <w:rsid w:val="009551FD"/>
    <w:rsid w:val="00961405"/>
    <w:rsid w:val="00962EA3"/>
    <w:rsid w:val="0096680E"/>
    <w:rsid w:val="0097204E"/>
    <w:rsid w:val="0097421E"/>
    <w:rsid w:val="009800E7"/>
    <w:rsid w:val="00985125"/>
    <w:rsid w:val="0098710E"/>
    <w:rsid w:val="009911E7"/>
    <w:rsid w:val="00993CB0"/>
    <w:rsid w:val="00994E8B"/>
    <w:rsid w:val="00995EED"/>
    <w:rsid w:val="00996EA8"/>
    <w:rsid w:val="00997EBF"/>
    <w:rsid w:val="009A5016"/>
    <w:rsid w:val="009A6A2E"/>
    <w:rsid w:val="009A7CB0"/>
    <w:rsid w:val="009B3FAF"/>
    <w:rsid w:val="009C5BCB"/>
    <w:rsid w:val="009D005C"/>
    <w:rsid w:val="009E03D2"/>
    <w:rsid w:val="009E0E1F"/>
    <w:rsid w:val="009E5DD5"/>
    <w:rsid w:val="009F39BA"/>
    <w:rsid w:val="009F703D"/>
    <w:rsid w:val="009F7464"/>
    <w:rsid w:val="00A04C35"/>
    <w:rsid w:val="00A12524"/>
    <w:rsid w:val="00A306D7"/>
    <w:rsid w:val="00A34DF1"/>
    <w:rsid w:val="00A37210"/>
    <w:rsid w:val="00A40056"/>
    <w:rsid w:val="00A512E4"/>
    <w:rsid w:val="00A60F0A"/>
    <w:rsid w:val="00A81109"/>
    <w:rsid w:val="00AA195D"/>
    <w:rsid w:val="00AA5BF8"/>
    <w:rsid w:val="00AA765B"/>
    <w:rsid w:val="00AB0C46"/>
    <w:rsid w:val="00AB1909"/>
    <w:rsid w:val="00AB696E"/>
    <w:rsid w:val="00AC19F3"/>
    <w:rsid w:val="00AC2341"/>
    <w:rsid w:val="00AC6006"/>
    <w:rsid w:val="00AD24AB"/>
    <w:rsid w:val="00AE0975"/>
    <w:rsid w:val="00AE38E6"/>
    <w:rsid w:val="00AE6F56"/>
    <w:rsid w:val="00AF6D42"/>
    <w:rsid w:val="00B01BCF"/>
    <w:rsid w:val="00B06C84"/>
    <w:rsid w:val="00B261DA"/>
    <w:rsid w:val="00B32FA2"/>
    <w:rsid w:val="00B37C0F"/>
    <w:rsid w:val="00B424BD"/>
    <w:rsid w:val="00B44AEA"/>
    <w:rsid w:val="00B4644D"/>
    <w:rsid w:val="00B50B76"/>
    <w:rsid w:val="00B55B88"/>
    <w:rsid w:val="00B71E07"/>
    <w:rsid w:val="00BA6995"/>
    <w:rsid w:val="00BA7805"/>
    <w:rsid w:val="00BB16F3"/>
    <w:rsid w:val="00BB4DA6"/>
    <w:rsid w:val="00BC57D2"/>
    <w:rsid w:val="00BD521E"/>
    <w:rsid w:val="00BE0CD1"/>
    <w:rsid w:val="00BE1F12"/>
    <w:rsid w:val="00BE4C82"/>
    <w:rsid w:val="00BE5892"/>
    <w:rsid w:val="00BE5BE2"/>
    <w:rsid w:val="00C14D88"/>
    <w:rsid w:val="00C212A9"/>
    <w:rsid w:val="00C22667"/>
    <w:rsid w:val="00C2343F"/>
    <w:rsid w:val="00C25E4F"/>
    <w:rsid w:val="00C26834"/>
    <w:rsid w:val="00C40571"/>
    <w:rsid w:val="00C4348A"/>
    <w:rsid w:val="00C4586B"/>
    <w:rsid w:val="00C517D8"/>
    <w:rsid w:val="00C6329E"/>
    <w:rsid w:val="00C65575"/>
    <w:rsid w:val="00C67880"/>
    <w:rsid w:val="00C819AD"/>
    <w:rsid w:val="00C822A5"/>
    <w:rsid w:val="00C8280D"/>
    <w:rsid w:val="00C85D1F"/>
    <w:rsid w:val="00C93A7B"/>
    <w:rsid w:val="00CA5730"/>
    <w:rsid w:val="00CB2A73"/>
    <w:rsid w:val="00CC130A"/>
    <w:rsid w:val="00CC3E82"/>
    <w:rsid w:val="00CC5987"/>
    <w:rsid w:val="00CE320A"/>
    <w:rsid w:val="00CE6EF6"/>
    <w:rsid w:val="00CF0CCD"/>
    <w:rsid w:val="00CF2D2C"/>
    <w:rsid w:val="00D00CD1"/>
    <w:rsid w:val="00D05556"/>
    <w:rsid w:val="00D06392"/>
    <w:rsid w:val="00D1168E"/>
    <w:rsid w:val="00D1215F"/>
    <w:rsid w:val="00D14FF7"/>
    <w:rsid w:val="00D20E4A"/>
    <w:rsid w:val="00D416BE"/>
    <w:rsid w:val="00D44B24"/>
    <w:rsid w:val="00D50406"/>
    <w:rsid w:val="00D505D1"/>
    <w:rsid w:val="00D50935"/>
    <w:rsid w:val="00D627D1"/>
    <w:rsid w:val="00D6466B"/>
    <w:rsid w:val="00D7344F"/>
    <w:rsid w:val="00D805C7"/>
    <w:rsid w:val="00D971C7"/>
    <w:rsid w:val="00DA026B"/>
    <w:rsid w:val="00DA7A67"/>
    <w:rsid w:val="00DB0615"/>
    <w:rsid w:val="00DB6EB3"/>
    <w:rsid w:val="00DB721D"/>
    <w:rsid w:val="00DC0AC7"/>
    <w:rsid w:val="00DC2189"/>
    <w:rsid w:val="00DC380C"/>
    <w:rsid w:val="00DC396D"/>
    <w:rsid w:val="00DC57A2"/>
    <w:rsid w:val="00DC585D"/>
    <w:rsid w:val="00DD4949"/>
    <w:rsid w:val="00DE2327"/>
    <w:rsid w:val="00DE47E7"/>
    <w:rsid w:val="00DE5B73"/>
    <w:rsid w:val="00DF0B5B"/>
    <w:rsid w:val="00DF3321"/>
    <w:rsid w:val="00DF3F51"/>
    <w:rsid w:val="00E033C1"/>
    <w:rsid w:val="00E24C2C"/>
    <w:rsid w:val="00E35D93"/>
    <w:rsid w:val="00E36C99"/>
    <w:rsid w:val="00E507FF"/>
    <w:rsid w:val="00E50FA9"/>
    <w:rsid w:val="00E527C3"/>
    <w:rsid w:val="00E610E0"/>
    <w:rsid w:val="00E62233"/>
    <w:rsid w:val="00E62738"/>
    <w:rsid w:val="00E668E6"/>
    <w:rsid w:val="00E76B58"/>
    <w:rsid w:val="00E922EA"/>
    <w:rsid w:val="00E952D5"/>
    <w:rsid w:val="00EA014C"/>
    <w:rsid w:val="00EB0867"/>
    <w:rsid w:val="00EB7143"/>
    <w:rsid w:val="00EC04D0"/>
    <w:rsid w:val="00EC5667"/>
    <w:rsid w:val="00ED06C5"/>
    <w:rsid w:val="00ED1421"/>
    <w:rsid w:val="00ED22D8"/>
    <w:rsid w:val="00ED3798"/>
    <w:rsid w:val="00ED4957"/>
    <w:rsid w:val="00EE20A2"/>
    <w:rsid w:val="00EE7138"/>
    <w:rsid w:val="00EF018E"/>
    <w:rsid w:val="00F01003"/>
    <w:rsid w:val="00F03B87"/>
    <w:rsid w:val="00F1462D"/>
    <w:rsid w:val="00F17E0E"/>
    <w:rsid w:val="00F24463"/>
    <w:rsid w:val="00F26888"/>
    <w:rsid w:val="00F27029"/>
    <w:rsid w:val="00F30F1F"/>
    <w:rsid w:val="00F31FD0"/>
    <w:rsid w:val="00F3467E"/>
    <w:rsid w:val="00F5065F"/>
    <w:rsid w:val="00F507FF"/>
    <w:rsid w:val="00F51345"/>
    <w:rsid w:val="00F5297B"/>
    <w:rsid w:val="00F56838"/>
    <w:rsid w:val="00F6264B"/>
    <w:rsid w:val="00F67E02"/>
    <w:rsid w:val="00F70404"/>
    <w:rsid w:val="00F86406"/>
    <w:rsid w:val="00F86791"/>
    <w:rsid w:val="00F87171"/>
    <w:rsid w:val="00FA195D"/>
    <w:rsid w:val="00FA2B17"/>
    <w:rsid w:val="00FA2BF9"/>
    <w:rsid w:val="00FA3177"/>
    <w:rsid w:val="00FB20A9"/>
    <w:rsid w:val="00FC0196"/>
    <w:rsid w:val="00FC2C5E"/>
    <w:rsid w:val="00FD5FA4"/>
    <w:rsid w:val="00FE0F87"/>
    <w:rsid w:val="00FE15A4"/>
    <w:rsid w:val="00FE1B70"/>
    <w:rsid w:val="00FE5046"/>
    <w:rsid w:val="00FF15E3"/>
    <w:rsid w:val="00FF19B6"/>
    <w:rsid w:val="00FF6D5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9B06C"/>
  <w15:docId w15:val="{1A5CEA28-CF51-DE44-B3EA-5C6AF70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F44D54"/>
    <w:pPr>
      <w:widowControl w:val="0"/>
      <w:tabs>
        <w:tab w:val="left" w:pos="170"/>
      </w:tabs>
      <w:autoSpaceDE w:val="0"/>
      <w:autoSpaceDN w:val="0"/>
      <w:spacing w:after="240" w:line="360" w:lineRule="auto"/>
      <w:jc w:val="both"/>
    </w:pPr>
    <w:rPr>
      <w:rFonts w:ascii="Arial" w:eastAsia="Times New Roman" w:hAnsi="Arial" w:cs="Times New Roman"/>
      <w:sz w:val="24"/>
      <w:lang w:val="en-GB"/>
    </w:rPr>
  </w:style>
  <w:style w:type="paragraph" w:styleId="Heading1">
    <w:name w:val="heading 1"/>
    <w:basedOn w:val="Normal"/>
    <w:link w:val="Heading1Char"/>
    <w:autoRedefine/>
    <w:uiPriority w:val="1"/>
    <w:qFormat/>
    <w:rsid w:val="00717C6A"/>
    <w:pPr>
      <w:tabs>
        <w:tab w:val="clear" w:pos="170"/>
      </w:tabs>
      <w:spacing w:after="120"/>
      <w:ind w:left="737" w:hanging="737"/>
      <w:outlineLvl w:val="0"/>
    </w:pPr>
    <w:rPr>
      <w:rFonts w:eastAsia="Arial" w:cs="Arial"/>
      <w:b/>
      <w:bCs/>
      <w:szCs w:val="24"/>
    </w:rPr>
  </w:style>
  <w:style w:type="paragraph" w:styleId="Heading2">
    <w:name w:val="heading 2"/>
    <w:basedOn w:val="Normal"/>
    <w:link w:val="Heading2Char"/>
    <w:uiPriority w:val="1"/>
    <w:qFormat/>
    <w:rsid w:val="001B247C"/>
    <w:pPr>
      <w:widowControl/>
      <w:tabs>
        <w:tab w:val="clear" w:pos="170"/>
      </w:tabs>
      <w:autoSpaceDE/>
      <w:autoSpaceDN/>
      <w:spacing w:after="120"/>
      <w:ind w:left="737" w:hanging="737"/>
      <w:outlineLvl w:val="1"/>
    </w:pPr>
    <w:rPr>
      <w:rFonts w:eastAsiaTheme="minorHAnsi" w:cs="Arial"/>
      <w:b/>
    </w:rPr>
  </w:style>
  <w:style w:type="paragraph" w:styleId="Heading3">
    <w:name w:val="heading 3"/>
    <w:basedOn w:val="Normal"/>
    <w:next w:val="Normal"/>
    <w:link w:val="Heading3Char"/>
    <w:uiPriority w:val="9"/>
    <w:unhideWhenUsed/>
    <w:qFormat/>
    <w:rsid w:val="001B247C"/>
    <w:pPr>
      <w:widowControl/>
      <w:tabs>
        <w:tab w:val="clear" w:pos="170"/>
      </w:tabs>
      <w:autoSpaceDE/>
      <w:autoSpaceDN/>
      <w:spacing w:after="120"/>
      <w:ind w:left="737" w:hanging="737"/>
      <w:outlineLvl w:val="2"/>
    </w:pPr>
    <w:rPr>
      <w:rFonts w:eastAsiaTheme="minorHAnsi" w:cs="Arial"/>
      <w:b/>
    </w:rPr>
  </w:style>
  <w:style w:type="paragraph" w:styleId="Heading4">
    <w:name w:val="heading 4"/>
    <w:basedOn w:val="Normal"/>
    <w:next w:val="Normal"/>
    <w:link w:val="Heading4Char"/>
    <w:uiPriority w:val="9"/>
    <w:unhideWhenUsed/>
    <w:qFormat/>
    <w:rsid w:val="009D31B9"/>
    <w:pPr>
      <w:keepNext/>
      <w:adjustRightInd w:val="0"/>
      <w:spacing w:line="240" w:lineRule="auto"/>
      <w:outlineLvl w:val="3"/>
    </w:pPr>
    <w:rPr>
      <w:rFonts w:cs="Arial"/>
      <w:b/>
      <w:bCs/>
      <w:color w:val="000000" w:themeColor="text1"/>
      <w:sz w:val="52"/>
      <w:szCs w:val="52"/>
    </w:rPr>
  </w:style>
  <w:style w:type="paragraph" w:styleId="Heading5">
    <w:name w:val="heading 5"/>
    <w:basedOn w:val="Normal"/>
    <w:next w:val="Normal"/>
    <w:link w:val="Heading5Char"/>
    <w:uiPriority w:val="9"/>
    <w:unhideWhenUsed/>
    <w:qFormat/>
    <w:rsid w:val="009D31B9"/>
    <w:pPr>
      <w:keepNext/>
      <w:spacing w:line="240" w:lineRule="auto"/>
      <w:outlineLvl w:val="4"/>
    </w:pPr>
    <w:rPr>
      <w:rFonts w:cs="Arial"/>
      <w:b/>
      <w:bCs/>
      <w:color w:val="000000" w:themeColor="text1"/>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17C6A"/>
    <w:rPr>
      <w:rFonts w:ascii="Arial" w:eastAsia="Arial" w:hAnsi="Arial" w:cs="Arial"/>
      <w:b/>
      <w:bCs/>
      <w:sz w:val="24"/>
      <w:szCs w:val="24"/>
      <w:lang w:val="en-GB"/>
    </w:rPr>
  </w:style>
  <w:style w:type="character" w:customStyle="1" w:styleId="Heading2Char">
    <w:name w:val="Heading 2 Char"/>
    <w:basedOn w:val="DefaultParagraphFont"/>
    <w:link w:val="Heading2"/>
    <w:uiPriority w:val="1"/>
    <w:rsid w:val="001B247C"/>
    <w:rPr>
      <w:rFonts w:ascii="Arial" w:hAnsi="Arial" w:cs="Arial"/>
      <w:b/>
      <w:sz w:val="24"/>
      <w:lang w:val="en-GB"/>
    </w:rPr>
  </w:style>
  <w:style w:type="paragraph" w:styleId="BodyText">
    <w:name w:val="Body Text"/>
    <w:basedOn w:val="Normal"/>
    <w:link w:val="BodyTextChar"/>
    <w:uiPriority w:val="1"/>
    <w:qFormat/>
    <w:rsid w:val="00A73CCA"/>
    <w:rPr>
      <w:szCs w:val="20"/>
    </w:rPr>
  </w:style>
  <w:style w:type="character" w:customStyle="1" w:styleId="BodyTextChar">
    <w:name w:val="Body Text Char"/>
    <w:basedOn w:val="DefaultParagraphFont"/>
    <w:link w:val="BodyText"/>
    <w:uiPriority w:val="1"/>
    <w:rsid w:val="00A73CC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73CCA"/>
    <w:pPr>
      <w:spacing w:before="268"/>
      <w:ind w:left="120" w:right="1408"/>
    </w:pPr>
    <w:rPr>
      <w:rFonts w:ascii="Verdana" w:eastAsia="Verdana" w:hAnsi="Verdana" w:cs="Verdana"/>
      <w:sz w:val="30"/>
      <w:szCs w:val="30"/>
    </w:rPr>
  </w:style>
  <w:style w:type="character" w:customStyle="1" w:styleId="TitleChar">
    <w:name w:val="Title Char"/>
    <w:basedOn w:val="DefaultParagraphFont"/>
    <w:link w:val="Title"/>
    <w:uiPriority w:val="1"/>
    <w:rsid w:val="00A73CCA"/>
    <w:rPr>
      <w:rFonts w:ascii="Verdana" w:eastAsia="Verdana" w:hAnsi="Verdana" w:cs="Verdana"/>
      <w:sz w:val="30"/>
      <w:szCs w:val="30"/>
      <w:lang w:val="en-US"/>
    </w:rPr>
  </w:style>
  <w:style w:type="paragraph" w:styleId="ListParagraph">
    <w:name w:val="List Paragraph"/>
    <w:basedOn w:val="Normal"/>
    <w:uiPriority w:val="1"/>
    <w:qFormat/>
    <w:rsid w:val="00A73CCA"/>
    <w:pPr>
      <w:spacing w:before="1"/>
      <w:ind w:left="359" w:right="797" w:hanging="240"/>
    </w:pPr>
  </w:style>
  <w:style w:type="paragraph" w:customStyle="1" w:styleId="TableParagraph">
    <w:name w:val="Table Paragraph"/>
    <w:basedOn w:val="Normal"/>
    <w:uiPriority w:val="1"/>
    <w:qFormat/>
    <w:rsid w:val="00A73CCA"/>
  </w:style>
  <w:style w:type="paragraph" w:styleId="Header">
    <w:name w:val="header"/>
    <w:basedOn w:val="Normal"/>
    <w:link w:val="HeaderChar"/>
    <w:uiPriority w:val="99"/>
    <w:unhideWhenUsed/>
    <w:rsid w:val="00A73CCA"/>
    <w:pPr>
      <w:tabs>
        <w:tab w:val="center" w:pos="4513"/>
        <w:tab w:val="right" w:pos="9026"/>
      </w:tabs>
    </w:pPr>
  </w:style>
  <w:style w:type="character" w:customStyle="1" w:styleId="HeaderChar">
    <w:name w:val="Header Char"/>
    <w:basedOn w:val="DefaultParagraphFont"/>
    <w:link w:val="Header"/>
    <w:uiPriority w:val="99"/>
    <w:rsid w:val="00A73CCA"/>
    <w:rPr>
      <w:rFonts w:ascii="Times New Roman" w:eastAsia="Times New Roman" w:hAnsi="Times New Roman" w:cs="Times New Roman"/>
      <w:lang w:val="en-US"/>
    </w:rPr>
  </w:style>
  <w:style w:type="paragraph" w:styleId="Footer">
    <w:name w:val="footer"/>
    <w:basedOn w:val="Normal"/>
    <w:link w:val="FooterChar"/>
    <w:uiPriority w:val="99"/>
    <w:unhideWhenUsed/>
    <w:rsid w:val="00A73CCA"/>
    <w:pPr>
      <w:tabs>
        <w:tab w:val="center" w:pos="4513"/>
        <w:tab w:val="right" w:pos="9026"/>
      </w:tabs>
    </w:pPr>
  </w:style>
  <w:style w:type="character" w:customStyle="1" w:styleId="FooterChar">
    <w:name w:val="Footer Char"/>
    <w:basedOn w:val="DefaultParagraphFont"/>
    <w:link w:val="Footer"/>
    <w:uiPriority w:val="99"/>
    <w:rsid w:val="00A73CCA"/>
    <w:rPr>
      <w:rFonts w:ascii="Times New Roman" w:eastAsia="Times New Roman" w:hAnsi="Times New Roman" w:cs="Times New Roman"/>
      <w:lang w:val="en-US"/>
    </w:rPr>
  </w:style>
  <w:style w:type="paragraph" w:styleId="FootnoteText">
    <w:name w:val="footnote text"/>
    <w:basedOn w:val="Normal"/>
    <w:link w:val="FootnoteTextChar"/>
    <w:autoRedefine/>
    <w:uiPriority w:val="99"/>
    <w:unhideWhenUsed/>
    <w:qFormat/>
    <w:rsid w:val="00205B2D"/>
    <w:pPr>
      <w:tabs>
        <w:tab w:val="clear" w:pos="170"/>
        <w:tab w:val="left" w:pos="0"/>
      </w:tabs>
      <w:spacing w:after="60" w:line="240" w:lineRule="auto"/>
      <w:jc w:val="left"/>
    </w:pPr>
    <w:rPr>
      <w:sz w:val="20"/>
      <w:szCs w:val="20"/>
    </w:rPr>
  </w:style>
  <w:style w:type="character" w:customStyle="1" w:styleId="FootnoteTextChar">
    <w:name w:val="Footnote Text Char"/>
    <w:basedOn w:val="DefaultParagraphFont"/>
    <w:link w:val="FootnoteText"/>
    <w:uiPriority w:val="99"/>
    <w:rsid w:val="00205B2D"/>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4F3F54"/>
    <w:rPr>
      <w:vertAlign w:val="superscript"/>
    </w:rPr>
  </w:style>
  <w:style w:type="paragraph" w:customStyle="1" w:styleId="EndNoteBibliographyTitle">
    <w:name w:val="EndNote Bibliography Title"/>
    <w:basedOn w:val="Normal"/>
    <w:link w:val="EndNoteBibliographyTitleChar"/>
    <w:rsid w:val="004F3F54"/>
    <w:pPr>
      <w:jc w:val="center"/>
    </w:pPr>
    <w:rPr>
      <w:rFonts w:ascii="Times New Roman" w:hAnsi="Times New Roman"/>
      <w:noProof/>
    </w:rPr>
  </w:style>
  <w:style w:type="character" w:customStyle="1" w:styleId="EndNoteBibliographyTitleChar">
    <w:name w:val="EndNote Bibliography Title Char"/>
    <w:basedOn w:val="FootnoteTextChar"/>
    <w:link w:val="EndNoteBibliographyTitle"/>
    <w:rsid w:val="004F3F54"/>
    <w:rPr>
      <w:rFonts w:ascii="Times New Roman" w:eastAsia="Times New Roman" w:hAnsi="Times New Roman" w:cs="Times New Roman"/>
      <w:noProof/>
      <w:sz w:val="18"/>
      <w:szCs w:val="20"/>
      <w:lang w:val="en-US"/>
    </w:rPr>
  </w:style>
  <w:style w:type="paragraph" w:customStyle="1" w:styleId="EndNoteBibliography">
    <w:name w:val="EndNote Bibliography"/>
    <w:basedOn w:val="Normal"/>
    <w:link w:val="EndNoteBibliographyChar"/>
    <w:rsid w:val="004F3F54"/>
    <w:rPr>
      <w:rFonts w:ascii="Times New Roman" w:hAnsi="Times New Roman"/>
      <w:noProof/>
    </w:rPr>
  </w:style>
  <w:style w:type="character" w:customStyle="1" w:styleId="EndNoteBibliographyChar">
    <w:name w:val="EndNote Bibliography Char"/>
    <w:basedOn w:val="FootnoteTextChar"/>
    <w:link w:val="EndNoteBibliography"/>
    <w:rsid w:val="004F3F54"/>
    <w:rPr>
      <w:rFonts w:ascii="Times New Roman" w:eastAsia="Times New Roman" w:hAnsi="Times New Roman" w:cs="Times New Roman"/>
      <w:noProof/>
      <w:sz w:val="18"/>
      <w:szCs w:val="20"/>
      <w:lang w:val="en-US"/>
    </w:rPr>
  </w:style>
  <w:style w:type="character" w:styleId="Hyperlink">
    <w:name w:val="Hyperlink"/>
    <w:basedOn w:val="DefaultParagraphFont"/>
    <w:uiPriority w:val="99"/>
    <w:unhideWhenUsed/>
    <w:rsid w:val="004F3F54"/>
    <w:rPr>
      <w:color w:val="0563C1" w:themeColor="hyperlink"/>
      <w:u w:val="single"/>
    </w:rPr>
  </w:style>
  <w:style w:type="paragraph" w:styleId="NoSpacing">
    <w:name w:val="No Spacing"/>
    <w:uiPriority w:val="1"/>
    <w:qFormat/>
    <w:rsid w:val="00FE5B9F"/>
    <w:pPr>
      <w:widowControl w:val="0"/>
      <w:autoSpaceDE w:val="0"/>
      <w:autoSpaceDN w:val="0"/>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1E4EA8"/>
    <w:rPr>
      <w:sz w:val="16"/>
      <w:szCs w:val="16"/>
    </w:rPr>
  </w:style>
  <w:style w:type="paragraph" w:styleId="CommentText">
    <w:name w:val="annotation text"/>
    <w:basedOn w:val="Normal"/>
    <w:link w:val="CommentTextChar"/>
    <w:uiPriority w:val="99"/>
    <w:unhideWhenUsed/>
    <w:rsid w:val="001E4EA8"/>
    <w:rPr>
      <w:szCs w:val="20"/>
    </w:rPr>
  </w:style>
  <w:style w:type="character" w:customStyle="1" w:styleId="CommentTextChar">
    <w:name w:val="Comment Text Char"/>
    <w:basedOn w:val="DefaultParagraphFont"/>
    <w:link w:val="CommentText"/>
    <w:uiPriority w:val="99"/>
    <w:rsid w:val="001E4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E4EA8"/>
    <w:rPr>
      <w:b/>
      <w:bCs/>
    </w:rPr>
  </w:style>
  <w:style w:type="character" w:customStyle="1" w:styleId="CommentSubjectChar">
    <w:name w:val="Comment Subject Char"/>
    <w:basedOn w:val="CommentTextChar"/>
    <w:link w:val="CommentSubject"/>
    <w:uiPriority w:val="99"/>
    <w:semiHidden/>
    <w:rsid w:val="001E4EA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E4E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A8"/>
    <w:rPr>
      <w:rFonts w:ascii="Segoe UI" w:eastAsia="Times New Roman" w:hAnsi="Segoe UI" w:cs="Segoe UI"/>
      <w:sz w:val="18"/>
      <w:szCs w:val="18"/>
      <w:lang w:val="en-US"/>
    </w:rPr>
  </w:style>
  <w:style w:type="paragraph" w:customStyle="1" w:styleId="Style1">
    <w:name w:val="Style1"/>
    <w:basedOn w:val="BodyText"/>
    <w:uiPriority w:val="1"/>
    <w:qFormat/>
    <w:rsid w:val="000950CB"/>
    <w:pPr>
      <w:spacing w:before="30" w:line="271" w:lineRule="auto"/>
      <w:ind w:firstLine="240"/>
    </w:pPr>
    <w:rPr>
      <w:color w:val="231F20"/>
    </w:rPr>
  </w:style>
  <w:style w:type="paragraph" w:styleId="Caption">
    <w:name w:val="caption"/>
    <w:basedOn w:val="Normal"/>
    <w:next w:val="Normal"/>
    <w:uiPriority w:val="35"/>
    <w:qFormat/>
    <w:rsid w:val="00D87D72"/>
    <w:pPr>
      <w:widowControl/>
      <w:autoSpaceDE/>
      <w:autoSpaceDN/>
      <w:spacing w:before="60"/>
    </w:pPr>
    <w:rPr>
      <w:rFonts w:cs="Arial"/>
      <w:b/>
      <w:bCs/>
      <w:iCs/>
      <w:color w:val="000000" w:themeColor="text1"/>
      <w:szCs w:val="16"/>
    </w:rPr>
  </w:style>
  <w:style w:type="paragraph" w:styleId="EndnoteText">
    <w:name w:val="endnote text"/>
    <w:basedOn w:val="Normal"/>
    <w:link w:val="EndnoteTextChar"/>
    <w:uiPriority w:val="99"/>
    <w:semiHidden/>
    <w:unhideWhenUsed/>
    <w:rsid w:val="005B474E"/>
    <w:rPr>
      <w:sz w:val="20"/>
      <w:szCs w:val="20"/>
    </w:rPr>
  </w:style>
  <w:style w:type="character" w:customStyle="1" w:styleId="EndnoteTextChar">
    <w:name w:val="Endnote Text Char"/>
    <w:basedOn w:val="DefaultParagraphFont"/>
    <w:link w:val="EndnoteText"/>
    <w:uiPriority w:val="99"/>
    <w:semiHidden/>
    <w:rsid w:val="005B474E"/>
    <w:rPr>
      <w:rFonts w:ascii="Arial" w:eastAsia="Times New Roman" w:hAnsi="Arial" w:cs="Times New Roman"/>
      <w:sz w:val="20"/>
      <w:szCs w:val="20"/>
      <w:lang w:val="en-US"/>
    </w:rPr>
  </w:style>
  <w:style w:type="character" w:styleId="EndnoteReference">
    <w:name w:val="endnote reference"/>
    <w:basedOn w:val="DefaultParagraphFont"/>
    <w:uiPriority w:val="99"/>
    <w:semiHidden/>
    <w:unhideWhenUsed/>
    <w:rsid w:val="005B474E"/>
    <w:rPr>
      <w:vertAlign w:val="superscript"/>
    </w:rPr>
  </w:style>
  <w:style w:type="character" w:styleId="IntenseReference">
    <w:name w:val="Intense Reference"/>
    <w:basedOn w:val="DefaultParagraphFont"/>
    <w:uiPriority w:val="32"/>
    <w:qFormat/>
    <w:rsid w:val="000C3C39"/>
    <w:rPr>
      <w:b/>
      <w:bCs/>
      <w:smallCaps/>
      <w:color w:val="5B9BD5" w:themeColor="accent1"/>
      <w:spacing w:val="5"/>
    </w:rPr>
  </w:style>
  <w:style w:type="paragraph" w:customStyle="1" w:styleId="ChartNormal">
    <w:name w:val="__Chart_Normal"/>
    <w:basedOn w:val="Normal"/>
    <w:rsid w:val="001149CC"/>
    <w:pPr>
      <w:keepNext/>
      <w:framePr w:hSpace="57" w:vSpace="57" w:wrap="around" w:vAnchor="text" w:hAnchor="margin" w:x="1" w:y="1"/>
      <w:widowControl/>
      <w:tabs>
        <w:tab w:val="clear" w:pos="170"/>
      </w:tabs>
      <w:autoSpaceDE/>
      <w:autoSpaceDN/>
      <w:jc w:val="left"/>
    </w:pPr>
    <w:rPr>
      <w:rFonts w:ascii="Arial Narrow" w:eastAsia="SimSun" w:hAnsi="Arial Narrow" w:cs="Arial"/>
      <w:color w:val="000000"/>
      <w:sz w:val="14"/>
      <w:szCs w:val="20"/>
    </w:rPr>
  </w:style>
  <w:style w:type="character" w:customStyle="1" w:styleId="ChartObject">
    <w:name w:val="_Chart Object"/>
    <w:basedOn w:val="DefaultParagraphFont"/>
    <w:rsid w:val="001149CC"/>
  </w:style>
  <w:style w:type="character" w:customStyle="1" w:styleId="ChartSource">
    <w:name w:val="_Chart Source"/>
    <w:basedOn w:val="DefaultParagraphFont"/>
    <w:rsid w:val="001149CC"/>
    <w:rPr>
      <w:rFonts w:ascii="Arial Narrow" w:eastAsia="SimSun" w:hAnsi="Arial Narrow"/>
      <w:i w:val="0"/>
      <w:sz w:val="12"/>
      <w:bdr w:val="none" w:sz="0" w:space="0" w:color="auto"/>
      <w:shd w:val="clear" w:color="auto" w:fill="F2F2F2" w:themeFill="background1" w:themeFillShade="F2"/>
    </w:rPr>
  </w:style>
  <w:style w:type="character" w:customStyle="1" w:styleId="ChartTitle">
    <w:name w:val="_Chart Title"/>
    <w:basedOn w:val="DefaultParagraphFont"/>
    <w:rsid w:val="001149CC"/>
    <w:rPr>
      <w:rFonts w:ascii="Arial" w:eastAsia="SimHei" w:hAnsi="Arial"/>
      <w:b/>
      <w:sz w:val="18"/>
    </w:rPr>
  </w:style>
  <w:style w:type="character" w:customStyle="1" w:styleId="TableSubtitle">
    <w:name w:val="_Table Subtitle"/>
    <w:basedOn w:val="DefaultParagraphFont"/>
    <w:rsid w:val="00243684"/>
    <w:rPr>
      <w:rFonts w:ascii="Arial Narrow" w:eastAsia="SimSun" w:hAnsi="Arial Narrow"/>
      <w:b/>
      <w:sz w:val="14"/>
    </w:rPr>
  </w:style>
  <w:style w:type="paragraph" w:styleId="Revision">
    <w:name w:val="Revision"/>
    <w:hidden/>
    <w:uiPriority w:val="99"/>
    <w:semiHidden/>
    <w:rsid w:val="00B16664"/>
    <w:pPr>
      <w:spacing w:after="0" w:line="240" w:lineRule="auto"/>
    </w:pPr>
    <w:rPr>
      <w:rFonts w:ascii="Arial" w:eastAsia="Times New Roman" w:hAnsi="Arial" w:cs="Times New Roman"/>
      <w:lang w:val="en-US"/>
    </w:rPr>
  </w:style>
  <w:style w:type="character" w:styleId="FollowedHyperlink">
    <w:name w:val="FollowedHyperlink"/>
    <w:basedOn w:val="DefaultParagraphFont"/>
    <w:uiPriority w:val="99"/>
    <w:semiHidden/>
    <w:unhideWhenUsed/>
    <w:rsid w:val="00916F21"/>
    <w:rPr>
      <w:color w:val="954F72" w:themeColor="followedHyperlink"/>
      <w:u w:val="single"/>
    </w:rPr>
  </w:style>
  <w:style w:type="paragraph" w:styleId="BodyText2">
    <w:name w:val="Body Text 2"/>
    <w:basedOn w:val="Normal"/>
    <w:link w:val="BodyText2Char"/>
    <w:uiPriority w:val="99"/>
    <w:unhideWhenUsed/>
    <w:rsid w:val="007E5901"/>
    <w:pPr>
      <w:widowControl/>
      <w:tabs>
        <w:tab w:val="clear" w:pos="170"/>
      </w:tabs>
      <w:autoSpaceDE/>
      <w:autoSpaceDN/>
      <w:spacing w:line="288" w:lineRule="auto"/>
      <w:jc w:val="center"/>
    </w:pPr>
    <w:rPr>
      <w:rFonts w:eastAsiaTheme="minorHAnsi" w:cs="Arial"/>
      <w:b/>
      <w:sz w:val="28"/>
    </w:rPr>
  </w:style>
  <w:style w:type="character" w:customStyle="1" w:styleId="BodyText2Char">
    <w:name w:val="Body Text 2 Char"/>
    <w:basedOn w:val="DefaultParagraphFont"/>
    <w:link w:val="BodyText2"/>
    <w:uiPriority w:val="99"/>
    <w:rsid w:val="007E5901"/>
    <w:rPr>
      <w:rFonts w:ascii="Arial" w:hAnsi="Arial" w:cs="Arial"/>
      <w:b/>
      <w:sz w:val="28"/>
      <w:lang w:val="en-US"/>
    </w:rPr>
  </w:style>
  <w:style w:type="paragraph" w:styleId="BodyText3">
    <w:name w:val="Body Text 3"/>
    <w:basedOn w:val="Normal"/>
    <w:link w:val="BodyText3Char"/>
    <w:uiPriority w:val="99"/>
    <w:unhideWhenUsed/>
    <w:rsid w:val="00006603"/>
    <w:pPr>
      <w:widowControl/>
      <w:tabs>
        <w:tab w:val="clear" w:pos="170"/>
      </w:tabs>
      <w:autoSpaceDE/>
      <w:autoSpaceDN/>
      <w:spacing w:line="288" w:lineRule="auto"/>
    </w:pPr>
    <w:rPr>
      <w:rFonts w:eastAsiaTheme="minorHAnsi" w:cs="Arial"/>
    </w:rPr>
  </w:style>
  <w:style w:type="character" w:customStyle="1" w:styleId="BodyText3Char">
    <w:name w:val="Body Text 3 Char"/>
    <w:basedOn w:val="DefaultParagraphFont"/>
    <w:link w:val="BodyText3"/>
    <w:uiPriority w:val="99"/>
    <w:rsid w:val="00006603"/>
    <w:rPr>
      <w:rFonts w:ascii="Arial" w:hAnsi="Arial" w:cs="Arial"/>
      <w:lang w:val="en-US"/>
    </w:rPr>
  </w:style>
  <w:style w:type="paragraph" w:customStyle="1" w:styleId="Default">
    <w:name w:val="Default"/>
    <w:rsid w:val="003F05F8"/>
    <w:pPr>
      <w:autoSpaceDE w:val="0"/>
      <w:autoSpaceDN w:val="0"/>
      <w:adjustRightInd w:val="0"/>
      <w:spacing w:after="0" w:line="240" w:lineRule="auto"/>
    </w:pPr>
    <w:rPr>
      <w:rFonts w:ascii="Arial" w:eastAsia="Cambria" w:hAnsi="Arial" w:cs="Arial"/>
      <w:color w:val="000000"/>
      <w:sz w:val="24"/>
      <w:szCs w:val="24"/>
      <w:lang w:val="en-US" w:eastAsia="en-GB"/>
    </w:rPr>
  </w:style>
  <w:style w:type="character" w:customStyle="1" w:styleId="Heading3Char">
    <w:name w:val="Heading 3 Char"/>
    <w:basedOn w:val="DefaultParagraphFont"/>
    <w:link w:val="Heading3"/>
    <w:uiPriority w:val="9"/>
    <w:rsid w:val="001B247C"/>
    <w:rPr>
      <w:rFonts w:ascii="Arial" w:hAnsi="Arial" w:cs="Arial"/>
      <w:b/>
      <w:sz w:val="24"/>
      <w:lang w:val="en-GB"/>
    </w:rPr>
  </w:style>
  <w:style w:type="character" w:customStyle="1" w:styleId="Heading4Char">
    <w:name w:val="Heading 4 Char"/>
    <w:basedOn w:val="DefaultParagraphFont"/>
    <w:link w:val="Heading4"/>
    <w:uiPriority w:val="9"/>
    <w:rsid w:val="009D31B9"/>
    <w:rPr>
      <w:rFonts w:ascii="Arial" w:eastAsia="Times New Roman" w:hAnsi="Arial" w:cs="Arial"/>
      <w:b/>
      <w:bCs/>
      <w:color w:val="000000" w:themeColor="text1"/>
      <w:sz w:val="52"/>
      <w:szCs w:val="52"/>
      <w:lang w:val="en-GB"/>
    </w:rPr>
  </w:style>
  <w:style w:type="character" w:customStyle="1" w:styleId="Heading5Char">
    <w:name w:val="Heading 5 Char"/>
    <w:basedOn w:val="DefaultParagraphFont"/>
    <w:link w:val="Heading5"/>
    <w:uiPriority w:val="9"/>
    <w:rsid w:val="009D31B9"/>
    <w:rPr>
      <w:rFonts w:ascii="Arial" w:eastAsia="Times New Roman" w:hAnsi="Arial" w:cs="Arial"/>
      <w:b/>
      <w:bCs/>
      <w:color w:val="000000" w:themeColor="text1"/>
      <w:sz w:val="30"/>
      <w:szCs w:val="30"/>
      <w:lang w:val="en-GB"/>
    </w:rPr>
  </w:style>
  <w:style w:type="paragraph" w:customStyle="1" w:styleId="TableCaption">
    <w:name w:val="Tabl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NormalWeb">
    <w:name w:val="Normal (Web)"/>
    <w:basedOn w:val="Normal"/>
    <w:uiPriority w:val="99"/>
    <w:semiHidden/>
    <w:unhideWhenUsed/>
    <w:rsid w:val="00B37C0F"/>
    <w:rPr>
      <w:rFonts w:ascii="Times New Roman" w:hAnsi="Times New Roman"/>
      <w:szCs w:val="24"/>
    </w:rPr>
  </w:style>
  <w:style w:type="character" w:customStyle="1" w:styleId="UnresolvedMention1">
    <w:name w:val="Unresolved Mention1"/>
    <w:basedOn w:val="DefaultParagraphFont"/>
    <w:uiPriority w:val="99"/>
    <w:semiHidden/>
    <w:unhideWhenUsed/>
    <w:rsid w:val="00227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2275">
      <w:bodyDiv w:val="1"/>
      <w:marLeft w:val="0"/>
      <w:marRight w:val="0"/>
      <w:marTop w:val="0"/>
      <w:marBottom w:val="0"/>
      <w:divBdr>
        <w:top w:val="none" w:sz="0" w:space="0" w:color="auto"/>
        <w:left w:val="none" w:sz="0" w:space="0" w:color="auto"/>
        <w:bottom w:val="none" w:sz="0" w:space="0" w:color="auto"/>
        <w:right w:val="none" w:sz="0" w:space="0" w:color="auto"/>
      </w:divBdr>
      <w:divsChild>
        <w:div w:id="903295340">
          <w:marLeft w:val="0"/>
          <w:marRight w:val="0"/>
          <w:marTop w:val="0"/>
          <w:marBottom w:val="0"/>
          <w:divBdr>
            <w:top w:val="none" w:sz="0" w:space="0" w:color="auto"/>
            <w:left w:val="none" w:sz="0" w:space="0" w:color="auto"/>
            <w:bottom w:val="none" w:sz="0" w:space="0" w:color="auto"/>
            <w:right w:val="none" w:sz="0" w:space="0" w:color="auto"/>
          </w:divBdr>
        </w:div>
      </w:divsChild>
    </w:div>
    <w:div w:id="143162080">
      <w:bodyDiv w:val="1"/>
      <w:marLeft w:val="0"/>
      <w:marRight w:val="0"/>
      <w:marTop w:val="0"/>
      <w:marBottom w:val="0"/>
      <w:divBdr>
        <w:top w:val="none" w:sz="0" w:space="0" w:color="auto"/>
        <w:left w:val="none" w:sz="0" w:space="0" w:color="auto"/>
        <w:bottom w:val="none" w:sz="0" w:space="0" w:color="auto"/>
        <w:right w:val="none" w:sz="0" w:space="0" w:color="auto"/>
      </w:divBdr>
      <w:divsChild>
        <w:div w:id="189538426">
          <w:marLeft w:val="0"/>
          <w:marRight w:val="0"/>
          <w:marTop w:val="0"/>
          <w:marBottom w:val="0"/>
          <w:divBdr>
            <w:top w:val="none" w:sz="0" w:space="0" w:color="auto"/>
            <w:left w:val="none" w:sz="0" w:space="0" w:color="auto"/>
            <w:bottom w:val="none" w:sz="0" w:space="0" w:color="auto"/>
            <w:right w:val="none" w:sz="0" w:space="0" w:color="auto"/>
          </w:divBdr>
          <w:divsChild>
            <w:div w:id="1525052805">
              <w:marLeft w:val="0"/>
              <w:marRight w:val="0"/>
              <w:marTop w:val="0"/>
              <w:marBottom w:val="0"/>
              <w:divBdr>
                <w:top w:val="none" w:sz="0" w:space="0" w:color="auto"/>
                <w:left w:val="none" w:sz="0" w:space="0" w:color="auto"/>
                <w:bottom w:val="none" w:sz="0" w:space="0" w:color="auto"/>
                <w:right w:val="none" w:sz="0" w:space="0" w:color="auto"/>
              </w:divBdr>
              <w:divsChild>
                <w:div w:id="5325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230">
      <w:bodyDiv w:val="1"/>
      <w:marLeft w:val="0"/>
      <w:marRight w:val="0"/>
      <w:marTop w:val="0"/>
      <w:marBottom w:val="0"/>
      <w:divBdr>
        <w:top w:val="none" w:sz="0" w:space="0" w:color="auto"/>
        <w:left w:val="none" w:sz="0" w:space="0" w:color="auto"/>
        <w:bottom w:val="none" w:sz="0" w:space="0" w:color="auto"/>
        <w:right w:val="none" w:sz="0" w:space="0" w:color="auto"/>
      </w:divBdr>
      <w:divsChild>
        <w:div w:id="1676033636">
          <w:marLeft w:val="0"/>
          <w:marRight w:val="0"/>
          <w:marTop w:val="0"/>
          <w:marBottom w:val="0"/>
          <w:divBdr>
            <w:top w:val="none" w:sz="0" w:space="0" w:color="auto"/>
            <w:left w:val="none" w:sz="0" w:space="0" w:color="auto"/>
            <w:bottom w:val="none" w:sz="0" w:space="0" w:color="auto"/>
            <w:right w:val="none" w:sz="0" w:space="0" w:color="auto"/>
          </w:divBdr>
          <w:divsChild>
            <w:div w:id="1504079572">
              <w:marLeft w:val="0"/>
              <w:marRight w:val="0"/>
              <w:marTop w:val="0"/>
              <w:marBottom w:val="0"/>
              <w:divBdr>
                <w:top w:val="none" w:sz="0" w:space="0" w:color="auto"/>
                <w:left w:val="none" w:sz="0" w:space="0" w:color="auto"/>
                <w:bottom w:val="none" w:sz="0" w:space="0" w:color="auto"/>
                <w:right w:val="none" w:sz="0" w:space="0" w:color="auto"/>
              </w:divBdr>
              <w:divsChild>
                <w:div w:id="438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0507">
      <w:bodyDiv w:val="1"/>
      <w:marLeft w:val="0"/>
      <w:marRight w:val="0"/>
      <w:marTop w:val="0"/>
      <w:marBottom w:val="0"/>
      <w:divBdr>
        <w:top w:val="none" w:sz="0" w:space="0" w:color="auto"/>
        <w:left w:val="none" w:sz="0" w:space="0" w:color="auto"/>
        <w:bottom w:val="none" w:sz="0" w:space="0" w:color="auto"/>
        <w:right w:val="none" w:sz="0" w:space="0" w:color="auto"/>
      </w:divBdr>
      <w:divsChild>
        <w:div w:id="1626351822">
          <w:marLeft w:val="0"/>
          <w:marRight w:val="0"/>
          <w:marTop w:val="0"/>
          <w:marBottom w:val="0"/>
          <w:divBdr>
            <w:top w:val="none" w:sz="0" w:space="0" w:color="auto"/>
            <w:left w:val="none" w:sz="0" w:space="0" w:color="auto"/>
            <w:bottom w:val="none" w:sz="0" w:space="0" w:color="auto"/>
            <w:right w:val="none" w:sz="0" w:space="0" w:color="auto"/>
          </w:divBdr>
          <w:divsChild>
            <w:div w:id="1351302224">
              <w:marLeft w:val="0"/>
              <w:marRight w:val="0"/>
              <w:marTop w:val="0"/>
              <w:marBottom w:val="0"/>
              <w:divBdr>
                <w:top w:val="none" w:sz="0" w:space="0" w:color="auto"/>
                <w:left w:val="none" w:sz="0" w:space="0" w:color="auto"/>
                <w:bottom w:val="none" w:sz="0" w:space="0" w:color="auto"/>
                <w:right w:val="none" w:sz="0" w:space="0" w:color="auto"/>
              </w:divBdr>
              <w:divsChild>
                <w:div w:id="2106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97">
      <w:bodyDiv w:val="1"/>
      <w:marLeft w:val="0"/>
      <w:marRight w:val="0"/>
      <w:marTop w:val="0"/>
      <w:marBottom w:val="0"/>
      <w:divBdr>
        <w:top w:val="none" w:sz="0" w:space="0" w:color="auto"/>
        <w:left w:val="none" w:sz="0" w:space="0" w:color="auto"/>
        <w:bottom w:val="none" w:sz="0" w:space="0" w:color="auto"/>
        <w:right w:val="none" w:sz="0" w:space="0" w:color="auto"/>
      </w:divBdr>
      <w:divsChild>
        <w:div w:id="938214715">
          <w:marLeft w:val="0"/>
          <w:marRight w:val="0"/>
          <w:marTop w:val="0"/>
          <w:marBottom w:val="0"/>
          <w:divBdr>
            <w:top w:val="none" w:sz="0" w:space="0" w:color="auto"/>
            <w:left w:val="none" w:sz="0" w:space="0" w:color="auto"/>
            <w:bottom w:val="none" w:sz="0" w:space="0" w:color="auto"/>
            <w:right w:val="none" w:sz="0" w:space="0" w:color="auto"/>
          </w:divBdr>
          <w:divsChild>
            <w:div w:id="530530747">
              <w:marLeft w:val="0"/>
              <w:marRight w:val="0"/>
              <w:marTop w:val="0"/>
              <w:marBottom w:val="0"/>
              <w:divBdr>
                <w:top w:val="none" w:sz="0" w:space="0" w:color="auto"/>
                <w:left w:val="none" w:sz="0" w:space="0" w:color="auto"/>
                <w:bottom w:val="none" w:sz="0" w:space="0" w:color="auto"/>
                <w:right w:val="none" w:sz="0" w:space="0" w:color="auto"/>
              </w:divBdr>
              <w:divsChild>
                <w:div w:id="756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6085">
      <w:bodyDiv w:val="1"/>
      <w:marLeft w:val="0"/>
      <w:marRight w:val="0"/>
      <w:marTop w:val="0"/>
      <w:marBottom w:val="0"/>
      <w:divBdr>
        <w:top w:val="none" w:sz="0" w:space="0" w:color="auto"/>
        <w:left w:val="none" w:sz="0" w:space="0" w:color="auto"/>
        <w:bottom w:val="none" w:sz="0" w:space="0" w:color="auto"/>
        <w:right w:val="none" w:sz="0" w:space="0" w:color="auto"/>
      </w:divBdr>
    </w:div>
    <w:div w:id="840122287">
      <w:bodyDiv w:val="1"/>
      <w:marLeft w:val="0"/>
      <w:marRight w:val="0"/>
      <w:marTop w:val="0"/>
      <w:marBottom w:val="0"/>
      <w:divBdr>
        <w:top w:val="none" w:sz="0" w:space="0" w:color="auto"/>
        <w:left w:val="none" w:sz="0" w:space="0" w:color="auto"/>
        <w:bottom w:val="none" w:sz="0" w:space="0" w:color="auto"/>
        <w:right w:val="none" w:sz="0" w:space="0" w:color="auto"/>
      </w:divBdr>
      <w:divsChild>
        <w:div w:id="1556088894">
          <w:marLeft w:val="0"/>
          <w:marRight w:val="0"/>
          <w:marTop w:val="0"/>
          <w:marBottom w:val="0"/>
          <w:divBdr>
            <w:top w:val="none" w:sz="0" w:space="0" w:color="auto"/>
            <w:left w:val="none" w:sz="0" w:space="0" w:color="auto"/>
            <w:bottom w:val="none" w:sz="0" w:space="0" w:color="auto"/>
            <w:right w:val="none" w:sz="0" w:space="0" w:color="auto"/>
          </w:divBdr>
          <w:divsChild>
            <w:div w:id="928075867">
              <w:marLeft w:val="0"/>
              <w:marRight w:val="0"/>
              <w:marTop w:val="0"/>
              <w:marBottom w:val="0"/>
              <w:divBdr>
                <w:top w:val="none" w:sz="0" w:space="0" w:color="auto"/>
                <w:left w:val="none" w:sz="0" w:space="0" w:color="auto"/>
                <w:bottom w:val="none" w:sz="0" w:space="0" w:color="auto"/>
                <w:right w:val="none" w:sz="0" w:space="0" w:color="auto"/>
              </w:divBdr>
              <w:divsChild>
                <w:div w:id="1138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8969">
      <w:bodyDiv w:val="1"/>
      <w:marLeft w:val="0"/>
      <w:marRight w:val="0"/>
      <w:marTop w:val="0"/>
      <w:marBottom w:val="0"/>
      <w:divBdr>
        <w:top w:val="none" w:sz="0" w:space="0" w:color="auto"/>
        <w:left w:val="none" w:sz="0" w:space="0" w:color="auto"/>
        <w:bottom w:val="none" w:sz="0" w:space="0" w:color="auto"/>
        <w:right w:val="none" w:sz="0" w:space="0" w:color="auto"/>
      </w:divBdr>
      <w:divsChild>
        <w:div w:id="1579560941">
          <w:marLeft w:val="0"/>
          <w:marRight w:val="0"/>
          <w:marTop w:val="0"/>
          <w:marBottom w:val="0"/>
          <w:divBdr>
            <w:top w:val="none" w:sz="0" w:space="0" w:color="auto"/>
            <w:left w:val="none" w:sz="0" w:space="0" w:color="auto"/>
            <w:bottom w:val="none" w:sz="0" w:space="0" w:color="auto"/>
            <w:right w:val="none" w:sz="0" w:space="0" w:color="auto"/>
          </w:divBdr>
          <w:divsChild>
            <w:div w:id="1309817923">
              <w:marLeft w:val="0"/>
              <w:marRight w:val="0"/>
              <w:marTop w:val="0"/>
              <w:marBottom w:val="0"/>
              <w:divBdr>
                <w:top w:val="none" w:sz="0" w:space="0" w:color="auto"/>
                <w:left w:val="none" w:sz="0" w:space="0" w:color="auto"/>
                <w:bottom w:val="none" w:sz="0" w:space="0" w:color="auto"/>
                <w:right w:val="none" w:sz="0" w:space="0" w:color="auto"/>
              </w:divBdr>
              <w:divsChild>
                <w:div w:id="589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5944">
      <w:bodyDiv w:val="1"/>
      <w:marLeft w:val="0"/>
      <w:marRight w:val="0"/>
      <w:marTop w:val="0"/>
      <w:marBottom w:val="0"/>
      <w:divBdr>
        <w:top w:val="none" w:sz="0" w:space="0" w:color="auto"/>
        <w:left w:val="none" w:sz="0" w:space="0" w:color="auto"/>
        <w:bottom w:val="none" w:sz="0" w:space="0" w:color="auto"/>
        <w:right w:val="none" w:sz="0" w:space="0" w:color="auto"/>
      </w:divBdr>
    </w:div>
    <w:div w:id="1409576228">
      <w:bodyDiv w:val="1"/>
      <w:marLeft w:val="0"/>
      <w:marRight w:val="0"/>
      <w:marTop w:val="0"/>
      <w:marBottom w:val="0"/>
      <w:divBdr>
        <w:top w:val="none" w:sz="0" w:space="0" w:color="auto"/>
        <w:left w:val="none" w:sz="0" w:space="0" w:color="auto"/>
        <w:bottom w:val="none" w:sz="0" w:space="0" w:color="auto"/>
        <w:right w:val="none" w:sz="0" w:space="0" w:color="auto"/>
      </w:divBdr>
      <w:divsChild>
        <w:div w:id="1144278464">
          <w:marLeft w:val="0"/>
          <w:marRight w:val="0"/>
          <w:marTop w:val="0"/>
          <w:marBottom w:val="0"/>
          <w:divBdr>
            <w:top w:val="none" w:sz="0" w:space="0" w:color="auto"/>
            <w:left w:val="none" w:sz="0" w:space="0" w:color="auto"/>
            <w:bottom w:val="none" w:sz="0" w:space="0" w:color="auto"/>
            <w:right w:val="none" w:sz="0" w:space="0" w:color="auto"/>
          </w:divBdr>
          <w:divsChild>
            <w:div w:id="370423220">
              <w:marLeft w:val="0"/>
              <w:marRight w:val="0"/>
              <w:marTop w:val="0"/>
              <w:marBottom w:val="0"/>
              <w:divBdr>
                <w:top w:val="none" w:sz="0" w:space="0" w:color="auto"/>
                <w:left w:val="none" w:sz="0" w:space="0" w:color="auto"/>
                <w:bottom w:val="none" w:sz="0" w:space="0" w:color="auto"/>
                <w:right w:val="none" w:sz="0" w:space="0" w:color="auto"/>
              </w:divBdr>
              <w:divsChild>
                <w:div w:id="2090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2848">
      <w:bodyDiv w:val="1"/>
      <w:marLeft w:val="0"/>
      <w:marRight w:val="0"/>
      <w:marTop w:val="0"/>
      <w:marBottom w:val="0"/>
      <w:divBdr>
        <w:top w:val="none" w:sz="0" w:space="0" w:color="auto"/>
        <w:left w:val="none" w:sz="0" w:space="0" w:color="auto"/>
        <w:bottom w:val="none" w:sz="0" w:space="0" w:color="auto"/>
        <w:right w:val="none" w:sz="0" w:space="0" w:color="auto"/>
      </w:divBdr>
      <w:divsChild>
        <w:div w:id="159276014">
          <w:marLeft w:val="0"/>
          <w:marRight w:val="0"/>
          <w:marTop w:val="0"/>
          <w:marBottom w:val="0"/>
          <w:divBdr>
            <w:top w:val="none" w:sz="0" w:space="0" w:color="auto"/>
            <w:left w:val="none" w:sz="0" w:space="0" w:color="auto"/>
            <w:bottom w:val="none" w:sz="0" w:space="0" w:color="auto"/>
            <w:right w:val="none" w:sz="0" w:space="0" w:color="auto"/>
          </w:divBdr>
          <w:divsChild>
            <w:div w:id="1241065648">
              <w:marLeft w:val="0"/>
              <w:marRight w:val="0"/>
              <w:marTop w:val="0"/>
              <w:marBottom w:val="0"/>
              <w:divBdr>
                <w:top w:val="none" w:sz="0" w:space="0" w:color="auto"/>
                <w:left w:val="none" w:sz="0" w:space="0" w:color="auto"/>
                <w:bottom w:val="none" w:sz="0" w:space="0" w:color="auto"/>
                <w:right w:val="none" w:sz="0" w:space="0" w:color="auto"/>
              </w:divBdr>
              <w:divsChild>
                <w:div w:id="21463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0026">
      <w:bodyDiv w:val="1"/>
      <w:marLeft w:val="0"/>
      <w:marRight w:val="0"/>
      <w:marTop w:val="0"/>
      <w:marBottom w:val="0"/>
      <w:divBdr>
        <w:top w:val="none" w:sz="0" w:space="0" w:color="auto"/>
        <w:left w:val="none" w:sz="0" w:space="0" w:color="auto"/>
        <w:bottom w:val="none" w:sz="0" w:space="0" w:color="auto"/>
        <w:right w:val="none" w:sz="0" w:space="0" w:color="auto"/>
      </w:divBdr>
      <w:divsChild>
        <w:div w:id="644512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www.resbank.co.za/en/home/what-we-do/Prudentialregulation/sa-registered-banks-and-representative-offices" TargetMode="External"/><Relationship Id="rId1" Type="http://schemas.openxmlformats.org/officeDocument/2006/relationships/hyperlink" Target="https://www.imf.org/external/datamapper/profile/Z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FEF5-F388-C541-BE29-8801E20D5114}">
  <ds:schemaRefs>
    <ds:schemaRef ds:uri="http://schemas.openxmlformats.org/officeDocument/2006/bibliography"/>
  </ds:schemaRefs>
</ds:datastoreItem>
</file>

<file path=docMetadata/LabelInfo.xml><?xml version="1.0" encoding="utf-8"?>
<clbl:labelList xmlns:clbl="http://schemas.microsoft.com/office/2020/mipLabelMetadata">
  <clbl:label id="{70c52299-74de-4dfd-b117-c9c408edfa50}" enabled="1" method="Standard" siteId="{853cbaab-a620-4178-8933-88d76414184a}" contentBits="0" removed="0"/>
</clbl:labelList>
</file>

<file path=docProps/app.xml><?xml version="1.0" encoding="utf-8"?>
<Properties xmlns="http://schemas.openxmlformats.org/officeDocument/2006/extended-properties" xmlns:vt="http://schemas.openxmlformats.org/officeDocument/2006/docPropsVTypes">
  <Template>Normal.dotm</Template>
  <TotalTime>31</TotalTime>
  <Pages>48</Pages>
  <Words>11084</Words>
  <Characters>63185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Xolani Sibande</dc:creator>
  <cp:keywords/>
  <cp:lastModifiedBy>Xolani Sibande</cp:lastModifiedBy>
  <cp:revision>4</cp:revision>
  <dcterms:created xsi:type="dcterms:W3CDTF">2023-07-09T21:11:00Z</dcterms:created>
  <dcterms:modified xsi:type="dcterms:W3CDTF">2023-12-05T12:09:00Z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