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variability (RPV) in South Africa given the little evidence available and to better understand how this relationship has evolved and the implications for monetary policy.</w:t>
      </w:r>
    </w:p>
    <w:p>
      <w:pPr>
        <w:pStyle w:val="BodyText"/>
      </w:pPr>
      <w:r>
        <w:t xml:space="preserve">The South African context can provide further insights into the relationship between inflation and RPV given the shifts in the inflation targets from 3- 6 per cent in 2000 to 4.5 per cent since 2017 as structural changes in inflation can affect the link between inflation and relative price variability</w:t>
      </w:r>
      <w:r>
        <w:t xml:space="preserve"> </w:t>
      </w:r>
      <w:r>
        <w:t xml:space="preserve">(</w:t>
      </w:r>
      <w:hyperlink w:anchor="ref-caglayan2003">
        <w:r>
          <w:rPr>
            <w:rStyle w:val="Hyperlink"/>
          </w:rPr>
          <w:t xml:space="preserve">Caglayan and Filiztekin 2003</w:t>
        </w:r>
      </w:hyperlink>
      <w:r>
        <w:t xml:space="preserve">)</w:t>
      </w:r>
      <w:r>
        <w:t xml:space="preserve"> </w:t>
      </w:r>
      <w:r>
        <w:t xml:space="preserve">and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The latter motivates the estimation of the inflation rate that minimizes relative price distortions since if the relationship was linear then the optimal inflation rate would be zero. Given the inflation target reform towards a 3% in South Africa, this study contributes to the policy discussion on the appropriate inflation target and understating how dynamic relations between inflation and relative price variability has evolved.</w:t>
      </w:r>
    </w:p>
    <w:p>
      <w:pPr>
        <w:pStyle w:val="BodyText"/>
      </w:pPr>
      <w:r>
        <w:t xml:space="preserve">The theoretical literature generally distinguishes between menu-cost and signal extraction models in explaining the positive relation between trend inflation and RVP. In these models’ firms follow a one-sided dynamic pricing rule when setting prices and face fixed non-zero costs of adjusting nominal prices (e.g. printing new menus) when inflation increases as the latter reduces the optimal real price of goods and services. Due to differences in administrative costs, these nominal price adjustment costs vary across firms moreover these adjustments occur at different times which implies staggard price setting behaviour which leads to relative price variability. Menu cost models predict a that higher expected inflation causes an increase in RVP (citations xxx) while Lucas-type signal extraction models (Lucas(1973); Hercowitz (1981); Cukierman (1984) xxxx more citatiosn) argue unexpected inflation uncertainty causes higher RVP because informational frictions make it difficult to distinguish between idiosyncratic relative shocks or an aggregate (inflationary) shock. Menu cost and signal-extraction models assume a positive and linear relationship making the optimal inflation rate zero, however, recently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show that this relationship is nonlinear making the optimal inflation rate somewhere between zero and positive inflation rate.</w:t>
      </w:r>
    </w:p>
    <w:bookmarkEnd w:id="20"/>
    <w:bookmarkStart w:id="21" w:name="citations"/>
    <w:p>
      <w:pPr>
        <w:pStyle w:val="Heading1"/>
      </w:pPr>
      <w:r>
        <w:t xml:space="preserve">Citations</w:t>
      </w:r>
    </w:p>
    <w:p>
      <w:pPr>
        <w:pStyle w:val="FirstParagraph"/>
      </w:pPr>
      <w:r>
        <w:t xml:space="preserve">Adam, Alexandrov, and Weber (</w:t>
      </w:r>
      <w:hyperlink w:anchor="ref-adam2024">
        <w:r>
          <w:rPr>
            <w:rStyle w:val="Hyperlink"/>
          </w:rPr>
          <w:t xml:space="preserve">2024</w:t>
        </w:r>
      </w:hyperlink>
      <w:r>
        <w:t xml:space="preserve">)</w:t>
      </w:r>
      <w:r>
        <w:t xml:space="preserve"> </w:t>
      </w:r>
      <w:r>
        <w:t xml:space="preserve">Baglan, Yazgan, and Yilmazkuday (</w:t>
      </w:r>
      <w:hyperlink w:anchor="ref-baglan2016">
        <w:r>
          <w:rPr>
            <w:rStyle w:val="Hyperlink"/>
          </w:rPr>
          <w:t xml:space="preserve">2016</w:t>
        </w:r>
      </w:hyperlink>
      <w:r>
        <w:t xml:space="preserve">)</w:t>
      </w:r>
      <w:r>
        <w:t xml:space="preserve"> </w:t>
      </w:r>
      <w:r>
        <w:t xml:space="preserve">Ball and Romer (</w:t>
      </w:r>
      <w:hyperlink w:anchor="ref-ball1993">
        <w:r>
          <w:rPr>
            <w:rStyle w:val="Hyperlink"/>
          </w:rPr>
          <w:t xml:space="preserve">1993</w:t>
        </w:r>
      </w:hyperlink>
      <w:r>
        <w:t xml:space="preserve">)</w:t>
      </w:r>
      <w:r>
        <w:t xml:space="preserve"> </w:t>
      </w:r>
      <w:r>
        <w:t xml:space="preserve">Benabou and Gertner (</w:t>
      </w:r>
      <w:hyperlink w:anchor="ref-benabou1993">
        <w:r>
          <w:rPr>
            <w:rStyle w:val="Hyperlink"/>
          </w:rPr>
          <w:t xml:space="preserve">1993</w:t>
        </w:r>
      </w:hyperlink>
      <w:r>
        <w:t xml:space="preserve">)</w:t>
      </w:r>
      <w:r>
        <w:t xml:space="preserve"> </w:t>
      </w:r>
      <w:r>
        <w:t xml:space="preserve">Caglayan and Filiztekin (</w:t>
      </w:r>
      <w:hyperlink w:anchor="ref-caglayan2003">
        <w:r>
          <w:rPr>
            <w:rStyle w:val="Hyperlink"/>
          </w:rPr>
          <w:t xml:space="preserve">2003</w:t>
        </w:r>
      </w:hyperlink>
      <w:r>
        <w:t xml:space="preserve">)</w:t>
      </w:r>
      <w:r>
        <w:t xml:space="preserve"> </w:t>
      </w:r>
      <w:r>
        <w:t xml:space="preserve">Caglayan, Filiztekin, and Rauh (</w:t>
      </w:r>
      <w:hyperlink w:anchor="ref-caglayan2008">
        <w:r>
          <w:rPr>
            <w:rStyle w:val="Hyperlink"/>
          </w:rPr>
          <w:t xml:space="preserve">2008</w:t>
        </w:r>
      </w:hyperlink>
      <w:r>
        <w:t xml:space="preserve">)</w:t>
      </w:r>
      <w:r>
        <w:t xml:space="preserve"> </w:t>
      </w:r>
      <w:r>
        <w:t xml:space="preserve">Grier and Perry (</w:t>
      </w:r>
      <w:hyperlink w:anchor="ref-grier1996">
        <w:r>
          <w:rPr>
            <w:rStyle w:val="Hyperlink"/>
          </w:rPr>
          <w:t xml:space="preserve">1996</w:t>
        </w:r>
      </w:hyperlink>
      <w:r>
        <w:t xml:space="preserve">)</w:t>
      </w:r>
      <w:r>
        <w:t xml:space="preserve"> </w:t>
      </w:r>
      <w:r>
        <w:t xml:space="preserve">Lach and Tsiddon (</w:t>
      </w:r>
      <w:hyperlink w:anchor="ref-lach1992">
        <w:r>
          <w:rPr>
            <w:rStyle w:val="Hyperlink"/>
          </w:rPr>
          <w:t xml:space="preserve">1992</w:t>
        </w:r>
      </w:hyperlink>
      <w:r>
        <w:t xml:space="preserve">)</w:t>
      </w:r>
      <w:r>
        <w:t xml:space="preserve"> </w:t>
      </w:r>
      <w:r>
        <w:t xml:space="preserve">Nakamura et al. (</w:t>
      </w:r>
      <w:hyperlink w:anchor="ref-nakamura2018">
        <w:r>
          <w:rPr>
            <w:rStyle w:val="Hyperlink"/>
          </w:rPr>
          <w:t xml:space="preserve">2018</w:t>
        </w:r>
      </w:hyperlink>
      <w:r>
        <w:t xml:space="preserve">)</w:t>
      </w:r>
      <w:r>
        <w:t xml:space="preserve"> </w:t>
      </w:r>
      <w:r>
        <w:t xml:space="preserve">Ndou and Redford (</w:t>
      </w:r>
      <w:hyperlink w:anchor="ref-ndou2014">
        <w:r>
          <w:rPr>
            <w:rStyle w:val="Hyperlink"/>
          </w:rPr>
          <w:t xml:space="preserve">2014</w:t>
        </w:r>
      </w:hyperlink>
      <w:r>
        <w:t xml:space="preserve">)</w:t>
      </w:r>
      <w:r>
        <w:t xml:space="preserve"> </w:t>
      </w:r>
      <w:r>
        <w:t xml:space="preserve">Ndou and Gumata (</w:t>
      </w:r>
      <w:hyperlink w:anchor="ref-ndou2017">
        <w:r>
          <w:rPr>
            <w:rStyle w:val="Hyperlink"/>
          </w:rPr>
          <w:t xml:space="preserve">2017</w:t>
        </w:r>
      </w:hyperlink>
      <w:r>
        <w:t xml:space="preserve">)</w:t>
      </w:r>
      <w:r>
        <w:t xml:space="preserve"> </w:t>
      </w:r>
      <w:r>
        <w:t xml:space="preserve">Parks (</w:t>
      </w:r>
      <w:hyperlink w:anchor="ref-parks1978">
        <w:r>
          <w:rPr>
            <w:rStyle w:val="Hyperlink"/>
          </w:rPr>
          <w:t xml:space="preserve">1978</w:t>
        </w:r>
      </w:hyperlink>
      <w:r>
        <w:t xml:space="preserve">)</w:t>
      </w:r>
      <w:r>
        <w:t xml:space="preserve"> </w:t>
      </w:r>
      <w:r>
        <w:t xml:space="preserve">Parsley (</w:t>
      </w:r>
      <w:hyperlink w:anchor="ref-parsley1996">
        <w:r>
          <w:rPr>
            <w:rStyle w:val="Hyperlink"/>
          </w:rPr>
          <w:t xml:space="preserve">1996</w:t>
        </w:r>
      </w:hyperlink>
      <w:r>
        <w:t xml:space="preserve">)</w:t>
      </w:r>
      <w:r>
        <w:t xml:space="preserve"> </w:t>
      </w:r>
      <w:r>
        <w:t xml:space="preserve">Rather, Durai, and Ramachandran (</w:t>
      </w:r>
      <w:hyperlink w:anchor="ref-rather2018">
        <w:r>
          <w:rPr>
            <w:rStyle w:val="Hyperlink"/>
          </w:rPr>
          <w:t xml:space="preserve">2018</w:t>
        </w:r>
      </w:hyperlink>
      <w:r>
        <w:t xml:space="preserve">)</w:t>
      </w:r>
    </w:p>
    <w:bookmarkEnd w:id="21"/>
    <w:bookmarkStart w:id="22" w:name="literature-review"/>
    <w:p>
      <w:pPr>
        <w:pStyle w:val="Heading1"/>
      </w:pPr>
      <w:r>
        <w:t xml:space="preserve">Literature review</w:t>
      </w:r>
    </w:p>
    <w:bookmarkEnd w:id="22"/>
    <w:bookmarkStart w:id="23" w:name="data-and-methodology"/>
    <w:p>
      <w:pPr>
        <w:pStyle w:val="Heading1"/>
      </w:pPr>
      <w:r>
        <w:t xml:space="preserve">Data and methodology</w:t>
      </w:r>
    </w:p>
    <w:bookmarkEnd w:id="23"/>
    <w:bookmarkStart w:id="28" w:name="results"/>
    <w:p>
      <w:pPr>
        <w:pStyle w:val="Heading1"/>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27" w:name="fig-rvp_headline_inflation"/>
          <w:p>
            <w:pPr>
              <w:pStyle w:val="Compact"/>
              <w:jc w:val="center"/>
            </w:pPr>
            <w:r>
              <w:drawing>
                <wp:inline>
                  <wp:extent cx="5753100" cy="1797843"/>
                  <wp:effectExtent b="0" l="0" r="0" t="0"/>
                  <wp:docPr descr="" title="" id="25" name="Picture"/>
                  <a:graphic>
                    <a:graphicData uri="http://schemas.openxmlformats.org/drawingml/2006/picture">
                      <pic:pic>
                        <pic:nvPicPr>
                          <pic:cNvPr descr="inflation_relative_price_variance_files/figure-docx/fig-rvp_headline_inflation-1.png" id="26" name="Picture"/>
                          <pic:cNvPicPr>
                            <a:picLocks noChangeArrowheads="1" noChangeAspect="1"/>
                          </pic:cNvPicPr>
                        </pic:nvPicPr>
                        <pic:blipFill>
                          <a:blip r:embed="rId24"/>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Relative price variance and headline inflation</w:t>
            </w:r>
          </w:p>
          <w:bookmarkEnd w:id="27"/>
        </w:tc>
      </w:tr>
    </w:tbl>
    <w:bookmarkEnd w:id="28"/>
    <w:bookmarkStart w:id="29" w:name="conclusion"/>
    <w:p>
      <w:pPr>
        <w:pStyle w:val="Heading1"/>
      </w:pPr>
      <w:r>
        <w:t xml:space="preserve">Conclusion</w:t>
      </w:r>
    </w:p>
    <w:p>
      <w:r>
        <w:br w:type="page"/>
      </w:r>
    </w:p>
    <w:bookmarkEnd w:id="29"/>
    <w:bookmarkStart w:id="55" w:name="references"/>
    <w:p>
      <w:pPr>
        <w:pStyle w:val="Heading1"/>
      </w:pPr>
      <w:r>
        <w:t xml:space="preserve">References</w:t>
      </w:r>
    </w:p>
    <w:bookmarkStart w:id="54" w:name="refs"/>
    <w:bookmarkStart w:id="30" w:name="ref-adam2024"/>
    <w:p>
      <w:pPr>
        <w:pStyle w:val="Bibliography"/>
      </w:pPr>
      <w:r>
        <w:t xml:space="preserve">Adam, Klaus, Andrey Alexandrov, and Henning Weber. 2024.</w:t>
      </w:r>
      <w:r>
        <w:t xml:space="preserve"> </w:t>
      </w:r>
      <w:r>
        <w:rPr>
          <w:iCs/>
          <w:i/>
        </w:rPr>
        <w:t xml:space="preserve">Inflation Distorts Relative Prices:</w:t>
      </w:r>
      <w:r>
        <w:rPr>
          <w:iCs/>
          <w:i/>
        </w:rPr>
        <w:t xml:space="preserve"> </w:t>
      </w:r>
      <w:r>
        <w:rPr>
          <w:iCs/>
          <w:i/>
        </w:rPr>
        <w:t xml:space="preserve">Theory</w:t>
      </w:r>
      <w:r>
        <w:rPr>
          <w:iCs/>
          <w:i/>
        </w:rPr>
        <w:t xml:space="preserve"> </w:t>
      </w:r>
      <w:r>
        <w:rPr>
          <w:iCs/>
          <w:i/>
        </w:rPr>
        <w:t xml:space="preserve">and Evidence</w:t>
      </w:r>
      <w:r>
        <w:t xml:space="preserve">. 23/2024. Deutsche Bundesbank Discussion Paper.</w:t>
      </w:r>
    </w:p>
    <w:bookmarkEnd w:id="30"/>
    <w:bookmarkStart w:id="3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31"/>
    <w:bookmarkStart w:id="32" w:name="ref-ball1993"/>
    <w:p>
      <w:pPr>
        <w:pStyle w:val="Bibliography"/>
      </w:pPr>
      <w:r>
        <w:t xml:space="preserve">Ball, Laurence M., and David H. Romer. 1993.</w:t>
      </w:r>
      <w:r>
        <w:t xml:space="preserve"> </w:t>
      </w:r>
      <w:r>
        <w:t xml:space="preserve">“Inflation and the</w:t>
      </w:r>
      <w:r>
        <w:t xml:space="preserve"> </w:t>
      </w:r>
      <w:r>
        <w:t xml:space="preserve">Informativeness</w:t>
      </w:r>
      <w:r>
        <w:t xml:space="preserve"> </w:t>
      </w:r>
      <w:r>
        <w:t xml:space="preserve">of</w:t>
      </w:r>
      <w:r>
        <w:t xml:space="preserve"> </w:t>
      </w:r>
      <w:r>
        <w:t xml:space="preserve">Prices</w:t>
      </w:r>
      <w:r>
        <w:t xml:space="preserve">.”</w:t>
      </w:r>
      <w:r>
        <w:t xml:space="preserve"> </w:t>
      </w:r>
      <w:r>
        <w:t xml:space="preserve">National Bureau of Economic Research Cambridge, Mass., USA.</w:t>
      </w:r>
    </w:p>
    <w:bookmarkEnd w:id="32"/>
    <w:bookmarkStart w:id="33" w:name="ref-benabou1993"/>
    <w:p>
      <w:pPr>
        <w:pStyle w:val="Bibliography"/>
      </w:pPr>
      <w:r>
        <w:t xml:space="preserve">Benabou, Roland, and Robert Gertner. 1993.</w:t>
      </w:r>
      <w:r>
        <w:t xml:space="preserve"> </w:t>
      </w:r>
      <w:r>
        <w:t xml:space="preserve">“Search with Learning from Prices: Does Increased Inflationary Uncertainty Lead to Higher Markups?”</w:t>
      </w:r>
      <w:r>
        <w:t xml:space="preserve"> </w:t>
      </w:r>
      <w:r>
        <w:rPr>
          <w:iCs/>
          <w:i/>
        </w:rPr>
        <w:t xml:space="preserve">The Review of Economic Studies</w:t>
      </w:r>
      <w:r>
        <w:t xml:space="preserve"> </w:t>
      </w:r>
      <w:r>
        <w:t xml:space="preserve">60 (1): 69–93.</w:t>
      </w:r>
    </w:p>
    <w:bookmarkEnd w:id="33"/>
    <w:bookmarkStart w:id="34"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34"/>
    <w:bookmarkStart w:id="35" w:name="ref-caglayan2008"/>
    <w:p>
      <w:pPr>
        <w:pStyle w:val="Bibliography"/>
      </w:pPr>
      <w:r>
        <w:t xml:space="preserve">Caglayan, Mustafa, Alpay Filiztekin, and Michael T. Rauh. 2008.</w:t>
      </w:r>
      <w:r>
        <w:t xml:space="preserve"> </w:t>
      </w:r>
      <w:r>
        <w:t xml:space="preserve">“Inflation, Price Dispersion, and Market Structure.”</w:t>
      </w:r>
      <w:r>
        <w:t xml:space="preserve"> </w:t>
      </w:r>
      <w:r>
        <w:rPr>
          <w:iCs/>
          <w:i/>
        </w:rPr>
        <w:t xml:space="preserve">European Economic Review</w:t>
      </w:r>
      <w:r>
        <w:t xml:space="preserve"> </w:t>
      </w:r>
      <w:r>
        <w:t xml:space="preserve">52 (7): 1187–1208.</w:t>
      </w:r>
    </w:p>
    <w:bookmarkEnd w:id="35"/>
    <w:bookmarkStart w:id="37"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36">
        <w:r>
          <w:rPr>
            <w:rStyle w:val="Hyperlink"/>
          </w:rPr>
          <w:t xml:space="preserve">https://doi.org/10.1111/j.1538-4616.2010.00307.x</w:t>
        </w:r>
      </w:hyperlink>
      <w:r>
        <w:t xml:space="preserve">.</w:t>
      </w:r>
    </w:p>
    <w:bookmarkEnd w:id="37"/>
    <w:bookmarkStart w:id="39"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38">
        <w:r>
          <w:rPr>
            <w:rStyle w:val="Hyperlink"/>
          </w:rPr>
          <w:t xml:space="preserve">https://doi.org/10.1111/1468-0335.00195</w:t>
        </w:r>
      </w:hyperlink>
      <w:r>
        <w:t xml:space="preserve">.</w:t>
      </w:r>
    </w:p>
    <w:bookmarkEnd w:id="39"/>
    <w:bookmarkStart w:id="40" w:name="ref-grier1996"/>
    <w:p>
      <w:pPr>
        <w:pStyle w:val="Bibliography"/>
      </w:pPr>
      <w:r>
        <w:t xml:space="preserve">Grier, Kevin B., and Mark J. Perry. 1996.</w:t>
      </w:r>
      <w:r>
        <w:t xml:space="preserve"> </w:t>
      </w:r>
      <w:r>
        <w:t xml:space="preserve">“Inflation, Inflation Uncertainty, and Relative Price Dispersion:</w:t>
      </w:r>
      <w:r>
        <w:t xml:space="preserve"> </w:t>
      </w:r>
      <w:r>
        <w:t xml:space="preserve">Evidence</w:t>
      </w:r>
      <w:r>
        <w:t xml:space="preserve"> </w:t>
      </w:r>
      <w:r>
        <w:t xml:space="preserve">from Bivariate</w:t>
      </w:r>
      <w:r>
        <w:t xml:space="preserve"> </w:t>
      </w:r>
      <w:r>
        <w:t xml:space="preserve">GARCH-M</w:t>
      </w:r>
      <w:r>
        <w:t xml:space="preserve"> </w:t>
      </w:r>
      <w:r>
        <w:t xml:space="preserve">Models.”</w:t>
      </w:r>
      <w:r>
        <w:t xml:space="preserve"> </w:t>
      </w:r>
      <w:r>
        <w:rPr>
          <w:iCs/>
          <w:i/>
        </w:rPr>
        <w:t xml:space="preserve">Journal of Monetary Economics</w:t>
      </w:r>
      <w:r>
        <w:t xml:space="preserve"> </w:t>
      </w:r>
      <w:r>
        <w:t xml:space="preserve">38 (2): 391–405.</w:t>
      </w:r>
    </w:p>
    <w:bookmarkEnd w:id="40"/>
    <w:bookmarkStart w:id="42" w:name="ref-head2005"/>
    <w:p>
      <w:pPr>
        <w:pStyle w:val="Bibliography"/>
      </w:pPr>
      <w:r>
        <w:t xml:space="preserve">Head, Allen, and Alok Kumar. 2005.</w:t>
      </w:r>
      <w:r>
        <w:t xml:space="preserve"> </w:t>
      </w:r>
      <w:r>
        <w:t xml:space="preserve">“</w:t>
      </w:r>
      <w:r>
        <w:t xml:space="preserve">PRICE DISPERSION</w:t>
      </w:r>
      <w:r>
        <w:t xml:space="preserve">,</w:t>
      </w:r>
      <w:r>
        <w:t xml:space="preserve"> </w:t>
      </w:r>
      <w:r>
        <w:t xml:space="preserve">INFLATION</w:t>
      </w:r>
      <w:r>
        <w:t xml:space="preserve">,</w:t>
      </w:r>
      <w:r>
        <w:t xml:space="preserve"> </w:t>
      </w:r>
      <w:r>
        <w:t xml:space="preserve">AND WELFARE</w:t>
      </w:r>
      <w:r>
        <w:t xml:space="preserve">*.”</w:t>
      </w:r>
      <w:r>
        <w:t xml:space="preserve"> </w:t>
      </w:r>
      <w:r>
        <w:rPr>
          <w:iCs/>
          <w:i/>
        </w:rPr>
        <w:t xml:space="preserve">International Economic Review</w:t>
      </w:r>
      <w:r>
        <w:t xml:space="preserve"> </w:t>
      </w:r>
      <w:r>
        <w:t xml:space="preserve">46 (2): 533–72.</w:t>
      </w:r>
      <w:r>
        <w:t xml:space="preserve"> </w:t>
      </w:r>
      <w:hyperlink r:id="rId41">
        <w:r>
          <w:rPr>
            <w:rStyle w:val="Hyperlink"/>
          </w:rPr>
          <w:t xml:space="preserve">https://doi.org/10.1111/j.1468-2354.2005.00333.x</w:t>
        </w:r>
      </w:hyperlink>
      <w:r>
        <w:t xml:space="preserve">.</w:t>
      </w:r>
    </w:p>
    <w:bookmarkEnd w:id="42"/>
    <w:bookmarkStart w:id="44"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43">
        <w:r>
          <w:rPr>
            <w:rStyle w:val="Hyperlink"/>
          </w:rPr>
          <w:t xml:space="preserve">https://doi.org/10.1086/261821</w:t>
        </w:r>
      </w:hyperlink>
      <w:r>
        <w:t xml:space="preserve">.</w:t>
      </w:r>
    </w:p>
    <w:bookmarkEnd w:id="44"/>
    <w:bookmarkStart w:id="45"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45"/>
    <w:bookmarkStart w:id="46"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46"/>
    <w:bookmarkStart w:id="47"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47"/>
    <w:bookmarkStart w:id="49" w:name="ref-parks1978"/>
    <w:p>
      <w:pPr>
        <w:pStyle w:val="Bibliography"/>
      </w:pPr>
      <w:r>
        <w:t xml:space="preserve">Parks, Richard W. 1978.</w:t>
      </w:r>
      <w:r>
        <w:t xml:space="preserve"> </w:t>
      </w:r>
      <w:r>
        <w:t xml:space="preserve">“Inflation and</w:t>
      </w:r>
      <w:r>
        <w:t xml:space="preserve"> </w:t>
      </w:r>
      <w:r>
        <w:t xml:space="preserve">Relative Price Variability</w:t>
      </w:r>
      <w:r>
        <w:t xml:space="preserve">.”</w:t>
      </w:r>
      <w:r>
        <w:t xml:space="preserve"> </w:t>
      </w:r>
      <w:r>
        <w:rPr>
          <w:iCs/>
          <w:i/>
        </w:rPr>
        <w:t xml:space="preserve">Journal of Political Economy</w:t>
      </w:r>
      <w:r>
        <w:t xml:space="preserve"> </w:t>
      </w:r>
      <w:r>
        <w:t xml:space="preserve">86 (1): 79–95.</w:t>
      </w:r>
      <w:r>
        <w:t xml:space="preserve"> </w:t>
      </w:r>
      <w:hyperlink r:id="rId48">
        <w:r>
          <w:rPr>
            <w:rStyle w:val="Hyperlink"/>
          </w:rPr>
          <w:t xml:space="preserve">https://doi.org/10.1086/260648</w:t>
        </w:r>
      </w:hyperlink>
      <w:r>
        <w:t xml:space="preserve">.</w:t>
      </w:r>
    </w:p>
    <w:bookmarkEnd w:id="49"/>
    <w:bookmarkStart w:id="51" w:name="ref-parsley1996"/>
    <w:p>
      <w:pPr>
        <w:pStyle w:val="Bibliography"/>
      </w:pPr>
      <w:r>
        <w:t xml:space="preserve">Parsley, David C. 1996.</w:t>
      </w:r>
      <w:r>
        <w:t xml:space="preserve"> </w:t>
      </w:r>
      <w:r>
        <w:t xml:space="preserve">“Inflation and Relative Price Variability in the Short and Long Run: New Evidence from the</w:t>
      </w:r>
      <w:r>
        <w:t xml:space="preserve"> </w:t>
      </w:r>
      <w:r>
        <w:t xml:space="preserve">United States</w:t>
      </w:r>
      <w:r>
        <w:t xml:space="preserve">.”</w:t>
      </w:r>
      <w:r>
        <w:t xml:space="preserve"> </w:t>
      </w:r>
      <w:r>
        <w:rPr>
          <w:iCs/>
          <w:i/>
        </w:rPr>
        <w:t xml:space="preserve">Journal of Money, Credit and Banking</w:t>
      </w:r>
      <w:r>
        <w:t xml:space="preserve"> </w:t>
      </w:r>
      <w:r>
        <w:t xml:space="preserve">28 (3): 323–41.</w:t>
      </w:r>
      <w:r>
        <w:t xml:space="preserve"> </w:t>
      </w:r>
      <w:hyperlink r:id="rId50">
        <w:r>
          <w:rPr>
            <w:rStyle w:val="Hyperlink"/>
          </w:rPr>
          <w:t xml:space="preserve">https://www.jstor.org/stable/2077978</w:t>
        </w:r>
      </w:hyperlink>
      <w:r>
        <w:t xml:space="preserve">.</w:t>
      </w:r>
    </w:p>
    <w:bookmarkEnd w:id="51"/>
    <w:bookmarkStart w:id="53" w:name="ref-rather2018"/>
    <w:p>
      <w:pPr>
        <w:pStyle w:val="Bibliography"/>
      </w:pPr>
      <w:r>
        <w:t xml:space="preserve">Rather, Sartaj Rasool, Raja Sethu Durai, and Muthia Ramachandran. 2018.</w:t>
      </w:r>
      <w:r>
        <w:t xml:space="preserve"> </w:t>
      </w:r>
      <w:r>
        <w:t xml:space="preserve">“Inflation and the</w:t>
      </w:r>
      <w:r>
        <w:t xml:space="preserve"> </w:t>
      </w:r>
      <w:r>
        <w:t xml:space="preserve">Dispersion</w:t>
      </w:r>
      <w:r>
        <w:t xml:space="preserve"> </w:t>
      </w:r>
      <w:r>
        <w:t xml:space="preserve">of</w:t>
      </w:r>
      <w:r>
        <w:t xml:space="preserve"> </w:t>
      </w:r>
      <w:r>
        <w:t xml:space="preserve">Relative Prices</w:t>
      </w:r>
      <w:r>
        <w:t xml:space="preserve">:</w:t>
      </w:r>
      <w:r>
        <w:t xml:space="preserve"> </w:t>
      </w:r>
      <w:r>
        <w:t xml:space="preserve">A Case</w:t>
      </w:r>
      <w:r>
        <w:t xml:space="preserve"> </w:t>
      </w:r>
      <w:r>
        <w:t xml:space="preserve">for 4 %</w:t>
      </w:r>
      <w:r>
        <w:t xml:space="preserve"> </w:t>
      </w:r>
      <w:r>
        <w:t xml:space="preserve">Solution</w:t>
      </w:r>
      <w:r>
        <w:t xml:space="preserve">.”</w:t>
      </w:r>
      <w:r>
        <w:t xml:space="preserve"> </w:t>
      </w:r>
      <w:r>
        <w:rPr>
          <w:iCs/>
          <w:i/>
        </w:rPr>
        <w:t xml:space="preserve">Australian Economic Papers</w:t>
      </w:r>
      <w:r>
        <w:t xml:space="preserve"> </w:t>
      </w:r>
      <w:r>
        <w:t xml:space="preserve">57 (1): 81–91.</w:t>
      </w:r>
      <w:r>
        <w:t xml:space="preserve"> </w:t>
      </w:r>
      <w:hyperlink r:id="rId52">
        <w:r>
          <w:rPr>
            <w:rStyle w:val="Hyperlink"/>
          </w:rPr>
          <w:t xml:space="preserve">https://doi.org/10.1111/1467-8454.12103</w:t>
        </w:r>
      </w:hyperlink>
      <w:r>
        <w:t xml:space="preserve">.</w:t>
      </w:r>
    </w:p>
    <w:bookmarkEnd w:id="53"/>
    <w:bookmarkEnd w:id="54"/>
    <w:bookmarkEnd w:id="55"/>
    <w:bookmarkStart w:id="61" w:name="appendix"/>
    <w:p>
      <w:pPr>
        <w:pStyle w:val="Heading1"/>
      </w:pPr>
      <w:r>
        <w:t xml:space="preserve">Appendix</w:t>
      </w:r>
    </w:p>
    <w:bookmarkStart w:id="60"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59" w:name="fig-price_data"/>
          <w:p>
            <w:pPr>
              <w:pStyle w:val="Compact"/>
              <w:jc w:val="center"/>
            </w:pPr>
            <w:r>
              <w:drawing>
                <wp:inline>
                  <wp:extent cx="5753100" cy="6472237"/>
                  <wp:effectExtent b="0" l="0" r="0" t="0"/>
                  <wp:docPr descr="" title="" id="57" name="Picture"/>
                  <a:graphic>
                    <a:graphicData uri="http://schemas.openxmlformats.org/drawingml/2006/picture">
                      <pic:pic>
                        <pic:nvPicPr>
                          <pic:cNvPr descr="inflation_relative_price_variance_files/figure-docx/fig-price_data-1.png" id="58" name="Picture"/>
                          <pic:cNvPicPr>
                            <a:picLocks noChangeArrowheads="1" noChangeAspect="1"/>
                          </pic:cNvPicPr>
                        </pic:nvPicPr>
                        <pic:blipFill>
                          <a:blip r:embed="rId56"/>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Price categories</w:t>
            </w:r>
          </w:p>
          <w:bookmarkEnd w:id="59"/>
        </w:tc>
      </w:tr>
    </w:tbl>
    <w:bookmarkEnd w:id="60"/>
    <w:bookmarkEnd w:id="61"/>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56" Target="media/rId56.png" /><Relationship Type="http://schemas.openxmlformats.org/officeDocument/2006/relationships/image" Id="rId24" Target="media/rId24.png" /><Relationship Type="http://schemas.openxmlformats.org/officeDocument/2006/relationships/hyperlink" Id="rId48" Target="https://doi.org/10.1086/260648" TargetMode="External" /><Relationship Type="http://schemas.openxmlformats.org/officeDocument/2006/relationships/hyperlink" Id="rId43" Target="https://doi.org/10.1086/261821" TargetMode="External" /><Relationship Type="http://schemas.openxmlformats.org/officeDocument/2006/relationships/hyperlink" Id="rId52" Target="https://doi.org/10.1111/1467-8454.12103" TargetMode="External" /><Relationship Type="http://schemas.openxmlformats.org/officeDocument/2006/relationships/hyperlink" Id="rId38" Target="https://doi.org/10.1111/1468-0335.00195" TargetMode="External" /><Relationship Type="http://schemas.openxmlformats.org/officeDocument/2006/relationships/hyperlink" Id="rId41" Target="https://doi.org/10.1111/j.1468-2354.2005.00333.x" TargetMode="External" /><Relationship Type="http://schemas.openxmlformats.org/officeDocument/2006/relationships/hyperlink" Id="rId36" Target="https://doi.org/10.1111/j.1538-4616.2010.00307.x" TargetMode="External" /><Relationship Type="http://schemas.openxmlformats.org/officeDocument/2006/relationships/hyperlink" Id="rId50" Target="https://www.jstor.org/stable/2077978"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86/260648" TargetMode="External" /><Relationship Type="http://schemas.openxmlformats.org/officeDocument/2006/relationships/hyperlink" Id="rId43" Target="https://doi.org/10.1086/261821" TargetMode="External" /><Relationship Type="http://schemas.openxmlformats.org/officeDocument/2006/relationships/hyperlink" Id="rId52" Target="https://doi.org/10.1111/1467-8454.12103" TargetMode="External" /><Relationship Type="http://schemas.openxmlformats.org/officeDocument/2006/relationships/hyperlink" Id="rId38" Target="https://doi.org/10.1111/1468-0335.00195" TargetMode="External" /><Relationship Type="http://schemas.openxmlformats.org/officeDocument/2006/relationships/hyperlink" Id="rId41" Target="https://doi.org/10.1111/j.1468-2354.2005.00333.x" TargetMode="External" /><Relationship Type="http://schemas.openxmlformats.org/officeDocument/2006/relationships/hyperlink" Id="rId36" Target="https://doi.org/10.1111/j.1538-4616.2010.00307.x" TargetMode="External" /><Relationship Type="http://schemas.openxmlformats.org/officeDocument/2006/relationships/hyperlink" Id="rId50" Target="https://www.jstor.org/stable/2077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2025-10-22T06:55:51Z</dcterms:created>
  <dcterms:modified xsi:type="dcterms:W3CDTF">2025-10-22T06:55:51Z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