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72E8" w14:textId="77777777" w:rsidR="0097353C" w:rsidRDefault="00000000">
      <w:pPr>
        <w:pStyle w:val="Heading1"/>
      </w:pPr>
      <w:bookmarkStart w:id="0" w:name="introduction"/>
      <w:r>
        <w:t>Introduction</w:t>
      </w:r>
    </w:p>
    <w:p w14:paraId="5D2CF8AF" w14:textId="77777777" w:rsidR="0097353C" w:rsidRDefault="00000000">
      <w:r>
        <w:t>Inflation is known to have adverse welfare effects through its distortion of relative prices which causes the mis-allocation of resources, production inefficiencies leading to lower real economic activity. This is well supported by both theoretical and empirical studies. This paper contributes to the empirical literature, by examining the relationship between inflation and relative price dispersion (RPD) in South Africa given the little evidence available and to determine how the relationship has evolved given inflation target changes and its implications for monetary policy.</w:t>
      </w:r>
    </w:p>
    <w:p w14:paraId="214D3994" w14:textId="77777777" w:rsidR="0097353C" w:rsidRDefault="00000000">
      <w:pPr>
        <w:pStyle w:val="BodyText"/>
      </w:pPr>
      <w:r>
        <w:t>The South African context can provide further insights into the relationship between inflation and RPD given the changes in the inflation targets from a 3 to 6 per cent band in 2000 to a 4.5 per cent midpoint target since 2017 and a shift to 3 per cent inflation target in 2025 as structural changes in inflation can affect the linkages with relative price dispersion (</w:t>
      </w:r>
      <w:hyperlink w:anchor="ref-caglayan2003">
        <w:r w:rsidR="0097353C">
          <w:rPr>
            <w:rStyle w:val="Hyperlink"/>
          </w:rPr>
          <w:t>Caglayan and Filiztekin 2003</w:t>
        </w:r>
      </w:hyperlink>
      <w:r>
        <w:t>). Furthermore, that the functional form of relationship is U-shaped and dynamic (</w:t>
      </w:r>
      <w:hyperlink w:anchor="ref-fielding2000">
        <w:r w:rsidR="0097353C">
          <w:rPr>
            <w:rStyle w:val="Hyperlink"/>
          </w:rPr>
          <w:t>Fielding and Mizen 2000</w:t>
        </w:r>
      </w:hyperlink>
      <w:r>
        <w:t xml:space="preserve">; </w:t>
      </w:r>
      <w:hyperlink w:anchor="ref-choi2010">
        <w:r w:rsidR="0097353C">
          <w:rPr>
            <w:rStyle w:val="Hyperlink"/>
          </w:rPr>
          <w:t>Choi 2010</w:t>
        </w:r>
      </w:hyperlink>
      <w:r>
        <w:t>) implying a non-zero optimal inflation rate that minimizes the distortive effect on relative prices since a linear relationship would imply that the optimal inflation rate is zero. Given the above mentioned inflation target reforms, South Africa provides an opportunity to examine the dynamic effects of inflation on relative price variability and the optimal inflation target with policy implications for emerging market economies that intend to transition to lower inflation targets.</w:t>
      </w:r>
    </w:p>
    <w:p w14:paraId="2AA69ABD" w14:textId="77777777" w:rsidR="0097353C" w:rsidRDefault="00000000">
      <w:pPr>
        <w:pStyle w:val="BodyText"/>
      </w:pPr>
      <w:r>
        <w:t>The theoretical literature distinguishes between menu-cost and signal extraction models in explaining the positive relation between inflation and RPD. In menu cost models (</w:t>
      </w:r>
      <w:hyperlink w:anchor="ref-sheshinki1979">
        <w:r w:rsidR="0097353C">
          <w:rPr>
            <w:rStyle w:val="Hyperlink"/>
          </w:rPr>
          <w:t>Sheshinski and Weiss 1979</w:t>
        </w:r>
      </w:hyperlink>
      <w:r>
        <w:t xml:space="preserve">, </w:t>
      </w:r>
      <w:hyperlink w:anchor="ref-sheshinski1983">
        <w:r w:rsidR="0097353C">
          <w:rPr>
            <w:rStyle w:val="Hyperlink"/>
          </w:rPr>
          <w:t>1983</w:t>
        </w:r>
      </w:hyperlink>
      <w:r>
        <w:t xml:space="preserve">; </w:t>
      </w:r>
      <w:hyperlink w:anchor="ref-rotemberg1983">
        <w:r w:rsidR="0097353C">
          <w:rPr>
            <w:rStyle w:val="Hyperlink"/>
          </w:rPr>
          <w:t>Rotemberg 1983</w:t>
        </w:r>
      </w:hyperlink>
      <w:r>
        <w:t xml:space="preserve">; </w:t>
      </w:r>
      <w:hyperlink w:anchor="ref-benabou1992">
        <w:r w:rsidR="0097353C">
          <w:rPr>
            <w:rStyle w:val="Hyperlink"/>
          </w:rPr>
          <w:t>Benabou 1992</w:t>
        </w:r>
      </w:hyperlink>
      <w:r>
        <w:t xml:space="preserve">) firms face fixed cost of adjusting nominal prices (e.g. printing new menus) and since they follow a one-sided dynamic pricing rule (S, s)[1] when setting prices, inflation reduces the optimal real price. Given price adjustment costs differ across firms (e.g. due to differences administrative costs) price adjustment occurs infrequently and at sporadic times leading to staggard price setting and consequently an increase in relative price variability with the latter reflecting nominal rigidities rather than a scarcity of resources. Signal extraction models emphasize the role of inflation surprises in increasing RPD. In these models, under the assumption of imperfect information, firms observe their </w:t>
      </w:r>
      <w:r>
        <w:lastRenderedPageBreak/>
        <w:t>own prices immediately, but only observe aggregate prices imperfectly, therefore unexpected inflation o inflation volatility reduces the informational content of prices as firms are unable to distinguish between idiosyncratic relative (real) shocks and aggregate (inflationary) shocks (</w:t>
      </w:r>
      <w:hyperlink w:anchor="ref-lucas1973">
        <w:r w:rsidR="0097353C">
          <w:rPr>
            <w:rStyle w:val="Hyperlink"/>
          </w:rPr>
          <w:t>Lucas 1973</w:t>
        </w:r>
      </w:hyperlink>
      <w:r>
        <w:t xml:space="preserve">; </w:t>
      </w:r>
      <w:hyperlink w:anchor="ref-hercowitz1981">
        <w:r w:rsidR="0097353C">
          <w:rPr>
            <w:rStyle w:val="Hyperlink"/>
          </w:rPr>
          <w:t>Hercowitz 1981</w:t>
        </w:r>
      </w:hyperlink>
      <w:r>
        <w:t xml:space="preserve">; </w:t>
      </w:r>
      <w:hyperlink w:anchor="ref-cukierman1983">
        <w:r w:rsidR="0097353C">
          <w:rPr>
            <w:rStyle w:val="Hyperlink"/>
          </w:rPr>
          <w:t>Cukierman 1983</w:t>
        </w:r>
      </w:hyperlink>
      <w:r>
        <w:t xml:space="preserve">; </w:t>
      </w:r>
      <w:hyperlink w:anchor="ref-barro1976">
        <w:r w:rsidR="0097353C">
          <w:rPr>
            <w:rStyle w:val="Hyperlink"/>
          </w:rPr>
          <w:t>Barro 1976</w:t>
        </w:r>
      </w:hyperlink>
      <w:r>
        <w:t>) leading to cross-sectional price dispersion which results in allocative inefficiencies generating adverse real effects.</w:t>
      </w:r>
      <w:r>
        <w:rPr>
          <w:rStyle w:val="FootnoteReference"/>
        </w:rPr>
        <w:footnoteReference w:id="1"/>
      </w:r>
      <w:r>
        <w:t xml:space="preserve"> While menu cost models predict a linear relationship, signal extraction models predict nonlinearities along with monetary search models (</w:t>
      </w:r>
      <w:hyperlink w:anchor="ref-head2005">
        <w:r w:rsidR="0097353C">
          <w:rPr>
            <w:rStyle w:val="Hyperlink"/>
          </w:rPr>
          <w:t>Head and Kumar 2005</w:t>
        </w:r>
      </w:hyperlink>
      <w:r>
        <w:t>) with the latter also arguing that moderate inflation can increase welfare suggesting the optimal inflation can be non-zero.</w:t>
      </w:r>
      <w:r>
        <w:rPr>
          <w:rStyle w:val="FootnoteReference"/>
        </w:rPr>
        <w:footnoteReference w:id="2"/>
      </w:r>
    </w:p>
    <w:p w14:paraId="548B126F" w14:textId="77777777" w:rsidR="0097353C" w:rsidRDefault="00000000">
      <w:pPr>
        <w:pStyle w:val="BodyText"/>
      </w:pPr>
      <w:r>
        <w:t>Against this backdrop, this paper closely follows Caraballo and Dabús (</w:t>
      </w:r>
      <w:hyperlink w:anchor="ref-caraballo2013">
        <w:r w:rsidR="0097353C">
          <w:rPr>
            <w:rStyle w:val="Hyperlink"/>
          </w:rPr>
          <w:t>2013</w:t>
        </w:r>
      </w:hyperlink>
      <w:r>
        <w:t>) and tests the menu cost and signal extraction models in a semi-parametric framework (</w:t>
      </w:r>
      <w:hyperlink w:anchor="ref-robinson1988a">
        <w:r w:rsidR="0097353C">
          <w:rPr>
            <w:rStyle w:val="Hyperlink"/>
          </w:rPr>
          <w:t>Robinson 1988</w:t>
        </w:r>
      </w:hyperlink>
      <w:r>
        <w:t xml:space="preserve">) for South Africa between 2009 and 2025. We further extend our analysis further by estimating the inflation-RPD nexus using a quantile-on-quantile regression (QQR) since the semiparametric estimation provides average inflation effects on RPD, the QQR estimation shows how the state-dependent inflation effects specific areas of the distribution of relative price dispersion. We chose a post 2008 financial crisis period sample because inflation was broadly within the target range and monetary policy credibility had broadly improved during this period relative to the period after the adoption of the inflation target framework in 2000. Furthermore, we estimate the </w:t>
      </w:r>
      <w:r>
        <w:lastRenderedPageBreak/>
        <w:t>inflation-RPD nexus in the pre-and post-2017 samples when the South African Reserve Bank (SARB) began to target the midpoint of the 3-6 per inflation target range. Our sample includes 2025 with inflation structurally lower at 3.2 per cent in the year after the SARB had communicated its preference for a 3 per cent target.</w:t>
      </w:r>
      <w:r>
        <w:rPr>
          <w:rStyle w:val="FootnoteReference"/>
        </w:rPr>
        <w:footnoteReference w:id="3"/>
      </w:r>
      <w:r>
        <w:t>. The National Treasury officially adopting the 3 per cent in November 2025 nevertheless, we do not specifically make inference with regards to this as an extended post sample period is needed.</w:t>
      </w:r>
    </w:p>
    <w:p w14:paraId="764F1AFE" w14:textId="77777777" w:rsidR="0097353C" w:rsidRDefault="00000000">
      <w:pPr>
        <w:pStyle w:val="BodyText"/>
      </w:pPr>
      <w:r>
        <w:t>The empirical literature is well established but with evidence for emerging markets few. To the best of our knowledge, Ndou and Redford (</w:t>
      </w:r>
      <w:hyperlink w:anchor="ref-ndou2014">
        <w:r w:rsidR="0097353C">
          <w:rPr>
            <w:rStyle w:val="Hyperlink"/>
          </w:rPr>
          <w:t>2014</w:t>
        </w:r>
      </w:hyperlink>
      <w:r>
        <w:t>) and Ndou and Gumata (</w:t>
      </w:r>
      <w:hyperlink w:anchor="ref-ndou2017">
        <w:r w:rsidR="0097353C">
          <w:rPr>
            <w:rStyle w:val="Hyperlink"/>
          </w:rPr>
          <w:t>2017</w:t>
        </w:r>
      </w:hyperlink>
      <w:r>
        <w:t>) are there only papers that examined the inflation and RPD relationship for South Africa. Ndou and Redford (</w:t>
      </w:r>
      <w:hyperlink w:anchor="ref-ndou2014">
        <w:r w:rsidR="0097353C">
          <w:rPr>
            <w:rStyle w:val="Hyperlink"/>
          </w:rPr>
          <w:t>2014</w:t>
        </w:r>
      </w:hyperlink>
      <w:r>
        <w:t>) estimated the disaggregated CPI components and their relation to RPD and found heterogenous effects of these on RPD over 1980-2010 before and after the adoption of the inflation target framework while Ndou and Gumata (</w:t>
      </w:r>
      <w:hyperlink w:anchor="ref-ndou2017">
        <w:r w:rsidR="0097353C">
          <w:rPr>
            <w:rStyle w:val="Hyperlink"/>
          </w:rPr>
          <w:t>2017</w:t>
        </w:r>
      </w:hyperlink>
      <w:r>
        <w:t>) focused their analysis on RPD for services only during 1980-2011. This paper contributes to the empirical literature by examining the headline inflation-RPD nexus in the context of structural changes in inflation induced by inflation target changes estimating both mean and tail effects, and estimating the optimal inflation target.</w:t>
      </w:r>
    </w:p>
    <w:p w14:paraId="53CB66FA" w14:textId="77777777" w:rsidR="0097353C" w:rsidRDefault="00000000">
      <w:pPr>
        <w:pStyle w:val="BodyText"/>
      </w:pPr>
      <w:r>
        <w:t>In brief, our finding confirm a non-linear relationship for the Soutb African case. Furthermore, we find evidence of regime-dependence in the relationship between inflation and RPD with the post-2017 period showing a flatter relationship compared to the pre-2017 period. The optimal inflation rate that minimizes RPD is estimated to be in the range of 2-3 per cent, which is lower than the current 4.5 per cent target but closer to the 3 per cent target adopted in 2025.</w:t>
      </w:r>
    </w:p>
    <w:p w14:paraId="3D3A6375" w14:textId="77777777" w:rsidR="0097353C" w:rsidRDefault="00000000">
      <w:pPr>
        <w:pStyle w:val="BodyText"/>
      </w:pPr>
      <w:r>
        <w:t xml:space="preserve">The rest of the paper is organised as follows: Section 2 offers a RPD-inflation theoretical foundation, Section 3 presents the data and methodology. Section 3 discusses the main results, Section 4 discusses the robustness tests and Section 5 </w:t>
      </w:r>
      <w:r>
        <w:lastRenderedPageBreak/>
        <w:t>concludes the paper.</w:t>
      </w:r>
    </w:p>
    <w:p w14:paraId="040642CB" w14:textId="77777777" w:rsidR="0097353C" w:rsidRDefault="00000000">
      <w:pPr>
        <w:pStyle w:val="Heading1"/>
      </w:pPr>
      <w:bookmarkStart w:id="1" w:name="X341e255f5ca5f5ce6e5be54b5bf6327947c7058"/>
      <w:bookmarkEnd w:id="0"/>
      <w:r>
        <w:t>Relative price dispersion through Lucas’s aggregate supply curve</w:t>
      </w:r>
    </w:p>
    <w:p w14:paraId="7F3D1D90" w14:textId="77777777" w:rsidR="0097353C" w:rsidRDefault="00000000">
      <w:r>
        <w:t>The concept of relative price dispersion can be abstract and difficult to grasp without a theoretical framework. One of the most influential frameworks for understanding relative price dispersion is the Lucas (</w:t>
      </w:r>
      <w:hyperlink w:anchor="ref-lucas1973">
        <w:r w:rsidR="0097353C">
          <w:rPr>
            <w:rStyle w:val="Hyperlink"/>
          </w:rPr>
          <w:t>1973</w:t>
        </w:r>
      </w:hyperlink>
      <w:r>
        <w:t>) aggregate supply curve, which provides insights into how relative price dispersion can explain the output-inflation relationship, otherwise know as the ’natural rate theory. This theory essentially means (in part) that nominal “rigidities” partially dominate short-run supplier behaviour resulting from a lack of information about the some prices relevant to decision making. For our purposes we ignore other aspects of the theoretical framework and emphasis this aspect of the model to provide an understanding relative price dispersion.</w:t>
      </w:r>
    </w:p>
    <w:p w14:paraId="66A429E0" w14:textId="77777777" w:rsidR="0097353C" w:rsidRDefault="00000000">
      <w:pPr>
        <w:pStyle w:val="BodyText"/>
      </w:pPr>
      <w:r>
        <w:t>Lucas (</w:t>
      </w:r>
      <w:hyperlink w:anchor="ref-lucas1973">
        <w:r w:rsidR="0097353C">
          <w:rPr>
            <w:rStyle w:val="Hyperlink"/>
          </w:rPr>
          <w:t>1973</w:t>
        </w:r>
      </w:hyperlink>
      <w:r>
        <w:t>) proposes a decomposition of the supply curve, all in logs, into a natural or secular component and a cyclical component as follows:</w:t>
      </w:r>
    </w:p>
    <w:bookmarkStart w:id="2" w:name="eq-lucas_supply_curve"/>
    <w:p w14:paraId="42E76D49"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bookmarkEnd w:id="2"/>
    </w:p>
    <w:p w14:paraId="43586D79" w14:textId="77777777" w:rsidR="0097353C" w:rsidRDefault="00000000">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aggregate supply at time </w:t>
      </w:r>
      <m:oMath>
        <m:r>
          <w:rPr>
            <w:rFonts w:ascii="Cambria Math" w:hAnsi="Cambria Math"/>
          </w:rPr>
          <m:t>t</m:t>
        </m:r>
      </m:oMath>
      <w:r>
        <w:t xml:space="preserve"> in market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natural or secular level of supply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is the cyclical component of supply at time </w:t>
      </w:r>
      <m:oMath>
        <m:r>
          <w:rPr>
            <w:rFonts w:ascii="Cambria Math" w:hAnsi="Cambria Math"/>
          </w:rPr>
          <m:t>t</m:t>
        </m:r>
      </m:oMath>
      <w:r>
        <w:t>. Competitive markets and a cleared labour market are assumed, meaning that the slope of the supply curve can only reflect the degree of information frictions and the speed of price adjustment related to labour and product markets. Furthermore, the demand for goods in each period is assumed to be unevenly distributed, leading to relative price and general price level movements leading. It is this imperfect information of the suppliers about the general price level that leads to relative price dispersion and the output-inflation relationship.</w:t>
      </w:r>
    </w:p>
    <w:p w14:paraId="326CA0A3" w14:textId="77777777" w:rsidR="0097353C" w:rsidRDefault="00000000">
      <w:pPr>
        <w:pStyle w:val="BodyText"/>
      </w:pPr>
      <w:r>
        <w:t>In addition, the natural or secular level of supply is assumed to follow a linear trend as follows:</w:t>
      </w:r>
    </w:p>
    <w:bookmarkStart w:id="3" w:name="eq-natural_supply"/>
    <w:p w14:paraId="0C5B535A"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3"/>
    </w:p>
    <w:p w14:paraId="269957C6" w14:textId="77777777" w:rsidR="0097353C" w:rsidRDefault="00000000">
      <w:r>
        <w:t xml:space="preserve">where </w:t>
      </w:r>
      <m:oMath>
        <m:r>
          <w:rPr>
            <w:rFonts w:ascii="Cambria Math" w:hAnsi="Cambria Math"/>
          </w:rPr>
          <m:t>α</m:t>
        </m:r>
      </m:oMath>
      <w:r>
        <w:t xml:space="preserve"> is a constant and </w:t>
      </w:r>
      <m:oMath>
        <m:r>
          <w:rPr>
            <w:rFonts w:ascii="Cambria Math" w:hAnsi="Cambria Math"/>
          </w:rPr>
          <m:t>β</m:t>
        </m:r>
      </m:oMath>
      <w:r>
        <w:t xml:space="preserve"> captures the trend growth rate of the natural level of supply.</w:t>
      </w:r>
    </w:p>
    <w:p w14:paraId="63C9039F" w14:textId="77777777" w:rsidR="0097353C" w:rsidRDefault="00000000">
      <w:pPr>
        <w:pStyle w:val="BodyText"/>
      </w:pPr>
      <w:r>
        <w:lastRenderedPageBreak/>
        <w:t>The cyclical component varies with the perceived relative price (the difference between the actual price level and the expected price level) and its lags as follows:</w:t>
      </w:r>
    </w:p>
    <w:bookmarkStart w:id="4" w:name="eq-cyclical_component"/>
    <w:p w14:paraId="319CC98C"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4"/>
    </w:p>
    <w:p w14:paraId="66ECD114" w14:textId="77777777" w:rsidR="0097353C" w:rsidRDefault="00000000">
      <w:r>
        <w:t xml:space="preserve">where </w:t>
      </w:r>
      <m:oMath>
        <m:r>
          <w:rPr>
            <w:rFonts w:ascii="Cambria Math" w:hAnsi="Cambria Math"/>
          </w:rPr>
          <m:t>γ</m:t>
        </m:r>
      </m:oMath>
      <w:r>
        <w:t xml:space="preserve"> captures the sensitivity of supply to the perceived relative price,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level in market </w:t>
      </w:r>
      <m:oMath>
        <m:r>
          <w:rPr>
            <w:rFonts w:ascii="Cambria Math" w:hAnsi="Cambria Math"/>
          </w:rPr>
          <m:t>z</m:t>
        </m:r>
      </m:oMath>
      <w:r>
        <w:t xml:space="preserve"> at time </w:t>
      </w:r>
      <m:oMath>
        <m:r>
          <w:rPr>
            <w:rFonts w:ascii="Cambria Math" w:hAnsi="Cambria Math"/>
          </w:rPr>
          <m:t>t</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and </w:t>
      </w:r>
      <m:oMath>
        <m:r>
          <w:rPr>
            <w:rFonts w:ascii="Cambria Math" w:hAnsi="Cambria Math"/>
          </w:rPr>
          <m:t>λ</m:t>
        </m:r>
      </m:oMath>
      <w:r>
        <w:t xml:space="preserve"> captures the persistence of the cyclical component and </w:t>
      </w:r>
      <m:oMath>
        <m:d>
          <m:dPr>
            <m:begChr m:val="|"/>
            <m:endChr m:val="|"/>
            <m:ctrlPr>
              <w:rPr>
                <w:rFonts w:ascii="Cambria Math" w:hAnsi="Cambria Math"/>
              </w:rPr>
            </m:ctrlPr>
          </m:dPr>
          <m:e>
            <m:r>
              <w:rPr>
                <w:rFonts w:ascii="Cambria Math" w:hAnsi="Cambria Math"/>
              </w:rPr>
              <m:t>λ</m:t>
            </m:r>
          </m:e>
        </m:d>
        <m:r>
          <m:rPr>
            <m:sty m:val="p"/>
          </m:rPr>
          <w:rPr>
            <w:rFonts w:ascii="Cambria Math" w:hAnsi="Cambria Math"/>
          </w:rPr>
          <m:t>&lt;</m:t>
        </m:r>
        <m:r>
          <w:rPr>
            <w:rFonts w:ascii="Cambria Math" w:hAnsi="Cambria Math"/>
          </w:rPr>
          <m:t>1</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current expected price level conditioned on information that is available at time </w:t>
      </w:r>
      <m:oMath>
        <m:r>
          <w:rPr>
            <w:rFonts w:ascii="Cambria Math" w:hAnsi="Cambria Math"/>
          </w:rPr>
          <m:t>t</m:t>
        </m:r>
      </m:oMath>
      <w:r>
        <w:t xml:space="preserve">, at market </w:t>
      </w:r>
      <m:oMath>
        <m:r>
          <w:rPr>
            <w:rFonts w:ascii="Cambria Math" w:hAnsi="Cambria Math"/>
          </w:rPr>
          <m:t>z</m:t>
        </m:r>
      </m:oMath>
      <w:r>
        <w:t>. The available information set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comprises of past demand driven shifts of the secular component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and the past deviations of the cyclical component (</w:t>
      </w: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t>) from its natural level.</w:t>
      </w:r>
    </w:p>
    <w:p w14:paraId="261DE893" w14:textId="77777777" w:rsidR="0097353C" w:rsidRDefault="00000000">
      <w:pPr>
        <w:pStyle w:val="BodyText"/>
      </w:pPr>
      <w:r>
        <w:t>The current general price level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which determines ‘prior’ expectations common across all suppliers in all markets, is assumed to be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oMath>
      <w:r>
        <w:t xml:space="preserve"> 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is the mean price level at time </w:t>
      </w:r>
      <m:oMath>
        <m:r>
          <w:rPr>
            <w:rFonts w:ascii="Cambria Math" w:hAnsi="Cambria Math"/>
          </w:rPr>
          <m:t>t</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price level at time </w:t>
      </w:r>
      <m:oMath>
        <m:r>
          <w:rPr>
            <w:rFonts w:ascii="Cambria Math" w:hAnsi="Cambria Math"/>
          </w:rPr>
          <m:t>t</m:t>
        </m:r>
      </m:oMath>
      <w:r>
        <w:t>. Furthermore, Lucas (</w:t>
      </w:r>
      <w:hyperlink w:anchor="ref-lucas1973">
        <w:r w:rsidR="0097353C">
          <w:rPr>
            <w:rStyle w:val="Hyperlink"/>
          </w:rPr>
          <w:t>1973</w:t>
        </w:r>
      </w:hyperlink>
      <w:r>
        <w:t xml:space="preserve">) defines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as the percentage deviation of the actual market price from the general price level as </w:t>
      </w:r>
      <m:oMath>
        <m:r>
          <w:rPr>
            <w:rFonts w:ascii="Cambria Math" w:hAnsi="Cambria Math"/>
          </w:rPr>
          <m:t>z</m:t>
        </m:r>
        <m:limUpp>
          <m:limUppPr>
            <m:ctrlPr>
              <w:rPr>
                <w:rFonts w:ascii="Cambria Math" w:hAnsi="Cambria Math"/>
              </w:rPr>
            </m:ctrlPr>
          </m:limUppPr>
          <m:e>
            <m:r>
              <m:rPr>
                <m:sty m:val="p"/>
              </m:rPr>
              <w:rPr>
                <w:rFonts w:ascii="Cambria Math" w:hAnsi="Cambria Math"/>
              </w:rPr>
              <m:t>∼</m:t>
            </m:r>
          </m:e>
          <m:lim>
            <m:r>
              <m:rPr>
                <m:nor/>
              </m:rPr>
              <m:t>iid</m:t>
            </m:r>
          </m:lim>
        </m:limUpp>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r>
          <m:rPr>
            <m:sty m:val="p"/>
          </m:rPr>
          <w:rPr>
            <w:rFonts w:ascii="Cambria Math" w:hAnsi="Cambria Math"/>
          </w:rPr>
          <m:t>,</m:t>
        </m:r>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variance of </w:t>
      </w:r>
      <m:oMath>
        <m:r>
          <w:rPr>
            <w:rFonts w:ascii="Cambria Math" w:hAnsi="Cambria Math"/>
          </w:rPr>
          <m:t>z</m:t>
        </m:r>
      </m:oMath>
      <w:r>
        <w:t xml:space="preserve">. Therefore, the actual price level in market </w:t>
      </w:r>
      <m:oMath>
        <m:r>
          <w:rPr>
            <w:rFonts w:ascii="Cambria Math" w:hAnsi="Cambria Math"/>
          </w:rPr>
          <m:t>z</m:t>
        </m:r>
      </m:oMath>
      <w:r>
        <w:t xml:space="preserve"> at time </w:t>
      </w:r>
      <m:oMath>
        <m:r>
          <w:rPr>
            <w:rFonts w:ascii="Cambria Math" w:hAnsi="Cambria Math"/>
          </w:rPr>
          <m:t>t</m:t>
        </m:r>
      </m:oMath>
      <w:r>
        <w:t xml:space="preserve"> can be expressed as:</w:t>
      </w:r>
    </w:p>
    <w:bookmarkStart w:id="5" w:name="eq-price_decomposition"/>
    <w:p w14:paraId="64700FFD"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5"/>
    </w:p>
    <w:p w14:paraId="3A224CC7" w14:textId="77777777" w:rsidR="0097353C" w:rsidRDefault="00000000">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in market </w:t>
      </w:r>
      <m:oMath>
        <m:r>
          <w:rPr>
            <w:rFonts w:ascii="Cambria Math" w:hAnsi="Cambria Math"/>
          </w:rPr>
          <m:t>z</m:t>
        </m:r>
      </m:oMath>
      <w:r>
        <w:t xml:space="preserve"> at time </w:t>
      </w:r>
      <m:oMath>
        <m:r>
          <w:rPr>
            <w:rFonts w:ascii="Cambria Math" w:hAnsi="Cambria Math"/>
          </w:rPr>
          <m:t>t</m:t>
        </m:r>
      </m:oMath>
      <w:r>
        <w:t xml:space="preserve"> (that is the markets are indexed to z),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current general price level at time </w:t>
      </w:r>
      <m:oMath>
        <m:r>
          <w:rPr>
            <w:rFonts w:ascii="Cambria Math" w:hAnsi="Cambria Math"/>
          </w:rPr>
          <m:t>t</m:t>
        </m:r>
      </m:oMath>
      <w:r>
        <w:t xml:space="preserve">, and </w:t>
      </w:r>
      <m:oMath>
        <m:r>
          <w:rPr>
            <w:rFonts w:ascii="Cambria Math" w:hAnsi="Cambria Math"/>
          </w:rPr>
          <m:t>z</m:t>
        </m:r>
      </m:oMath>
      <w:r>
        <w:t xml:space="preserve"> is the percentage deviation of the actual market price from the general price level. However,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unobserved by traders, and therefore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used to estimate the expected price level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can be derived using Bayes’ rule as follows:</w:t>
      </w:r>
    </w:p>
    <w:p w14:paraId="50E84F66" w14:textId="77777777" w:rsidR="0097353C" w:rsidRDefault="00000000">
      <w:pPr>
        <w:pStyle w:val="BodyText"/>
      </w:pPr>
      <w:bookmarkStart w:id="6" w:name="eq-expected_price_level"/>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θ</m:t>
          </m:r>
          <m:bar>
            <m:barPr>
              <m:pos m:val="top"/>
              <m:ctrlPr>
                <w:rPr>
                  <w:rFonts w:ascii="Cambria Math" w:hAnsi="Cambria Math"/>
                </w:rPr>
              </m:ctrlPr>
            </m:barPr>
            <m:e>
              <m:r>
                <w:rPr>
                  <w:rFonts w:ascii="Cambria Math" w:hAnsi="Cambria Math"/>
                </w:rPr>
                <m:t>Pt</m:t>
              </m:r>
            </m:e>
          </m:ba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6"/>
    </w:p>
    <w:p w14:paraId="7B3AE57A" w14:textId="77777777" w:rsidR="0097353C" w:rsidRDefault="00000000">
      <w:r>
        <w:t xml:space="preserve">where </w:t>
      </w: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den>
        </m:f>
      </m:oMath>
      <w:r>
        <w:t xml:space="preserve"> is the weight placed on the mean price level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in forming expectations. Combining </w:t>
      </w:r>
      <w:hyperlink w:anchor="eq-lucas_supply_curve">
        <w:r w:rsidR="0097353C">
          <w:rPr>
            <w:rStyle w:val="Hyperlink"/>
          </w:rPr>
          <w:t>Equation 1</w:t>
        </w:r>
      </w:hyperlink>
      <w:r>
        <w:t xml:space="preserve">, </w:t>
      </w:r>
      <w:hyperlink w:anchor="eq-price_decomposition">
        <w:r w:rsidR="0097353C">
          <w:rPr>
            <w:rStyle w:val="Hyperlink"/>
          </w:rPr>
          <w:t>Equation 4</w:t>
        </w:r>
      </w:hyperlink>
      <w:r>
        <w:t xml:space="preserve">, and </w:t>
      </w:r>
      <w:hyperlink w:anchor="eq-expected_price_level">
        <w:r w:rsidR="0097353C">
          <w:rPr>
            <w:rStyle w:val="Hyperlink"/>
          </w:rPr>
          <w:t>Equation 5</w:t>
        </w:r>
      </w:hyperlink>
      <w:r>
        <w:t xml:space="preserve"> by substitution yields </w:t>
      </w:r>
      <w:r>
        <w:lastRenderedPageBreak/>
        <w:t>the following:</w:t>
      </w:r>
    </w:p>
    <w:bookmarkStart w:id="7" w:name="eq-lucas_supply_curve_final"/>
    <w:p w14:paraId="1D8268F7"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6</m:t>
              </m:r>
            </m:e>
          </m:d>
        </m:oMath>
      </m:oMathPara>
      <w:bookmarkEnd w:id="7"/>
    </w:p>
    <w:p w14:paraId="2F0197EF" w14:textId="77777777" w:rsidR="0097353C" w:rsidRDefault="00000000">
      <w:r>
        <w:t xml:space="preserve">where the current supply in market </w:t>
      </w:r>
      <m:oMath>
        <m:r>
          <w:rPr>
            <w:rFonts w:ascii="Cambria Math" w:hAnsi="Cambria Math"/>
          </w:rPr>
          <m:t>z</m:t>
        </m:r>
      </m:oMath>
      <w:r>
        <w:t xml:space="preserve"> at time </w:t>
      </w:r>
      <m:oMath>
        <m:r>
          <w:rPr>
            <w:rFonts w:ascii="Cambria Math" w:hAnsi="Cambria Math"/>
          </w:rPr>
          <m:t>t</m:t>
        </m:r>
      </m:oMath>
      <w:r>
        <w:t xml:space="preserve"> is a function of the natural level of supply, the perceived relative price (the difference between the actual price level in market </w:t>
      </w:r>
      <m:oMath>
        <m:r>
          <w:rPr>
            <w:rFonts w:ascii="Cambria Math" w:hAnsi="Cambria Math"/>
          </w:rPr>
          <m:t>z</m:t>
        </m:r>
      </m:oMath>
      <w:r>
        <w:t xml:space="preserve"> and the mean price level), and the lagged cyclical component. Finally, aggregating across all markets (or integrating over all markets) yields the following aggregate supply curve:</w:t>
      </w:r>
    </w:p>
    <w:bookmarkStart w:id="8" w:name="eq-aggregate_supply_curve"/>
    <w:p w14:paraId="6B2E7B3F"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m:t>
              </m:r>
            </m:e>
          </m:d>
        </m:oMath>
      </m:oMathPara>
      <w:bookmarkEnd w:id="8"/>
    </w:p>
    <w:p w14:paraId="713B0E67" w14:textId="77777777" w:rsidR="0097353C" w:rsidRDefault="00000000">
      <w:r>
        <w:t xml:space="preserve">From </w:t>
      </w:r>
      <w:hyperlink w:anchor="eq-aggregate_supply_curve">
        <w:r w:rsidR="0097353C">
          <w:rPr>
            <w:rStyle w:val="Hyperlink"/>
          </w:rPr>
          <w:t>Equation 7</w:t>
        </w:r>
      </w:hyperlink>
      <w:r>
        <w:t>, we can clearly demonstrate how the relative price dispersion (</w:t>
      </w:r>
      <m:oMath>
        <m:r>
          <w:rPr>
            <w:rFonts w:ascii="Cambria Math" w:hAnsi="Cambria Math"/>
          </w:rPr>
          <m:t>θ</m:t>
        </m:r>
      </m:oMath>
      <w:r>
        <w:t>), which is a fraction of the total individual price dispersion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affects the aggregate supply curve, and therefore the output-inflation relationship. That is, </w:t>
      </w:r>
      <m:oMath>
        <m:r>
          <w:rPr>
            <w:rFonts w:ascii="Cambria Math" w:hAnsi="Cambria Math"/>
          </w:rPr>
          <m:t>θ</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and </w:t>
      </w:r>
      <m:oMath>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Meaning that when </w:t>
      </w:r>
      <m:oMath>
        <m:r>
          <w:rPr>
            <w:rFonts w:ascii="Cambria Math" w:hAnsi="Cambria Math"/>
          </w:rPr>
          <m:t>θ</m:t>
        </m:r>
        <m:r>
          <m:rPr>
            <m:sty m:val="p"/>
          </m:rPr>
          <w:rPr>
            <w:rFonts w:ascii="Cambria Math" w:hAnsi="Cambria Math"/>
          </w:rPr>
          <m:t>↑</m:t>
        </m:r>
      </m:oMath>
      <w:r>
        <w:t xml:space="preserve">, the aggregate supply curve becomes flatter, and the output-inflation relationship becomes stronger. And when </w:t>
      </w:r>
      <m:oMath>
        <m:r>
          <w:rPr>
            <w:rFonts w:ascii="Cambria Math" w:hAnsi="Cambria Math"/>
          </w:rPr>
          <m:t>θ</m:t>
        </m:r>
        <m:r>
          <m:rPr>
            <m:sty m:val="p"/>
          </m:rPr>
          <w:rPr>
            <w:rFonts w:ascii="Cambria Math" w:hAnsi="Cambria Math"/>
          </w:rPr>
          <m:t>↓</m:t>
        </m:r>
      </m:oMath>
      <w:r>
        <w:t xml:space="preserve">, the slope is restricted by </w:t>
      </w:r>
      <m:oMath>
        <m:r>
          <w:rPr>
            <w:rFonts w:ascii="Cambria Math" w:hAnsi="Cambria Math"/>
          </w:rPr>
          <m:t>γ</m:t>
        </m:r>
      </m:oMath>
      <w:r>
        <w:t>. Therefore, the relative price variance (</w:t>
      </w:r>
      <m:oMath>
        <m:r>
          <w:rPr>
            <w:rFonts w:ascii="Cambria Math" w:hAnsi="Cambria Math"/>
          </w:rPr>
          <m:t>θ</m:t>
        </m:r>
      </m:oMath>
      <w:r>
        <w:t>), in this context, is a key determinant of the slope of the aggregate supply curve and the strength of the output-inflation relationship.</w:t>
      </w:r>
    </w:p>
    <w:p w14:paraId="01A482A1" w14:textId="77777777" w:rsidR="0097353C" w:rsidRDefault="00000000">
      <w:pPr>
        <w:pStyle w:val="Heading1"/>
      </w:pPr>
      <w:bookmarkStart w:id="9" w:name="data-and-methodology"/>
      <w:bookmarkEnd w:id="1"/>
      <w:r>
        <w:t>Data and methodology</w:t>
      </w:r>
    </w:p>
    <w:p w14:paraId="1F33FBAF" w14:textId="77777777" w:rsidR="0097353C" w:rsidRDefault="00000000">
      <w:r>
        <w:t>Our analysis uses monthly inflation data on 45 goods categories from January 2009 to November 2025 obtained from Statistics South Africa (Stats SA).</w:t>
      </w:r>
      <w:r>
        <w:rPr>
          <w:rStyle w:val="FootnoteReference"/>
        </w:rPr>
        <w:footnoteReference w:id="4"/>
      </w:r>
      <w:r>
        <w:t xml:space="preserve"> </w:t>
      </w:r>
      <w:hyperlink w:anchor="fig-headline_inflation">
        <w:r w:rsidR="0097353C">
          <w:rPr>
            <w:rStyle w:val="Hyperlink"/>
          </w:rPr>
          <w:t>Figure 9</w:t>
        </w:r>
      </w:hyperlink>
      <w:r>
        <w:t xml:space="preserve"> below shows the long term inflation rate in South Africa, and </w:t>
      </w:r>
      <w:hyperlink w:anchor="fig-price_data">
        <w:r w:rsidR="0097353C">
          <w:rPr>
            <w:rStyle w:val="Hyperlink"/>
          </w:rPr>
          <w:t>Figure 10</w:t>
        </w:r>
      </w:hyperlink>
      <w:r>
        <w:t xml:space="preserve"> in the appendix shows the various price categories used in the analysis. </w:t>
      </w:r>
      <w:hyperlink w:anchor="tbl-descriptive_stats">
        <w:r w:rsidR="0097353C">
          <w:rPr>
            <w:rStyle w:val="Hyperlink"/>
          </w:rPr>
          <w:t>Table 2</w:t>
        </w:r>
      </w:hyperlink>
      <w:r>
        <w:t xml:space="preserve"> provides the descriptive statistics of the inflation rates for the various price categories used in the analysis.</w:t>
      </w:r>
    </w:p>
    <w:p w14:paraId="284B2DF6" w14:textId="77777777" w:rsidR="0097353C" w:rsidRDefault="00000000">
      <w:pPr>
        <w:pStyle w:val="BodyText"/>
      </w:pPr>
      <w:r>
        <w:t>The RPD is calculated in line with Lach and Tsiddon (</w:t>
      </w:r>
      <w:hyperlink w:anchor="ref-lach1992">
        <w:r w:rsidR="0097353C">
          <w:rPr>
            <w:rStyle w:val="Hyperlink"/>
          </w:rPr>
          <w:t>1992</w:t>
        </w:r>
      </w:hyperlink>
      <w:r>
        <w:t xml:space="preserve">) as the weighted standard deviation of individual price inflation rates from the aggregate inflation rate. The RPD is essentially the variability of relative prices of a given product. We first calculate the </w:t>
      </w:r>
      <w:r>
        <w:lastRenderedPageBreak/>
        <w:t>monthly inflation rate as follows:</w:t>
      </w:r>
    </w:p>
    <w:bookmarkStart w:id="10" w:name="eq-inflation_rate"/>
    <w:p w14:paraId="672EFCFC"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10"/>
    </w:p>
    <w:p w14:paraId="10AC441A" w14:textId="77777777" w:rsidR="0097353C" w:rsidRDefault="00000000">
      <w:r>
        <w:t xml:space="preserve">where </w:t>
      </w: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inflation rate of good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price of good </w:t>
      </w:r>
      <m:oMath>
        <m:r>
          <w:rPr>
            <w:rFonts w:ascii="Cambria Math" w:hAnsi="Cambria Math"/>
          </w:rPr>
          <m:t>i</m:t>
        </m:r>
      </m:oMath>
      <w:r>
        <w:t xml:space="preserve">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is the price of good </w:t>
      </w:r>
      <m:oMath>
        <m:r>
          <w:rPr>
            <w:rFonts w:ascii="Cambria Math" w:hAnsi="Cambria Math"/>
          </w:rPr>
          <m:t>i</m:t>
        </m:r>
      </m:oMath>
      <w:r>
        <w:t xml:space="preserve"> at time </w:t>
      </w:r>
      <m:oMath>
        <m:r>
          <w:rPr>
            <w:rFonts w:ascii="Cambria Math" w:hAnsi="Cambria Math"/>
          </w:rPr>
          <m:t>t</m:t>
        </m:r>
        <m:r>
          <m:rPr>
            <m:sty m:val="p"/>
          </m:rPr>
          <w:rPr>
            <w:rFonts w:ascii="Cambria Math" w:hAnsi="Cambria Math"/>
          </w:rPr>
          <m:t>-</m:t>
        </m:r>
        <m:r>
          <w:rPr>
            <w:rFonts w:ascii="Cambria Math" w:hAnsi="Cambria Math"/>
          </w:rPr>
          <m:t>1</m:t>
        </m:r>
      </m:oMath>
      <w:r>
        <w:t>. Then, the RPD is calculated as:</w:t>
      </w:r>
    </w:p>
    <w:p w14:paraId="3BBD4E92" w14:textId="77777777" w:rsidR="0097353C" w:rsidRDefault="00000000">
      <w:pPr>
        <w:pStyle w:val="BodyText"/>
      </w:pPr>
      <w:bookmarkStart w:id="11" w:name="eq-rp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e>
                <m:sup>
                  <m:r>
                    <w:rPr>
                      <w:rFonts w:ascii="Cambria Math" w:hAnsi="Cambria Math"/>
                    </w:rPr>
                    <m:t>2</m:t>
                  </m:r>
                </m:sup>
              </m:sSup>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1"/>
    </w:p>
    <w:p w14:paraId="687C088F" w14:textId="77777777" w:rsidR="0097353C" w:rsidRDefault="00000000">
      <w:r>
        <w:t xml:space="preserve">where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is the expenditure share of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good,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headline or aggregate inflation rate at time </w:t>
      </w:r>
      <m:oMath>
        <m:r>
          <w:rPr>
            <w:rFonts w:ascii="Cambria Math" w:hAnsi="Cambria Math"/>
          </w:rPr>
          <m:t>t</m:t>
        </m:r>
      </m:oMath>
      <w:r>
        <w:t xml:space="preserve">, and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1</m:t>
        </m:r>
      </m:oMath>
      <w:r>
        <w:t>. The expenditure weights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used are derived from the Consumer Price Index (CPI) basket provided by Stats SA. </w:t>
      </w:r>
      <w:hyperlink w:anchor="fig-rpd">
        <w:r w:rsidR="0097353C">
          <w:rPr>
            <w:rStyle w:val="Hyperlink"/>
          </w:rPr>
          <w:t>Figure 1</w:t>
        </w:r>
      </w:hyperlink>
      <w:r>
        <w:t xml:space="preserve"> shows the RPD calculated using the above formula. We use the 2025 CPI Stats SA weights. The weights are shown in </w:t>
      </w:r>
      <w:hyperlink w:anchor="fig-weights">
        <w:r w:rsidR="0097353C">
          <w:rPr>
            <w:rStyle w:val="Hyperlink"/>
          </w:rPr>
          <w:t>Figure 11</w:t>
        </w:r>
      </w:hyperlink>
      <w:r>
        <w:t xml:space="preserve"> in the appendix.</w:t>
      </w:r>
    </w:p>
    <w:p w14:paraId="796147C3" w14:textId="77777777" w:rsidR="0097353C" w:rsidRDefault="00000000">
      <w:pPr>
        <w:pStyle w:val="BodyText"/>
      </w:pPr>
      <w:r>
        <w:t>To examine the relationship between inflation and RPD, we estimate the following econometric model:</w:t>
      </w:r>
    </w:p>
    <w:p w14:paraId="240B00AC" w14:textId="77777777" w:rsidR="0097353C" w:rsidRDefault="00000000">
      <w:pPr>
        <w:pStyle w:val="BodyText"/>
      </w:pPr>
      <w:bookmarkStart w:id="12" w:name="eq-rpd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12"/>
    </w:p>
    <w:p w14:paraId="5525917D" w14:textId="77777777" w:rsidR="0097353C" w:rsidRDefault="00000000">
      <w:r>
        <w:t xml:space="preserve">where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relative price variance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aggregate inflation rate at time </w:t>
      </w:r>
      <m:oMath>
        <m:r>
          <w:rPr>
            <w:rFonts w:ascii="Cambria Math" w:hAnsi="Cambria Math"/>
          </w:rPr>
          <m:t>t</m:t>
        </m:r>
      </m:oMath>
      <w:r>
        <w:t xml:space="preserv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oMath>
      <w:r>
        <w:t xml:space="preserve"> are lagged values of RPD to account for its dynamic nature,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effect of inflation on RPD. We include three lags of RPD based on Akaike Information Criterion (AIC) (and other tests) and to capture potential persistence in RPD. In addition we test the inflation for structural breaks using the Bai and Perron (</w:t>
      </w:r>
      <w:hyperlink w:anchor="ref-bai1998a">
        <w:r w:rsidR="0097353C">
          <w:rPr>
            <w:rStyle w:val="Hyperlink"/>
          </w:rPr>
          <w:t>1998</w:t>
        </w:r>
      </w:hyperlink>
      <w:r>
        <w:t>) test and include dummy variables for the identified break points to control for structural breaks in the relationship.</w:t>
      </w:r>
    </w:p>
    <w:p w14:paraId="1D4B3B6F" w14:textId="77777777" w:rsidR="0097353C" w:rsidRDefault="00000000">
      <w:pPr>
        <w:pStyle w:val="BodyText"/>
      </w:pPr>
      <w:r>
        <w:t xml:space="preserve">The literature on RPD emphasises that the relationship between inflation and RPD maybe time-varying due to structural changes in the economy, monetary policy regimes, and other factors. To capture potential time variation in the relationship, we </w:t>
      </w:r>
      <w:r>
        <w:lastRenderedPageBreak/>
        <w:t>also estimate a rolling regression model with a 24-month and 60-month windows as follows:</w:t>
      </w:r>
    </w:p>
    <w:p w14:paraId="6A33CEB0" w14:textId="77777777" w:rsidR="0097353C" w:rsidRDefault="00000000">
      <w:pPr>
        <w:pStyle w:val="BodyText"/>
      </w:pPr>
      <w:bookmarkStart w:id="13" w:name="eq-rpd_rolling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13"/>
    </w:p>
    <w:p w14:paraId="608D2D12" w14:textId="77777777" w:rsidR="0097353C" w:rsidRDefault="00000000">
      <w:r>
        <w:t xml:space="preserve">where the coefficients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oMath>
      <w:r>
        <w:t xml:space="preserve"> vary over time. This approach allows us to observe the stability of the coefficients over time, which is an indicator of linearity in the relationship between RPD and inflation.</w:t>
      </w:r>
    </w:p>
    <w:p w14:paraId="23070467" w14:textId="77777777" w:rsidR="0097353C" w:rsidRDefault="00000000">
      <w:pPr>
        <w:pStyle w:val="BodyText"/>
      </w:pPr>
      <w:r>
        <w:t>Next, we utilise a semi-parametric or partially linear approach to estimate the optimal level of inflation given the RPD. This approach allows us to model the relationship between inflation and RPD without imposing a strict functional form. Following the literature, we first specify a quadratic (U-shaped) relationship between inflation and RPD as follows:</w:t>
      </w:r>
    </w:p>
    <w:p w14:paraId="5F40965E" w14:textId="77777777" w:rsidR="0097353C" w:rsidRDefault="00000000">
      <w:pPr>
        <w:pStyle w:val="BodyText"/>
      </w:pPr>
      <w:bookmarkStart w:id="14" w:name="eq-rpd_semi_parametric"/>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14"/>
    </w:p>
    <w:p w14:paraId="4BD581C5" w14:textId="77777777" w:rsidR="0097353C" w:rsidRDefault="00000000">
      <w:r>
        <w:t xml:space="preserve">where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the curvature of the relationship between inflation and RPD. The optimal inflation rate that minimizes RPD can be derived by taking the first derivative of the equation with respect to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and setting it to zero, yielding:</w:t>
      </w:r>
    </w:p>
    <w:bookmarkStart w:id="15" w:name="eq-optimal_inflation"/>
    <w:p w14:paraId="58E03270" w14:textId="77777777" w:rsidR="0097353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15"/>
    </w:p>
    <w:p w14:paraId="2BFBE4A8" w14:textId="77777777" w:rsidR="0097353C" w:rsidRDefault="00000000">
      <w:r>
        <w:t>To estimate this optimal inflation we implement a semi parametric approach as follows:</w:t>
      </w:r>
    </w:p>
    <w:p w14:paraId="797FBF12" w14:textId="77777777" w:rsidR="0097353C" w:rsidRDefault="00000000">
      <w:pPr>
        <w:pStyle w:val="BodyText"/>
      </w:pPr>
      <w:bookmarkStart w:id="16" w:name="eq-rpd_semi_parametric_f"/>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16"/>
    </w:p>
    <w:p w14:paraId="34D1FEAA" w14:textId="77777777" w:rsidR="0097353C" w:rsidRDefault="00000000">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a non-linear smooth differentiable function of inflation and the RPD. Therefore, the optimal inflation rate can be obtained by finding the minimum of the estimated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in two stages. First we estimate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as follows:</w:t>
      </w:r>
    </w:p>
    <w:p w14:paraId="77239399" w14:textId="77777777" w:rsidR="0097353C" w:rsidRDefault="00000000">
      <w:pPr>
        <w:pStyle w:val="BodyText"/>
      </w:pPr>
      <w:bookmarkStart w:id="17" w:name="eq-rpd_semi_parametric_stage1"/>
      <m:oMathPara>
        <m:oMathParaPr>
          <m:jc m:val="center"/>
        </m:oMathParaPr>
        <m:oMath>
          <m:r>
            <w:rPr>
              <w:rFonts w:ascii="Cambria Math" w:hAnsi="Cambria Math"/>
            </w:rPr>
            <w:lastRenderedPageBreak/>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h</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17"/>
    </w:p>
    <w:p w14:paraId="2AE25E9A" w14:textId="77777777" w:rsidR="0097353C" w:rsidRDefault="00000000">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oMath>
      <w:r>
        <w:t xml:space="preserve"> are the residuals from a non-parametric regression of each lag of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In the second stage, we estimate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non-parametrically as follows:</w:t>
      </w:r>
    </w:p>
    <w:bookmarkStart w:id="18" w:name="eq-rpd_semi_parametric_stage2"/>
    <w:p w14:paraId="495403C0" w14:textId="77777777" w:rsidR="0097353C"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bookmarkEnd w:id="18"/>
    </w:p>
    <w:p w14:paraId="3720B35E" w14:textId="77777777" w:rsidR="0097353C" w:rsidRDefault="00000000">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oMath>
      <w:r>
        <w:t xml:space="preserve"> are the residuals from </w:t>
      </w:r>
      <w:hyperlink w:anchor="eq-rpd_semi_parametric_stage1">
        <w:r w:rsidR="0097353C">
          <w:rPr>
            <w:rStyle w:val="Hyperlink"/>
          </w:rPr>
          <w:t>Equation 15</w:t>
        </w:r>
      </w:hyperlink>
      <w:r>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using a kernel regression method. The bandwidth (</w:t>
      </w:r>
      <m:oMath>
        <m:r>
          <w:rPr>
            <w:rFonts w:ascii="Cambria Math" w:hAnsi="Cambria Math"/>
          </w:rPr>
          <m:t>h</m:t>
        </m:r>
      </m:oMath>
      <w:r>
        <w:t>) for the kernel estimator is selected using cross-validation to minimize the mean squared error. As a treatment for extreme values of inflation, we further implement the unbounded Gaussian kernel and the outlier-robust Epanechnikov kernel. In essence, the semi-parametric approach captures the sensitivity of RPD to marginal increases in inflation. In that case, the optimal inflation rate can be obtained by finding the point where the first derivative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equal to zero. Therefore, if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&gt;</m:t>
        </m:r>
        <m:r>
          <w:rPr>
            <w:rFonts w:ascii="Cambria Math" w:hAnsi="Cambria Math"/>
          </w:rPr>
          <m:t>0</m:t>
        </m:r>
      </m:oMath>
      <w:r>
        <w:t xml:space="preser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&lt;</m:t>
        </m:r>
        <m:r>
          <w:rPr>
            <w:rFonts w:ascii="Cambria Math" w:hAnsi="Cambria Math"/>
          </w:rPr>
          <m:t>0</m:t>
        </m:r>
      </m:oMath>
      <w:r>
        <w:t xml:space="preserve">), then an increase in inflation (decrease) leads to an increase (decrease) in the RPD. For robustness we estimate the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with multiple bandwith (</w:t>
      </w:r>
      <m:oMath>
        <m:r>
          <w:rPr>
            <w:rFonts w:ascii="Cambria Math" w:hAnsi="Cambria Math"/>
          </w:rPr>
          <m:t>h</m:t>
        </m:r>
      </m:oMath>
      <w:r>
        <w:t>).</w:t>
      </w:r>
    </w:p>
    <w:p w14:paraId="7C8DF616" w14:textId="77777777" w:rsidR="0097353C" w:rsidRDefault="00000000">
      <w:pPr>
        <w:pStyle w:val="BodyText"/>
      </w:pPr>
      <w:r>
        <w:t>To further disentangle the effects of RPD on inflation, we decompose headline inflation into its expected and unexpected components. As discussed in the literature section, for example, theory suggests that inflation uncertainty has a more pronounced effect on RPD due to information frictions faced by firms when adjusting prices (</w:t>
      </w:r>
      <w:hyperlink w:anchor="ref-lucas1973">
        <w:r w:rsidR="0097353C">
          <w:rPr>
            <w:rStyle w:val="Hyperlink"/>
          </w:rPr>
          <w:t>Lucas 1973</w:t>
        </w:r>
      </w:hyperlink>
      <w:r>
        <w:t xml:space="preserve">; </w:t>
      </w:r>
      <w:hyperlink w:anchor="ref-hercowitz1981">
        <w:r w:rsidR="0097353C">
          <w:rPr>
            <w:rStyle w:val="Hyperlink"/>
          </w:rPr>
          <w:t>Hercowitz 1981</w:t>
        </w:r>
      </w:hyperlink>
      <w:r>
        <w:t xml:space="preserve">; </w:t>
      </w:r>
      <w:hyperlink w:anchor="ref-cukierman1983">
        <w:r w:rsidR="0097353C">
          <w:rPr>
            <w:rStyle w:val="Hyperlink"/>
          </w:rPr>
          <w:t>Cukierman 1983</w:t>
        </w:r>
      </w:hyperlink>
      <w:r>
        <w:t>).</w:t>
      </w:r>
    </w:p>
    <w:p w14:paraId="6D269B22" w14:textId="77777777" w:rsidR="0097353C" w:rsidRDefault="00000000">
      <w:r>
        <w:br w:type="page"/>
      </w:r>
    </w:p>
    <w:p w14:paraId="7D1A4BD4" w14:textId="77777777" w:rsidR="0097353C" w:rsidRDefault="00000000">
      <w:pPr>
        <w:pStyle w:val="BodyText"/>
      </w:pPr>
      <w:r>
        <w:lastRenderedPageBreak/>
        <w:t>We therefore estimate the following model:</w:t>
      </w:r>
    </w:p>
    <w:p w14:paraId="74DBF42E" w14:textId="77777777" w:rsidR="0097353C" w:rsidRDefault="00000000">
      <w:pPr>
        <w:pStyle w:val="BodyText"/>
      </w:pPr>
      <w:bookmarkStart w:id="19" w:name="eq-unexpecte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bookmarkEnd w:id="19"/>
    </w:p>
    <w:p w14:paraId="353385C4" w14:textId="77777777" w:rsidR="0097353C" w:rsidRDefault="00000000">
      <w:r>
        <w:t xml:space="preserve">where </w:t>
      </w:r>
      <m:oMath>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expected inflation rate,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unexpected inflation rate, and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is a non-linear function of unexpected inflation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We obtain the expected using one-period step ahead forecast of a fitted ARMA model of headline inflation and unexpected inflation as the difference between one-step ahead inflation forecast and actual inflation in the previous period. The estimation of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follows the same two-stage semi-parametric approach outlined in </w:t>
      </w:r>
      <w:hyperlink w:anchor="eq-rpd_semi_parametric_stage1">
        <w:r w:rsidR="0097353C">
          <w:rPr>
            <w:rStyle w:val="Hyperlink"/>
          </w:rPr>
          <w:t>Equation 15</w:t>
        </w:r>
      </w:hyperlink>
      <w:r>
        <w:t xml:space="preserve"> and </w:t>
      </w:r>
      <w:hyperlink w:anchor="eq-rpd_semi_parametric_stage2">
        <w:r w:rsidR="0097353C">
          <w:rPr>
            <w:rStyle w:val="Hyperlink"/>
          </w:rPr>
          <w:t>Equation 16</w:t>
        </w:r>
      </w:hyperlink>
      <w:r>
        <w:t xml:space="preserve">. The number of lags is the same as in </w:t>
      </w:r>
      <w:hyperlink w:anchor="eq-rpd_reg">
        <w:r w:rsidR="0097353C">
          <w:rPr>
            <w:rStyle w:val="Hyperlink"/>
          </w:rPr>
          <w:t>Equation 10</w:t>
        </w:r>
      </w:hyperlink>
      <w:r>
        <w:t>.</w:t>
      </w:r>
    </w:p>
    <w:p w14:paraId="149F9030" w14:textId="77777777" w:rsidR="0097353C" w:rsidRDefault="00000000">
      <w:pPr>
        <w:pStyle w:val="BodyText"/>
      </w:pPr>
      <w:r>
        <w:t>Lastly, and some-what novel to the RPD literature, we employ a quantile on quantile regression approach (</w:t>
      </w:r>
      <w:hyperlink w:anchor="ref-koenker2017">
        <w:r w:rsidR="0097353C">
          <w:rPr>
            <w:rStyle w:val="Hyperlink"/>
          </w:rPr>
          <w:t>Koenker 2017</w:t>
        </w:r>
      </w:hyperlink>
      <w:r>
        <w:t>). Quantile on quantile regressions are robust to outliers and allows us to estimate the regime aspects of the relationship between RPD and inflation. For brevity, we explain the quantile on quantile estimation procedure in the Appendix.</w:t>
      </w:r>
    </w:p>
    <w:p w14:paraId="486B4F10" w14:textId="77777777" w:rsidR="0097353C" w:rsidRDefault="00000000">
      <w:pPr>
        <w:pStyle w:val="Heading1"/>
      </w:pPr>
      <w:bookmarkStart w:id="20" w:name="main-results"/>
      <w:bookmarkEnd w:id="9"/>
      <w:r>
        <w:t>Main results</w:t>
      </w:r>
    </w:p>
    <w:p w14:paraId="57C4F98B" w14:textId="77777777" w:rsidR="0097353C" w:rsidRDefault="00000000">
      <w:r>
        <w:t xml:space="preserve">We commence our analysis, by calculating RPD over our sample period. </w:t>
      </w:r>
      <w:hyperlink w:anchor="fig-rpd">
        <w:r w:rsidR="0097353C">
          <w:rPr>
            <w:rStyle w:val="Hyperlink"/>
          </w:rPr>
          <w:t>Figure 1</w:t>
        </w:r>
      </w:hyperlink>
      <w:r>
        <w:t xml:space="preserve"> shows that RPD in South Africa, as expected, follows headline inflation (see </w:t>
      </w:r>
      <w:hyperlink w:anchor="fig-headline_inflation">
        <w:r w:rsidR="0097353C">
          <w:rPr>
            <w:rStyle w:val="Hyperlink"/>
          </w:rPr>
          <w:t>Figure 9</w:t>
        </w:r>
      </w:hyperlink>
      <w:r>
        <w:t>). In other words, in rises in periods of inflation shocks, otherwise settling on a steady long term level. For example, we see a significant rise in the RPD in the recent COVID-19 inflation shock.</w:t>
      </w:r>
    </w:p>
    <w:p w14:paraId="3AA63671" w14:textId="77777777" w:rsidR="0097353C" w:rsidRDefault="00000000">
      <w:pPr>
        <w:pStyle w:val="BodyText"/>
      </w:pPr>
      <w:r>
        <w:t xml:space="preserve">As a precursor to the formal estimation of the RPD inflation relationship, in </w:t>
      </w:r>
      <w:hyperlink w:anchor="fig-rpd_inflation">
        <w:r w:rsidR="0097353C">
          <w:rPr>
            <w:rStyle w:val="Hyperlink"/>
          </w:rPr>
          <w:t>Figure 2</w:t>
        </w:r>
      </w:hyperlink>
      <w:r>
        <w:t xml:space="preserve"> we plot the calculated RPD against headline inflation. Fitting a quadratic polynomial to the data suggests that pre and post 2017, the RPD-inflation relationship was non-linear. Furthermore, the optimal inflation, the lowest point in the quadratic polynomial, was lower post 2017 as compared to pre 2017. Therefore, </w:t>
      </w:r>
      <w:hyperlink w:anchor="fig-rpd_inflation">
        <w:r w:rsidR="0097353C">
          <w:rPr>
            <w:rStyle w:val="Hyperlink"/>
          </w:rPr>
          <w:t>Figure 2</w:t>
        </w:r>
      </w:hyperlink>
      <w:r>
        <w:t xml:space="preserve"> provides prima facie evidence, which supports our hypothesis.</w:t>
      </w:r>
    </w:p>
    <w:tbl>
      <w:tblPr>
        <w:tblW w:w="5000" w:type="pct"/>
        <w:tblLayout w:type="fixed"/>
        <w:tblLook w:val="0000" w:firstRow="0" w:lastRow="0" w:firstColumn="0" w:lastColumn="0" w:noHBand="0" w:noVBand="0"/>
      </w:tblPr>
      <w:tblGrid>
        <w:gridCol w:w="9071"/>
      </w:tblGrid>
      <w:tr w:rsidR="0097353C" w14:paraId="37ECFFFC" w14:textId="77777777">
        <w:tc>
          <w:tcPr>
            <w:tcW w:w="7920" w:type="dxa"/>
          </w:tcPr>
          <w:p w14:paraId="15836AF0" w14:textId="77777777" w:rsidR="0097353C" w:rsidRDefault="00000000">
            <w:pPr>
              <w:jc w:val="center"/>
            </w:pPr>
            <w:bookmarkStart w:id="21" w:name="fig-rpd"/>
            <w:r>
              <w:rPr>
                <w:noProof/>
              </w:rPr>
              <w:lastRenderedPageBreak/>
              <w:drawing>
                <wp:inline distT="0" distB="0" distL="0" distR="0" wp14:anchorId="0ADF7544" wp14:editId="39A271EB">
                  <wp:extent cx="5753100" cy="215741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nflation_relative_price_variance_files/figure-docx/fig-rpd-1.png"/>
                          <pic:cNvPicPr>
                            <a:picLocks noChangeAspect="1" noChangeArrowheads="1"/>
                          </pic:cNvPicPr>
                        </pic:nvPicPr>
                        <pic:blipFill>
                          <a:blip r:embed="rId7"/>
                          <a:stretch>
                            <a:fillRect/>
                          </a:stretch>
                        </pic:blipFill>
                        <pic:spPr bwMode="auto">
                          <a:xfrm>
                            <a:off x="0" y="0"/>
                            <a:ext cx="5753100" cy="2157412"/>
                          </a:xfrm>
                          <a:prstGeom prst="rect">
                            <a:avLst/>
                          </a:prstGeom>
                          <a:noFill/>
                          <a:ln w="9525">
                            <a:noFill/>
                            <a:headEnd/>
                            <a:tailEnd/>
                          </a:ln>
                        </pic:spPr>
                      </pic:pic>
                    </a:graphicData>
                  </a:graphic>
                </wp:inline>
              </w:drawing>
            </w:r>
          </w:p>
          <w:p w14:paraId="6DAA4384" w14:textId="77777777" w:rsidR="0097353C" w:rsidRDefault="00000000">
            <w:pPr>
              <w:spacing w:before="200"/>
              <w:jc w:val="left"/>
            </w:pPr>
            <w:r>
              <w:t>Figure 1: RPD over-time</w:t>
            </w:r>
          </w:p>
        </w:tc>
        <w:bookmarkEnd w:id="21"/>
      </w:tr>
      <w:tr w:rsidR="0097353C" w14:paraId="4E622CEC" w14:textId="77777777">
        <w:tc>
          <w:tcPr>
            <w:tcW w:w="7920" w:type="dxa"/>
          </w:tcPr>
          <w:p w14:paraId="1A254915" w14:textId="77777777" w:rsidR="0097353C" w:rsidRDefault="00000000">
            <w:pPr>
              <w:jc w:val="center"/>
            </w:pPr>
            <w:bookmarkStart w:id="22" w:name="fig-rpd_inflation"/>
            <w:r>
              <w:rPr>
                <w:noProof/>
              </w:rPr>
              <w:drawing>
                <wp:inline distT="0" distB="0" distL="0" distR="0" wp14:anchorId="27F91166" wp14:editId="191D4568">
                  <wp:extent cx="5753100" cy="287655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nflation_relative_price_variance_files/figure-docx/fig-rpd_inflation-1.png"/>
                          <pic:cNvPicPr>
                            <a:picLocks noChangeAspect="1" noChangeArrowheads="1"/>
                          </pic:cNvPicPr>
                        </pic:nvPicPr>
                        <pic:blipFill>
                          <a:blip r:embed="rId8"/>
                          <a:stretch>
                            <a:fillRect/>
                          </a:stretch>
                        </pic:blipFill>
                        <pic:spPr bwMode="auto">
                          <a:xfrm>
                            <a:off x="0" y="0"/>
                            <a:ext cx="5753100" cy="2876550"/>
                          </a:xfrm>
                          <a:prstGeom prst="rect">
                            <a:avLst/>
                          </a:prstGeom>
                          <a:noFill/>
                          <a:ln w="9525">
                            <a:noFill/>
                            <a:headEnd/>
                            <a:tailEnd/>
                          </a:ln>
                        </pic:spPr>
                      </pic:pic>
                    </a:graphicData>
                  </a:graphic>
                </wp:inline>
              </w:drawing>
            </w:r>
          </w:p>
          <w:p w14:paraId="237158A3" w14:textId="77777777" w:rsidR="0097353C" w:rsidRDefault="00000000">
            <w:pPr>
              <w:spacing w:before="200"/>
              <w:jc w:val="left"/>
            </w:pPr>
            <w:r>
              <w:t>Figure 2: RPD vs Headline Inflation. Note: A quadratic polynomial was fitted on two the data before and after July 2017. This is the period of the first inflation target reform to a mid-point of 4.5 per cent.</w:t>
            </w:r>
          </w:p>
        </w:tc>
        <w:bookmarkEnd w:id="22"/>
      </w:tr>
    </w:tbl>
    <w:p w14:paraId="27622D0E" w14:textId="77777777" w:rsidR="0097353C" w:rsidRDefault="00000000">
      <w:r>
        <w:br w:type="page"/>
      </w:r>
    </w:p>
    <w:p w14:paraId="7C674B52" w14:textId="77777777" w:rsidR="0097353C" w:rsidRDefault="00000000">
      <w:pPr>
        <w:pStyle w:val="BodyText"/>
      </w:pPr>
      <w:r>
        <w:lastRenderedPageBreak/>
        <w:t xml:space="preserve">The formal estimation in </w:t>
      </w:r>
      <w:hyperlink w:anchor="tbl-base_regression">
        <w:r w:rsidR="0097353C">
          <w:rPr>
            <w:rStyle w:val="Hyperlink"/>
          </w:rPr>
          <w:t>Table 1</w:t>
        </w:r>
      </w:hyperlink>
      <w:r>
        <w:t>, using ordinary least squares of both the linear and quadratic specifications, reveals that indeed the evidence for non-linearity is stronger. In particular all the estimates of the quadratic term (</w:t>
      </w:r>
      <m:oMath>
        <m:sSup>
          <m:sSupPr>
            <m:ctrlPr>
              <w:rPr>
                <w:rFonts w:ascii="Cambria Math" w:hAnsi="Cambria Math"/>
              </w:rPr>
            </m:ctrlPr>
          </m:sSupPr>
          <m:e>
            <m:r>
              <w:rPr>
                <w:rFonts w:ascii="Cambria Math" w:hAnsi="Cambria Math"/>
              </w:rPr>
              <m:t>π</m:t>
            </m:r>
          </m:e>
          <m:sup>
            <m:r>
              <w:rPr>
                <w:rFonts w:ascii="Cambria Math" w:hAnsi="Cambria Math"/>
              </w:rPr>
              <m:t>2</m:t>
            </m:r>
          </m:sup>
        </m:sSup>
      </m:oMath>
      <w:r>
        <w:t>) are all significant. As noted in the methodology section, this significant is in the presence of estimated break-points in the inflation data. Therefore, the next question is wether the estimates of the RPD are stable overtime, or are subject to significant shocks?</w:t>
      </w:r>
    </w:p>
    <w:tbl>
      <w:tblPr>
        <w:tblW w:w="5000" w:type="pct"/>
        <w:tblLayout w:type="fixed"/>
        <w:tblLook w:val="0000" w:firstRow="0" w:lastRow="0" w:firstColumn="0" w:lastColumn="0" w:noHBand="0" w:noVBand="0"/>
      </w:tblPr>
      <w:tblGrid>
        <w:gridCol w:w="9071"/>
      </w:tblGrid>
      <w:tr w:rsidR="0097353C" w14:paraId="30B89A17" w14:textId="77777777">
        <w:tc>
          <w:tcPr>
            <w:tcW w:w="7920" w:type="dxa"/>
          </w:tcPr>
          <w:p w14:paraId="21C195CE" w14:textId="77777777" w:rsidR="0097353C" w:rsidRDefault="00000000">
            <w:pPr>
              <w:spacing w:before="200"/>
              <w:jc w:val="left"/>
            </w:pPr>
            <w:bookmarkStart w:id="23" w:name="tbl-base_regression"/>
            <w:r>
              <w:t>Table 1: Baseline regressions</w:t>
            </w:r>
          </w:p>
          <w:tbl>
            <w:tblPr>
              <w:tblW w:w="9233" w:type="dxa"/>
              <w:tblLook w:val="0420" w:firstRow="1" w:lastRow="0" w:firstColumn="0" w:lastColumn="0" w:noHBand="0" w:noVBand="1"/>
            </w:tblPr>
            <w:tblGrid>
              <w:gridCol w:w="1153"/>
              <w:gridCol w:w="2126"/>
              <w:gridCol w:w="851"/>
              <w:gridCol w:w="992"/>
              <w:gridCol w:w="1559"/>
              <w:gridCol w:w="1276"/>
              <w:gridCol w:w="1276"/>
            </w:tblGrid>
            <w:tr w:rsidR="0097353C" w14:paraId="1CB3BB9A" w14:textId="77777777" w:rsidTr="00F82FAD">
              <w:trPr>
                <w:tblHeader/>
              </w:trPr>
              <w:tc>
                <w:tcPr>
                  <w:tcW w:w="1153"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A9CD3D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 xml:space="preserve"> </w:t>
                  </w:r>
                </w:p>
              </w:tc>
              <w:tc>
                <w:tcPr>
                  <w:tcW w:w="2126"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D775D9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Full Sample</w:t>
                  </w:r>
                </w:p>
              </w:tc>
              <w:tc>
                <w:tcPr>
                  <w:tcW w:w="851"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74EEB3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Pre 2017</w:t>
                  </w:r>
                </w:p>
              </w:tc>
              <w:tc>
                <w:tcPr>
                  <w:tcW w:w="992"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9A3342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Post 2017</w:t>
                  </w:r>
                </w:p>
              </w:tc>
              <w:tc>
                <w:tcPr>
                  <w:tcW w:w="1559"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515012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Full Sample: Squared Inflation</w:t>
                  </w:r>
                </w:p>
              </w:tc>
              <w:tc>
                <w:tcPr>
                  <w:tcW w:w="1276"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1DA237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Pre 2017: Squared Inflation</w:t>
                  </w:r>
                </w:p>
              </w:tc>
              <w:tc>
                <w:tcPr>
                  <w:tcW w:w="1276"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88F4E1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Post 2017: Squared Inflation</w:t>
                  </w:r>
                </w:p>
              </w:tc>
            </w:tr>
            <w:tr w:rsidR="0097353C" w14:paraId="4410A2BA" w14:textId="77777777" w:rsidTr="00F82FAD">
              <w:tc>
                <w:tcPr>
                  <w:tcW w:w="1153"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30B50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
                        <m:sSubPr>
                          <m:ctrlPr>
                            <w:rPr>
                              <w:rFonts w:ascii="Cambria Math" w:hAnsi="Cambria Math"/>
                            </w:rPr>
                          </m:ctrlPr>
                        </m:sSubPr>
                        <m:e>
                          <m:r>
                            <w:rPr>
                              <w:rFonts w:ascii="Cambria Math" w:hAnsi="Cambria Math"/>
                            </w:rPr>
                            <m:t>π</m:t>
                          </m:r>
                        </m:e>
                        <m:sub>
                          <m:r>
                            <w:rPr>
                              <w:rFonts w:ascii="Cambria Math" w:hAnsi="Cambria Math"/>
                            </w:rPr>
                            <m:t>t</m:t>
                          </m:r>
                        </m:sub>
                      </m:sSub>
                    </m:oMath>
                  </m:oMathPara>
                </w:p>
              </w:tc>
              <w:tc>
                <w:tcPr>
                  <w:tcW w:w="2126"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9C815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851"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1BA7B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0.009 </w:t>
                  </w:r>
                </w:p>
              </w:tc>
              <w:tc>
                <w:tcPr>
                  <w:tcW w:w="992"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FF37D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0.032***</w:t>
                  </w:r>
                </w:p>
              </w:tc>
              <w:tc>
                <w:tcPr>
                  <w:tcW w:w="1559"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0EB4D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-0.046 </w:t>
                  </w:r>
                </w:p>
              </w:tc>
              <w:tc>
                <w:tcPr>
                  <w:tcW w:w="1276"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3D2FC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-0.104 </w:t>
                  </w:r>
                </w:p>
              </w:tc>
              <w:tc>
                <w:tcPr>
                  <w:tcW w:w="1276"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5E55D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-0.033 </w:t>
                  </w:r>
                </w:p>
              </w:tc>
            </w:tr>
            <w:tr w:rsidR="0097353C" w14:paraId="3BCEF087"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3F903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8B5A61"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170604"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4EABEE"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26B9A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0.006*</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AC2C1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0.011*</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24E0B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0.007*</w:t>
                  </w:r>
                </w:p>
              </w:tc>
            </w:tr>
            <w:tr w:rsidR="0097353C" w14:paraId="24B8C6CA"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EE4F8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t-3</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6D916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0.244***</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7038C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0.173*</w:t>
                  </w: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3FA0C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0.248**</w:t>
                  </w: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08EF9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0.234***</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DCCF0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0.154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FED83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0.209**</w:t>
                  </w:r>
                </w:p>
              </w:tc>
            </w:tr>
            <w:tr w:rsidR="0097353C" w14:paraId="307D03EC"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AEF7F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t-2</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6ABA1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-0.382***</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28AA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-0.14 </w:t>
                  </w: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3F0C2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-0.645***</w:t>
                  </w: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C11C7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-0.363***</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6CD55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-0.111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4176F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-0.609***</w:t>
                  </w:r>
                </w:p>
              </w:tc>
            </w:tr>
            <w:tr w:rsidR="0097353C" w14:paraId="25B6C8D8"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0C3EB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t-1</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CDCA7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1.039***</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DE147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0.896***</w:t>
                  </w: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4317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1.116***</w:t>
                  </w: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AB3F7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1.017***</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AF3EE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0.864***</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50E03D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1.063***</w:t>
                  </w:r>
                </w:p>
              </w:tc>
            </w:tr>
            <w:tr w:rsidR="0097353C" w14:paraId="4AFFB3AA"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43C99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
                        <m:sSubPr>
                          <m:ctrlPr>
                            <w:rPr>
                              <w:rFonts w:ascii="Cambria Math" w:hAnsi="Cambria Math"/>
                            </w:rPr>
                          </m:ctrlPr>
                        </m:sSubPr>
                        <m:e>
                          <m:r>
                            <w:rPr>
                              <w:rFonts w:ascii="Cambria Math" w:hAnsi="Cambria Math"/>
                            </w:rPr>
                            <m:t>D</m:t>
                          </m:r>
                        </m:e>
                        <m:sub>
                          <m:r>
                            <w:rPr>
                              <w:rFonts w:ascii="Cambria Math" w:hAnsi="Cambria Math"/>
                            </w:rPr>
                            <m:t>2022m8</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9A0F8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0.026 </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53A91A"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8B47A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0.024 </w:t>
                  </w: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48993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-0.001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2B0B74"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342A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r>
            <w:tr w:rsidR="0097353C" w14:paraId="0B33A1BB"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9C5BC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
                        <m:sSubPr>
                          <m:ctrlPr>
                            <w:rPr>
                              <w:rFonts w:ascii="Cambria Math" w:hAnsi="Cambria Math"/>
                            </w:rPr>
                          </m:ctrlPr>
                        </m:sSubPr>
                        <m:e>
                          <m:r>
                            <w:rPr>
                              <w:rFonts w:ascii="Cambria Math" w:hAnsi="Cambria Math"/>
                            </w:rPr>
                            <m:t>D</m:t>
                          </m:r>
                        </m:e>
                        <m:sub>
                          <m:r>
                            <w:rPr>
                              <w:rFonts w:ascii="Cambria Math" w:hAnsi="Cambria Math"/>
                            </w:rPr>
                            <m:t>2020m2</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7A6F2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-0.116 </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084240"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E28BD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-0.213**</w:t>
                  </w: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1B4A8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-0.106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065F26"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17D33A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-0.205**</w:t>
                  </w:r>
                </w:p>
              </w:tc>
            </w:tr>
            <w:tr w:rsidR="0097353C" w14:paraId="73226FFC"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D0336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
                        <m:sSubPr>
                          <m:ctrlPr>
                            <w:rPr>
                              <w:rFonts w:ascii="Cambria Math" w:hAnsi="Cambria Math"/>
                            </w:rPr>
                          </m:ctrlPr>
                        </m:sSubPr>
                        <m:e>
                          <m:r>
                            <w:rPr>
                              <w:rFonts w:ascii="Cambria Math" w:hAnsi="Cambria Math"/>
                            </w:rPr>
                            <m:t>D</m:t>
                          </m:r>
                        </m:e>
                        <m:sub>
                          <m:r>
                            <w:rPr>
                              <w:rFonts w:ascii="Cambria Math" w:hAnsi="Cambria Math"/>
                            </w:rPr>
                            <m:t>2017m7</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5130F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0.156*</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D13EB1"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5ECB8A"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B352A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0.161*</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76FC07"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F8232"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7353C" w14:paraId="2E95C6B6"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EFCC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
                        <m:sSubPr>
                          <m:ctrlPr>
                            <w:rPr>
                              <w:rFonts w:ascii="Cambria Math" w:hAnsi="Cambria Math"/>
                            </w:rPr>
                          </m:ctrlPr>
                        </m:sSubPr>
                        <m:e>
                          <m:r>
                            <w:rPr>
                              <w:rFonts w:ascii="Cambria Math" w:hAnsi="Cambria Math"/>
                            </w:rPr>
                            <m:t>D</m:t>
                          </m:r>
                        </m:e>
                        <m:sub>
                          <m:r>
                            <w:rPr>
                              <w:rFonts w:ascii="Cambria Math" w:hAnsi="Cambria Math"/>
                            </w:rPr>
                            <m:t>2014m7</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A3224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-0.098 </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67A19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-0.087 </w:t>
                  </w: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ADF6FE"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E9346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-0.105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8C543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-0.096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87CB7A"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7353C" w14:paraId="705287FE" w14:textId="77777777" w:rsidTr="00F82FAD">
              <w:tc>
                <w:tcPr>
                  <w:tcW w:w="1153"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F5013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sSub>
                        <m:sSubPr>
                          <m:ctrlPr>
                            <w:rPr>
                              <w:rFonts w:ascii="Cambria Math" w:hAnsi="Cambria Math"/>
                            </w:rPr>
                          </m:ctrlPr>
                        </m:sSubPr>
                        <m:e>
                          <m:r>
                            <w:rPr>
                              <w:rFonts w:ascii="Cambria Math" w:hAnsi="Cambria Math"/>
                            </w:rPr>
                            <m:t>D</m:t>
                          </m:r>
                        </m:e>
                        <m:sub>
                          <m:r>
                            <w:rPr>
                              <w:rFonts w:ascii="Cambria Math" w:hAnsi="Cambria Math"/>
                            </w:rPr>
                            <m:t>2011m12</m:t>
                          </m:r>
                        </m:sub>
                      </m:sSub>
                    </m:oMath>
                  </m:oMathPara>
                </w:p>
              </w:tc>
              <w:tc>
                <w:tcPr>
                  <w:tcW w:w="21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3CAEA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0.042 </w:t>
                  </w:r>
                </w:p>
              </w:tc>
              <w:tc>
                <w:tcPr>
                  <w:tcW w:w="85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058A1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0.027 </w:t>
                  </w:r>
                </w:p>
              </w:tc>
              <w:tc>
                <w:tcPr>
                  <w:tcW w:w="992"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90A35A"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155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D7703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0.047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F9A50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0.037 </w:t>
                  </w:r>
                </w:p>
              </w:tc>
              <w:tc>
                <w:tcPr>
                  <w:tcW w:w="127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3C1730" w14:textId="77777777" w:rsidR="0097353C" w:rsidRDefault="0097353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7353C" w14:paraId="1323F01A" w14:textId="77777777" w:rsidTr="00F82FAD">
              <w:tc>
                <w:tcPr>
                  <w:tcW w:w="1153"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938094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m:oMathPara>
                    <m:oMath>
                      <m:r>
                        <w:rPr>
                          <w:rFonts w:ascii="Cambria Math" w:hAnsi="Cambria Math"/>
                        </w:rPr>
                        <m:t>C</m:t>
                      </m:r>
                    </m:oMath>
                  </m:oMathPara>
                </w:p>
              </w:tc>
              <w:tc>
                <w:tcPr>
                  <w:tcW w:w="2126"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5C8686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0.044 </w:t>
                  </w:r>
                </w:p>
              </w:tc>
              <w:tc>
                <w:tcPr>
                  <w:tcW w:w="851"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45AAE3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c>
                <w:tcPr>
                  <w:tcW w:w="992"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5DAF3B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0.117***</w:t>
                  </w:r>
                </w:p>
              </w:tc>
              <w:tc>
                <w:tcPr>
                  <w:tcW w:w="1559"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BC464A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0.184**</w:t>
                  </w:r>
                </w:p>
              </w:tc>
              <w:tc>
                <w:tcPr>
                  <w:tcW w:w="1276"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8557AB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0.326*</w:t>
                  </w:r>
                </w:p>
              </w:tc>
              <w:tc>
                <w:tcPr>
                  <w:tcW w:w="1276"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25071A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0.304**</w:t>
                  </w:r>
                </w:p>
              </w:tc>
            </w:tr>
            <w:tr w:rsidR="0097353C" w14:paraId="08F1F799" w14:textId="77777777" w:rsidTr="00F82FAD">
              <w:tc>
                <w:tcPr>
                  <w:tcW w:w="923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C6F0D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Note: *** = p value &lt; 0.01, ** = 0.01 &lt; p value &lt; 0.05, * = 0.05 &lt; p value &lt; 0.1.</w:t>
                  </w:r>
                </w:p>
                <w:p w14:paraId="64BEDB5A" w14:textId="77777777" w:rsidR="00F82FAD" w:rsidRDefault="00F82FAD">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p>
              </w:tc>
            </w:tr>
            <w:bookmarkEnd w:id="23"/>
          </w:tbl>
          <w:p w14:paraId="45B44B46" w14:textId="77777777" w:rsidR="006B01B9" w:rsidRDefault="006B01B9">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34FC4025" w14:textId="0AE42C74" w:rsidR="0097353C" w:rsidRDefault="00000000">
      <w:pPr>
        <w:pStyle w:val="BodyText"/>
      </w:pPr>
      <w:r>
        <w:t xml:space="preserve">In </w:t>
      </w:r>
      <w:hyperlink w:anchor="fig-rolling_coefficients">
        <w:r w:rsidR="0097353C">
          <w:rPr>
            <w:rStyle w:val="Hyperlink"/>
          </w:rPr>
          <w:t>Figure 3</w:t>
        </w:r>
      </w:hyperlink>
      <w:r>
        <w:t xml:space="preserve"> and </w:t>
      </w:r>
      <w:hyperlink w:anchor="fig-recursive">
        <w:r w:rsidR="0097353C">
          <w:rPr>
            <w:rStyle w:val="Hyperlink"/>
          </w:rPr>
          <w:t>Figure 4</w:t>
        </w:r>
      </w:hyperlink>
      <w:r>
        <w:t xml:space="preserve"> we estimate the rolling and recursive estimates. 24 and 60 month window</w:t>
      </w:r>
      <w:r w:rsidR="00F82FAD">
        <w:t>s</w:t>
      </w:r>
      <w:r>
        <w:t xml:space="preserve"> are implemented for the rolling window estimation. The results of both methods suggest a dynamic relationship with periods of strong significance. In the main, we observe a positive response of RPD to a 1 percentage point change in headline inflation. This dynamic relationship futher builds the case for a U-shaped relationship.</w:t>
      </w:r>
    </w:p>
    <w:tbl>
      <w:tblPr>
        <w:tblW w:w="5000" w:type="pct"/>
        <w:tblLayout w:type="fixed"/>
        <w:tblLook w:val="0000" w:firstRow="0" w:lastRow="0" w:firstColumn="0" w:lastColumn="0" w:noHBand="0" w:noVBand="0"/>
      </w:tblPr>
      <w:tblGrid>
        <w:gridCol w:w="9071"/>
      </w:tblGrid>
      <w:tr w:rsidR="0097353C" w14:paraId="60A7A7D9" w14:textId="77777777">
        <w:tc>
          <w:tcPr>
            <w:tcW w:w="7920" w:type="dxa"/>
          </w:tcPr>
          <w:p w14:paraId="4C359279" w14:textId="77777777" w:rsidR="0097353C" w:rsidRDefault="00000000">
            <w:pPr>
              <w:jc w:val="center"/>
            </w:pPr>
            <w:bookmarkStart w:id="24" w:name="fig-rolling_coefficients"/>
            <w:r>
              <w:rPr>
                <w:noProof/>
              </w:rPr>
              <w:lastRenderedPageBreak/>
              <w:drawing>
                <wp:inline distT="0" distB="0" distL="0" distR="0" wp14:anchorId="12FC67F9" wp14:editId="782D6FFB">
                  <wp:extent cx="5753100" cy="3595687"/>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nflation_relative_price_variance_files/figure-docx/fig-rolling_coefficients-1.png"/>
                          <pic:cNvPicPr>
                            <a:picLocks noChangeAspect="1" noChangeArrowheads="1"/>
                          </pic:cNvPicPr>
                        </pic:nvPicPr>
                        <pic:blipFill>
                          <a:blip r:embed="rId9"/>
                          <a:stretch>
                            <a:fillRect/>
                          </a:stretch>
                        </pic:blipFill>
                        <pic:spPr bwMode="auto">
                          <a:xfrm>
                            <a:off x="0" y="0"/>
                            <a:ext cx="5753100" cy="3595687"/>
                          </a:xfrm>
                          <a:prstGeom prst="rect">
                            <a:avLst/>
                          </a:prstGeom>
                          <a:noFill/>
                          <a:ln w="9525">
                            <a:noFill/>
                            <a:headEnd/>
                            <a:tailEnd/>
                          </a:ln>
                        </pic:spPr>
                      </pic:pic>
                    </a:graphicData>
                  </a:graphic>
                </wp:inline>
              </w:drawing>
            </w:r>
          </w:p>
          <w:p w14:paraId="3E410D4A" w14:textId="77777777" w:rsidR="0097353C" w:rsidRDefault="00000000">
            <w:pPr>
              <w:spacing w:before="200"/>
              <w:jc w:val="left"/>
            </w:pPr>
            <w:r>
              <w:t>Figure 3: Rolling regressions. Note: t-statistics of greater (or less) than 1.96 ( or -1.96) is sigficant at a 5% level of significance.</w:t>
            </w:r>
          </w:p>
        </w:tc>
        <w:bookmarkEnd w:id="24"/>
      </w:tr>
      <w:tr w:rsidR="0097353C" w14:paraId="73133F24" w14:textId="77777777">
        <w:tc>
          <w:tcPr>
            <w:tcW w:w="7920" w:type="dxa"/>
          </w:tcPr>
          <w:p w14:paraId="1ADF131D" w14:textId="77777777" w:rsidR="0097353C" w:rsidRDefault="00000000">
            <w:pPr>
              <w:jc w:val="center"/>
            </w:pPr>
            <w:bookmarkStart w:id="25" w:name="fig-recursive"/>
            <w:r>
              <w:rPr>
                <w:noProof/>
              </w:rPr>
              <w:drawing>
                <wp:inline distT="0" distB="0" distL="0" distR="0" wp14:anchorId="022DD6B1" wp14:editId="3391E3FF">
                  <wp:extent cx="5753100" cy="179784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nflation_relative_price_variance_files/figure-docx/fig-recursive-1.png"/>
                          <pic:cNvPicPr>
                            <a:picLocks noChangeAspect="1" noChangeArrowheads="1"/>
                          </pic:cNvPicPr>
                        </pic:nvPicPr>
                        <pic:blipFill>
                          <a:blip r:embed="rId10"/>
                          <a:stretch>
                            <a:fillRect/>
                          </a:stretch>
                        </pic:blipFill>
                        <pic:spPr bwMode="auto">
                          <a:xfrm>
                            <a:off x="0" y="0"/>
                            <a:ext cx="5753100" cy="1797843"/>
                          </a:xfrm>
                          <a:prstGeom prst="rect">
                            <a:avLst/>
                          </a:prstGeom>
                          <a:noFill/>
                          <a:ln w="9525">
                            <a:noFill/>
                            <a:headEnd/>
                            <a:tailEnd/>
                          </a:ln>
                        </pic:spPr>
                      </pic:pic>
                    </a:graphicData>
                  </a:graphic>
                </wp:inline>
              </w:drawing>
            </w:r>
          </w:p>
          <w:p w14:paraId="7AED0CDC" w14:textId="77777777" w:rsidR="0097353C" w:rsidRDefault="00000000">
            <w:pPr>
              <w:spacing w:before="200"/>
              <w:jc w:val="left"/>
            </w:pPr>
            <w:r>
              <w:t>Figure 4: Recursive regressions. Note: Recursive regression estimates of the coefficient on absolute headline inflation with a fixed start date of 2012-07.</w:t>
            </w:r>
          </w:p>
        </w:tc>
        <w:bookmarkEnd w:id="25"/>
      </w:tr>
    </w:tbl>
    <w:p w14:paraId="446A4595" w14:textId="77777777" w:rsidR="0097353C" w:rsidRDefault="00000000">
      <w:r>
        <w:br w:type="page"/>
      </w:r>
    </w:p>
    <w:p w14:paraId="3BFC488F" w14:textId="77777777" w:rsidR="0097353C" w:rsidRDefault="0097353C">
      <w:pPr>
        <w:pStyle w:val="BodyText"/>
      </w:pPr>
      <w:hyperlink w:anchor="fig-semi_parametric">
        <w:r>
          <w:rPr>
            <w:rStyle w:val="Hyperlink"/>
          </w:rPr>
          <w:t>Figure 5</w:t>
        </w:r>
      </w:hyperlink>
      <w:r w:rsidR="00000000">
        <w:t xml:space="preserve"> shows the estimated nonparametric conditional mean effect of inflation on RPD for the full sample, pre-2017 and post-2017 samples. The optimal bandwidth was selected automatically using cross-validation method. To test the sensitivity of the nonparametric estimates to the smoothing parameter, we also consider smaller and larger bandwidths in both </w:t>
      </w:r>
      <w:hyperlink w:anchor="fig-semi_parametric">
        <w:r>
          <w:rPr>
            <w:rStyle w:val="Hyperlink"/>
          </w:rPr>
          <w:t>Figure 5</w:t>
        </w:r>
      </w:hyperlink>
      <w:r w:rsidR="00000000">
        <w:t xml:space="preserve"> and </w:t>
      </w:r>
      <w:hyperlink w:anchor="fig-unexpected_inflation">
        <w:r>
          <w:rPr>
            <w:rStyle w:val="Hyperlink"/>
          </w:rPr>
          <w:t>Figure 6</w:t>
        </w:r>
      </w:hyperlink>
      <w:r w:rsidR="00000000">
        <w:t xml:space="preserve">, in both cases the results are qualitatively similar indicating that the nonparametric estimates are robust smoothing parameter. In </w:t>
      </w:r>
      <w:hyperlink w:anchor="fig-semi_parametric">
        <w:r>
          <w:rPr>
            <w:rStyle w:val="Hyperlink"/>
          </w:rPr>
          <w:t>Figure 5</w:t>
        </w:r>
      </w:hyperlink>
      <w:r w:rsidR="00000000">
        <w:t xml:space="preserve"> across all samples, the relationship is approximately linear and upward sloping indicating that the marginal effect is positive across the inflation range, broadly in line with the menu cost theoretical predictions.</w:t>
      </w:r>
    </w:p>
    <w:p w14:paraId="58787136" w14:textId="77777777" w:rsidR="0097353C" w:rsidRDefault="00000000">
      <w:pPr>
        <w:pStyle w:val="BodyText"/>
      </w:pPr>
      <w:r>
        <w:t xml:space="preserve">Specifically, in the full sample, </w:t>
      </w:r>
      <w:hyperlink w:anchor="fig-semi_parametric">
        <w:r w:rsidR="0097353C">
          <w:rPr>
            <w:rStyle w:val="Hyperlink"/>
          </w:rPr>
          <w:t>Figure 5</w:t>
        </w:r>
      </w:hyperlink>
      <w:r>
        <w:t xml:space="preserve"> shows that small positive effects on RPD for the inflation range of 2-3 per cent, with RPD is at its lowest in this range suggesting that the optimal inflation lies within this range as RPD is not amplified, otherwise RPD increases monotonically as inflation increases beyond this range. Thus, higher average inflation increases price misconception, leading to inefficient resource allocation equivalent to a negative productivity shock (</w:t>
      </w:r>
      <w:hyperlink w:anchor="ref-damjanovic2010">
        <w:r w:rsidR="0097353C">
          <w:rPr>
            <w:rStyle w:val="Hyperlink"/>
          </w:rPr>
          <w:t>Damjanovic and Nolan 2010</w:t>
        </w:r>
      </w:hyperlink>
      <w:r>
        <w:t>). The pre-2017 sample results show a similar profile except that a 3 per cent inflation rate minimises price dispersion. These findings are similar across both the Guassian and Epanechnikov kernels.</w:t>
      </w:r>
    </w:p>
    <w:p w14:paraId="3FDC5066" w14:textId="14F6431F" w:rsidR="0097353C" w:rsidRDefault="00000000" w:rsidP="00F82FAD">
      <w:pPr>
        <w:pStyle w:val="BodyText"/>
      </w:pPr>
      <w:r>
        <w:t>Interestingly, the sub-samples results show regime shifts in the inflation and RPD relationship. The post-2017 sub-sample still shows positive and linear effects however the curvature is weaker and flatter in contrast to post-2017 period, which shows evidence of regime-dependence (</w:t>
      </w:r>
      <w:hyperlink w:anchor="ref-choi2011">
        <w:r w:rsidR="0097353C">
          <w:rPr>
            <w:rStyle w:val="Hyperlink"/>
          </w:rPr>
          <w:t>Choi, Kim, and O’Sullivan 2011</w:t>
        </w:r>
      </w:hyperlink>
      <w:r>
        <w:t xml:space="preserve">; </w:t>
      </w:r>
      <w:hyperlink w:anchor="ref-baglan2016">
        <w:r w:rsidR="0097353C">
          <w:rPr>
            <w:rStyle w:val="Hyperlink"/>
          </w:rPr>
          <w:t>Baglan, Yazgan, and Yilmazkuday 2016</w:t>
        </w:r>
      </w:hyperlink>
      <w:r>
        <w:t xml:space="preserve">; </w:t>
      </w:r>
      <w:hyperlink w:anchor="ref-hornstein2024">
        <w:r w:rsidR="0097353C">
          <w:rPr>
            <w:rStyle w:val="Hyperlink"/>
          </w:rPr>
          <w:t>Hornstein, Ruge-Murcia, and Wolman 2024</w:t>
        </w:r>
      </w:hyperlink>
      <w:r>
        <w:t xml:space="preserve">). Specifically, relatively lower regimes levels are associated with weaker inflation effects on RPD because even at high inflation rates in the range of 7-8 per cent the curve is less step than pre-2017 results - suggesting a less responsive RPD. The results in </w:t>
      </w:r>
      <w:hyperlink w:anchor="fig-semi_parametric">
        <w:r w:rsidR="0097353C">
          <w:rPr>
            <w:rStyle w:val="Hyperlink"/>
          </w:rPr>
          <w:t>Figure 5</w:t>
        </w:r>
      </w:hyperlink>
      <w:r>
        <w:t xml:space="preserve"> suggest the optimal inflation rate in the post-2017 sub-sample is also in the range of 2-3 per cent. These optimal inflation rate estimates are lower than the 4 per cent estimate from (</w:t>
      </w:r>
      <w:hyperlink w:anchor="ref-caraballo2013">
        <w:r w:rsidR="0097353C">
          <w:rPr>
            <w:rStyle w:val="Hyperlink"/>
          </w:rPr>
          <w:t>Caraballo and Dabús 2013</w:t>
        </w:r>
      </w:hyperlink>
      <w:r>
        <w:t xml:space="preserve">) whom we closely follow in our empirical framework but our results are closer to estimates near in the literature. See Diercks </w:t>
      </w:r>
      <w:r>
        <w:lastRenderedPageBreak/>
        <w:t>(</w:t>
      </w:r>
      <w:hyperlink w:anchor="ref-diercks2019">
        <w:r w:rsidR="0097353C">
          <w:rPr>
            <w:rStyle w:val="Hyperlink"/>
          </w:rPr>
          <w:t>2019</w:t>
        </w:r>
      </w:hyperlink>
      <w:r>
        <w:t>) for a summary of these studies.</w:t>
      </w:r>
      <w:r>
        <w:rPr>
          <w:rStyle w:val="FootnoteReference"/>
        </w:rPr>
        <w:footnoteReference w:id="5"/>
      </w:r>
    </w:p>
    <w:tbl>
      <w:tblPr>
        <w:tblW w:w="5000" w:type="pct"/>
        <w:tblLayout w:type="fixed"/>
        <w:tblLook w:val="0000" w:firstRow="0" w:lastRow="0" w:firstColumn="0" w:lastColumn="0" w:noHBand="0" w:noVBand="0"/>
      </w:tblPr>
      <w:tblGrid>
        <w:gridCol w:w="9071"/>
      </w:tblGrid>
      <w:tr w:rsidR="0097353C" w14:paraId="5BD6C23C" w14:textId="77777777">
        <w:tc>
          <w:tcPr>
            <w:tcW w:w="7920" w:type="dxa"/>
          </w:tcPr>
          <w:p w14:paraId="02052E67" w14:textId="77777777" w:rsidR="0097353C" w:rsidRDefault="00000000">
            <w:pPr>
              <w:jc w:val="center"/>
            </w:pPr>
            <w:bookmarkStart w:id="26" w:name="fig-semi_parametric"/>
            <w:r>
              <w:rPr>
                <w:noProof/>
              </w:rPr>
              <w:drawing>
                <wp:inline distT="0" distB="0" distL="0" distR="0" wp14:anchorId="7EE4811B" wp14:editId="1F39E6FD">
                  <wp:extent cx="5753100" cy="57531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inflation_relative_price_variance_files/figure-docx/fig-semi_parametric-1.png"/>
                          <pic:cNvPicPr>
                            <a:picLocks noChangeAspect="1" noChangeArrowheads="1"/>
                          </pic:cNvPicPr>
                        </pic:nvPicPr>
                        <pic:blipFill>
                          <a:blip r:embed="rId11"/>
                          <a:stretch>
                            <a:fillRect/>
                          </a:stretch>
                        </pic:blipFill>
                        <pic:spPr bwMode="auto">
                          <a:xfrm>
                            <a:off x="0" y="0"/>
                            <a:ext cx="5753100" cy="5753100"/>
                          </a:xfrm>
                          <a:prstGeom prst="rect">
                            <a:avLst/>
                          </a:prstGeom>
                          <a:noFill/>
                          <a:ln w="9525">
                            <a:noFill/>
                            <a:headEnd/>
                            <a:tailEnd/>
                          </a:ln>
                        </pic:spPr>
                      </pic:pic>
                    </a:graphicData>
                  </a:graphic>
                </wp:inline>
              </w:drawing>
            </w:r>
          </w:p>
          <w:p w14:paraId="1BD1D4A0" w14:textId="77777777" w:rsidR="0097353C" w:rsidRDefault="00000000">
            <w:pPr>
              <w:spacing w:before="200"/>
              <w:jc w:val="left"/>
            </w:pPr>
            <w:r>
              <w:t>Figure 5: Semi-parametric regressions for headline inflation. Note: hcpi is headline inflation. This figure shows the estimated nonparametric conditional mean effect of headline inflation on RPD for the full sample, pre-2017 and post-2017 samples. The optimal bandwidth was selected automatically using cross-validation method.</w:t>
            </w:r>
          </w:p>
        </w:tc>
        <w:bookmarkEnd w:id="26"/>
      </w:tr>
    </w:tbl>
    <w:p w14:paraId="58E66CE9" w14:textId="4679B821" w:rsidR="0097353C" w:rsidRDefault="0097353C"/>
    <w:tbl>
      <w:tblPr>
        <w:tblW w:w="5000" w:type="pct"/>
        <w:tblLayout w:type="fixed"/>
        <w:tblLook w:val="0000" w:firstRow="0" w:lastRow="0" w:firstColumn="0" w:lastColumn="0" w:noHBand="0" w:noVBand="0"/>
      </w:tblPr>
      <w:tblGrid>
        <w:gridCol w:w="9071"/>
      </w:tblGrid>
      <w:tr w:rsidR="0097353C" w14:paraId="204F3598" w14:textId="77777777">
        <w:tc>
          <w:tcPr>
            <w:tcW w:w="7920" w:type="dxa"/>
          </w:tcPr>
          <w:p w14:paraId="1AECFCD1" w14:textId="77777777" w:rsidR="0097353C" w:rsidRDefault="00000000">
            <w:pPr>
              <w:jc w:val="center"/>
            </w:pPr>
            <w:bookmarkStart w:id="27" w:name="fig-unexpected_inflation"/>
            <w:r>
              <w:rPr>
                <w:noProof/>
              </w:rPr>
              <w:drawing>
                <wp:inline distT="0" distB="0" distL="0" distR="0" wp14:anchorId="0B5F4D42" wp14:editId="62238C2E">
                  <wp:extent cx="5753100" cy="57531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inflation_relative_price_variance_files/figure-docx/fig-unexpected_inflation-1.png"/>
                          <pic:cNvPicPr>
                            <a:picLocks noChangeAspect="1" noChangeArrowheads="1"/>
                          </pic:cNvPicPr>
                        </pic:nvPicPr>
                        <pic:blipFill>
                          <a:blip r:embed="rId12"/>
                          <a:stretch>
                            <a:fillRect/>
                          </a:stretch>
                        </pic:blipFill>
                        <pic:spPr bwMode="auto">
                          <a:xfrm>
                            <a:off x="0" y="0"/>
                            <a:ext cx="5753100" cy="5753100"/>
                          </a:xfrm>
                          <a:prstGeom prst="rect">
                            <a:avLst/>
                          </a:prstGeom>
                          <a:noFill/>
                          <a:ln w="9525">
                            <a:noFill/>
                            <a:headEnd/>
                            <a:tailEnd/>
                          </a:ln>
                        </pic:spPr>
                      </pic:pic>
                    </a:graphicData>
                  </a:graphic>
                </wp:inline>
              </w:drawing>
            </w:r>
          </w:p>
          <w:p w14:paraId="10AB8D0F" w14:textId="77777777" w:rsidR="0097353C" w:rsidRDefault="00000000">
            <w:pPr>
              <w:spacing w:before="200"/>
              <w:jc w:val="left"/>
            </w:pPr>
            <w:r>
              <w:t>Figure 6: Semi-parametric regressions for unexpected inflation. Note: hcpi_u is the unexpected component of headline inflation. This figure shows the estimated nonparametric conditional mean effect of unexpected inflation on RPD for the full sample, pre-2017 and post-2017 samples. The optimal bandwidth was selected automatically using cross-validation method.</w:t>
            </w:r>
          </w:p>
        </w:tc>
        <w:bookmarkEnd w:id="27"/>
      </w:tr>
    </w:tbl>
    <w:p w14:paraId="19C7C417" w14:textId="77777777" w:rsidR="0097353C" w:rsidRDefault="0097353C">
      <w:pPr>
        <w:pStyle w:val="BodyText"/>
      </w:pPr>
      <w:hyperlink w:anchor="fig-unexpected_inflation">
        <w:r>
          <w:rPr>
            <w:rStyle w:val="Hyperlink"/>
          </w:rPr>
          <w:t>Figure 6</w:t>
        </w:r>
      </w:hyperlink>
      <w:r w:rsidR="00000000">
        <w:t xml:space="preserve"> shows the estimated results of the nonparametric effect of unexpected inflation on RPD and the findings are broadly consistent with the predictions of the </w:t>
      </w:r>
      <w:r w:rsidR="00000000">
        <w:lastRenderedPageBreak/>
        <w:t>signal extraction theory. These results show exhibit U-shaped profile Positive and negative surprises both increase relative price variability however the effects are asymmetric. Positive inflation surprises generate a stronger dispersion response than negative ones.</w:t>
      </w:r>
    </w:p>
    <w:p w14:paraId="1FBA5EDB" w14:textId="77777777" w:rsidR="0097353C" w:rsidRDefault="00000000">
      <w:pPr>
        <w:pStyle w:val="BodyText"/>
      </w:pPr>
      <w:r>
        <w:t>Notably, the estimated effects are similar in both the full sample and the pre-2017 sample periods. The response of RPD to negative inflation surprises is relatively moderate and relatively flat, while positive inflation causes RPD to accelerate more noticeably particularly for inflation surprises near 0.2 and above. This suggests that price-setters respond more aggressively to inflationary surprises than deflationary ones suggesting that positive inflation surprises create informational noise and as a result firms confuse aggregate price shocks with relative shocks leading to higher relative price variability consistent with the misconception models. However unlike these theoretical predictions as well as the empirical studies (</w:t>
      </w:r>
      <w:hyperlink w:anchor="ref-caraballo2013">
        <w:r w:rsidR="0097353C">
          <w:rPr>
            <w:rStyle w:val="Hyperlink"/>
          </w:rPr>
          <w:t>Caraballo and Dabús 2013</w:t>
        </w:r>
      </w:hyperlink>
      <w:r>
        <w:t xml:space="preserve">; </w:t>
      </w:r>
      <w:hyperlink w:anchor="ref-becker2012">
        <w:r w:rsidR="0097353C">
          <w:rPr>
            <w:rStyle w:val="Hyperlink"/>
          </w:rPr>
          <w:t>Becker and Nautz 2012</w:t>
        </w:r>
      </w:hyperlink>
      <w:r>
        <w:t xml:space="preserve">; </w:t>
      </w:r>
      <w:hyperlink w:anchor="ref-sara-zaror2024">
        <w:r w:rsidR="0097353C">
          <w:rPr>
            <w:rStyle w:val="Hyperlink"/>
          </w:rPr>
          <w:t>Sara-Zaror 2024</w:t>
        </w:r>
      </w:hyperlink>
      <w:r>
        <w:t>) the positive and negative inflation shocks, in our case, do not have a symmetric effect on RPD. The post-2017 suggests a structural regime change in the relationship as the magnitude of the effect of unexpected inflation on RPD is weaker on either side of the distribution. We attribute this to a relatively low inflation regime as well as better anchored inflation expectations (</w:t>
      </w:r>
      <w:hyperlink w:anchor="ref-durand2023">
        <w:r w:rsidR="0097353C">
          <w:rPr>
            <w:rStyle w:val="Hyperlink"/>
          </w:rPr>
          <w:t>Du Rand, Hollander, and Van Lill 2023</w:t>
        </w:r>
      </w:hyperlink>
      <w:r>
        <w:t>) in the post-2017 period in line with the adoption of a lower inflation targets in both 2017 as well as 2025. For example, the x-axis only extends to about ±0.25 percentage points in the post-2017 sample, reflecting less variation in unexpected inflation compared to the pre-2017 sample. Furthermore, the latter years in our sample are characterised by significant global shocks to inflation from the COVID-2019 Pandemic in 2020, the post-pandemic recovery induced energy price shock in 2021 as well as the global food price shock after the outbreak of the Russia-Ukraine war in 2022. These global shocks would’ve induced a similar price setting behavioural response in the same direction therefore compressing price dispersion (</w:t>
      </w:r>
      <w:hyperlink w:anchor="ref-nakamura2018">
        <w:r w:rsidR="0097353C">
          <w:rPr>
            <w:rStyle w:val="Hyperlink"/>
          </w:rPr>
          <w:t>Nakamura et al. 2018</w:t>
        </w:r>
      </w:hyperlink>
      <w:r>
        <w:t>) which, in our view, also explains the relatively benign results post-2017.</w:t>
      </w:r>
    </w:p>
    <w:p w14:paraId="4BD5A963" w14:textId="77777777" w:rsidR="0097353C" w:rsidRDefault="00000000">
      <w:pPr>
        <w:pStyle w:val="Heading1"/>
      </w:pPr>
      <w:bookmarkStart w:id="28" w:name="robustness"/>
      <w:bookmarkEnd w:id="20"/>
      <w:r>
        <w:t>Robustness</w:t>
      </w:r>
    </w:p>
    <w:p w14:paraId="5ED00CC9" w14:textId="77777777" w:rsidR="0097353C" w:rsidRDefault="00000000">
      <w:r>
        <w:t xml:space="preserve">To further investigate the idea of RPD-inflation regimes, we take a novel approach in </w:t>
      </w:r>
      <w:r>
        <w:lastRenderedPageBreak/>
        <w:t>the literature to estimate a quantile-on-quantile (QQR) regression analysis (</w:t>
      </w:r>
      <w:hyperlink w:anchor="ref-koenker2017">
        <w:r w:rsidR="0097353C">
          <w:rPr>
            <w:rStyle w:val="Hyperlink"/>
          </w:rPr>
          <w:t>Koenker 2017</w:t>
        </w:r>
      </w:hyperlink>
      <w:r>
        <w:t xml:space="preserve">). The QQR will further examine the inflation-RPD nexus since kernel estimation in </w:t>
      </w:r>
      <w:hyperlink w:anchor="fig-semi_parametric">
        <w:r w:rsidR="0097353C">
          <w:rPr>
            <w:rStyle w:val="Hyperlink"/>
          </w:rPr>
          <w:t>Figure 5</w:t>
        </w:r>
      </w:hyperlink>
      <w:r>
        <w:t xml:space="preserve"> and </w:t>
      </w:r>
      <w:hyperlink w:anchor="fig-unexpected_inflation">
        <w:r w:rsidR="0097353C">
          <w:rPr>
            <w:rStyle w:val="Hyperlink"/>
          </w:rPr>
          <w:t>Figure 6</w:t>
        </w:r>
      </w:hyperlink>
      <w:r>
        <w:t xml:space="preserve"> show average marginal effects across the inflation distribution, while the QQR directly estimates the dependence structure across the joint distribution of inflation (</w:t>
      </w:r>
      <m:oMath>
        <m:r>
          <w:rPr>
            <w:rFonts w:ascii="Cambria Math" w:hAnsi="Cambria Math"/>
          </w:rPr>
          <m:t>τ</m:t>
        </m:r>
      </m:oMath>
      <w:r>
        <w:t>) and RPD (</w:t>
      </w:r>
      <m:oMath>
        <m:r>
          <w:rPr>
            <w:rFonts w:ascii="Cambria Math" w:hAnsi="Cambria Math"/>
          </w:rPr>
          <m:t>θ</m:t>
        </m:r>
      </m:oMath>
      <w:r>
        <w:t xml:space="preserve">). The results in </w:t>
      </w:r>
      <w:hyperlink w:anchor="fig-quant_reg">
        <w:r w:rsidR="0097353C">
          <w:rPr>
            <w:rStyle w:val="Hyperlink"/>
          </w:rPr>
          <w:t>Figure 7</w:t>
        </w:r>
      </w:hyperlink>
      <w:r>
        <w:t xml:space="preserve"> show that, across the all-sub samples, in most quantiles of RPD, higher quantiles of inflation are associated with a positive and increasingly strong effect on RPD. When inflation is in its upper quantiles (</w:t>
      </w:r>
      <m:oMath>
        <m:r>
          <w:rPr>
            <w:rFonts w:ascii="Cambria Math" w:hAnsi="Cambria Math"/>
          </w:rPr>
          <m:t>τ</m:t>
        </m:r>
        <m:r>
          <m:rPr>
            <m:sty m:val="p"/>
          </m:rPr>
          <w:rPr>
            <w:rFonts w:ascii="Cambria Math" w:hAnsi="Cambria Math"/>
          </w:rPr>
          <m:t>→</m:t>
        </m:r>
        <m:r>
          <w:rPr>
            <w:rFonts w:ascii="Cambria Math" w:hAnsi="Cambria Math"/>
          </w:rPr>
          <m:t>1</m:t>
        </m:r>
      </m:oMath>
      <w:r>
        <w:t>), the coefficient is at its largest and most positive, suggesting a strong amplification where high inflation episodes are associated with meaningfully larger relative price dispersion. At low quantiles of inflation (</w:t>
      </w:r>
      <m:oMath>
        <m:r>
          <w:rPr>
            <w:rFonts w:ascii="Cambria Math" w:hAnsi="Cambria Math"/>
          </w:rPr>
          <m:t>τ</m:t>
        </m:r>
        <m:r>
          <m:rPr>
            <m:sty m:val="p"/>
          </m:rPr>
          <w:rPr>
            <w:rFonts w:ascii="Cambria Math" w:hAnsi="Cambria Math"/>
          </w:rPr>
          <m:t>←</m:t>
        </m:r>
        <m:r>
          <w:rPr>
            <w:rFonts w:ascii="Cambria Math" w:hAnsi="Cambria Math"/>
          </w:rPr>
          <m:t>0</m:t>
        </m:r>
      </m:oMath>
      <w:r>
        <w:t>), the relationship is substantially muted and largely statistically insignificant (white areas), particularly for middle quantiles of RPD indicating that low or stable inflation has little systematic effect on relative price dispersion. This is a double confirmation of the U-shaped relationship. Furthermore, at lower quantiles of RPD (</w:t>
      </w:r>
      <m:oMath>
        <m:r>
          <w:rPr>
            <w:rFonts w:ascii="Cambria Math" w:hAnsi="Cambria Math"/>
          </w:rPr>
          <m:t>θ</m:t>
        </m:r>
        <m:r>
          <m:rPr>
            <m:sty m:val="p"/>
          </m:rPr>
          <w:rPr>
            <w:rFonts w:ascii="Cambria Math" w:hAnsi="Cambria Math"/>
          </w:rPr>
          <m:t>&lt;</m:t>
        </m:r>
        <m:r>
          <w:rPr>
            <w:rFonts w:ascii="Cambria Math" w:hAnsi="Cambria Math"/>
          </w:rPr>
          <m:t>0.25</m:t>
        </m:r>
      </m:oMath>
      <w:r>
        <w:t>) show weak effects throughout, implying that episodes of low-price dispersion are relatively insensitive to inflation regardless of where inflation sits in its distribution.</w:t>
      </w:r>
    </w:p>
    <w:p w14:paraId="6E876258" w14:textId="77777777" w:rsidR="0097353C" w:rsidRDefault="00000000">
      <w:pPr>
        <w:pStyle w:val="BodyText"/>
      </w:pPr>
      <w:r>
        <w:t>Notably in the post-2017 sub-sample, structural changes in the relationship are evident. Firstly, the size of the magnitude is larger and the positive effects are concentrated at very high inflation quantiles likely reflecting the heightened inflationary volatility of the post-2017 period, including commodity price shocks and the COVID-19 era inflation surge. Secondly, there is a wider region of insignificance at low and mid inflation quantiles (</w:t>
      </w:r>
      <m:oMath>
        <m:r>
          <w:rPr>
            <w:rFonts w:ascii="Cambria Math" w:hAnsi="Cambria Math"/>
          </w:rPr>
          <m:t>τ</m:t>
        </m:r>
        <m:r>
          <m:rPr>
            <m:sty m:val="p"/>
          </m:rPr>
          <w:rPr>
            <w:rFonts w:ascii="Cambria Math" w:hAnsi="Cambria Math"/>
          </w:rPr>
          <m:t>&lt;</m:t>
        </m:r>
        <m:r>
          <w:rPr>
            <w:rFonts w:ascii="Cambria Math" w:hAnsi="Cambria Math"/>
          </w:rPr>
          <m:t>0.50</m:t>
        </m:r>
      </m:oMath>
      <w:r>
        <w:t>) particularly for lower quantiles of RPD implying low-to-moderate inflation in the post-2017 associated with reductions in the inflation target, has little systematic effect on price dispersion. The relationship being driven almost entirely by tail inflation events or shocks.</w:t>
      </w:r>
    </w:p>
    <w:tbl>
      <w:tblPr>
        <w:tblW w:w="5000" w:type="pct"/>
        <w:tblLayout w:type="fixed"/>
        <w:tblLook w:val="0000" w:firstRow="0" w:lastRow="0" w:firstColumn="0" w:lastColumn="0" w:noHBand="0" w:noVBand="0"/>
      </w:tblPr>
      <w:tblGrid>
        <w:gridCol w:w="9071"/>
      </w:tblGrid>
      <w:tr w:rsidR="0097353C" w14:paraId="4C1A2865" w14:textId="77777777">
        <w:tc>
          <w:tcPr>
            <w:tcW w:w="7920" w:type="dxa"/>
          </w:tcPr>
          <w:p w14:paraId="5AD4B650" w14:textId="77777777" w:rsidR="0097353C" w:rsidRDefault="00000000">
            <w:pPr>
              <w:jc w:val="center"/>
            </w:pPr>
            <w:bookmarkStart w:id="29" w:name="fig-quant_reg"/>
            <w:r>
              <w:rPr>
                <w:noProof/>
              </w:rPr>
              <w:lastRenderedPageBreak/>
              <w:drawing>
                <wp:inline distT="0" distB="0" distL="0" distR="0" wp14:anchorId="08C5AB30" wp14:editId="22450830">
                  <wp:extent cx="5753100" cy="287655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nflation_relative_price_variance_files/figure-docx/fig-quant_reg-1.png"/>
                          <pic:cNvPicPr>
                            <a:picLocks noChangeAspect="1" noChangeArrowheads="1"/>
                          </pic:cNvPicPr>
                        </pic:nvPicPr>
                        <pic:blipFill>
                          <a:blip r:embed="rId13"/>
                          <a:stretch>
                            <a:fillRect/>
                          </a:stretch>
                        </pic:blipFill>
                        <pic:spPr bwMode="auto">
                          <a:xfrm>
                            <a:off x="0" y="0"/>
                            <a:ext cx="5753100" cy="2876550"/>
                          </a:xfrm>
                          <a:prstGeom prst="rect">
                            <a:avLst/>
                          </a:prstGeom>
                          <a:noFill/>
                          <a:ln w="9525">
                            <a:noFill/>
                            <a:headEnd/>
                            <a:tailEnd/>
                          </a:ln>
                        </pic:spPr>
                      </pic:pic>
                    </a:graphicData>
                  </a:graphic>
                </wp:inline>
              </w:drawing>
            </w:r>
          </w:p>
          <w:p w14:paraId="2D630DEE" w14:textId="77777777" w:rsidR="0097353C" w:rsidRDefault="00000000">
            <w:pPr>
              <w:spacing w:before="200"/>
              <w:jc w:val="left"/>
            </w:pPr>
            <w:r>
              <w:t>Figure 7: Quantile on quantile regressions for headline inflation. Note: In the quantile on quatile regression plots, the x-axis represents the quantiles of headline inflation, while the y-axis represents the quantiles of RPD. The color gradient indicates the strength and direction of the relationship between headline inflation and RPD across different quantiles. Warmer colors (e.g., red) indicate a stronger positive relationship, while cooler colors (e.g., blue) indicate a stronger negative relationship. The white areas represent quantiles where the relationship is not statistically significant.</w:t>
            </w:r>
          </w:p>
        </w:tc>
        <w:bookmarkEnd w:id="29"/>
      </w:tr>
    </w:tbl>
    <w:p w14:paraId="228C88BB" w14:textId="77777777" w:rsidR="0097353C" w:rsidRDefault="00000000">
      <w:pPr>
        <w:pStyle w:val="BodyText"/>
      </w:pPr>
      <w:r>
        <w:t xml:space="preserve">Interestingly the positive coefficient region in </w:t>
      </w:r>
      <w:hyperlink w:anchor="fig-unif_quant_reg">
        <w:r w:rsidR="0097353C">
          <w:rPr>
            <w:rStyle w:val="Hyperlink"/>
          </w:rPr>
          <w:t>Figure 8</w:t>
        </w:r>
      </w:hyperlink>
      <w:r>
        <w:t xml:space="preserve"> is larger and more pervasive across the space compared to </w:t>
      </w:r>
      <w:hyperlink w:anchor="fig-quant_reg">
        <w:r w:rsidR="0097353C">
          <w:rPr>
            <w:rStyle w:val="Hyperlink"/>
          </w:rPr>
          <w:t>Figure 7</w:t>
        </w:r>
      </w:hyperlink>
      <w:r>
        <w:t xml:space="preserve"> with the implication that unexpected inflation appears to have a stronger and more broadly distributed positive effect on relative price dispersion than aggregate inflation. Specially, positive inflation surprises have a visible effect on RPD even at moderate quantiles in the pre-2017 era. This implies that even modest positive inflation surprises - not just extreme ones - were sufficient to generate significant RPD responses before 2017. In the lower quantiles of RPD (</w:t>
      </w:r>
      <m:oMath>
        <m:r>
          <w:rPr>
            <w:rFonts w:ascii="Cambria Math" w:hAnsi="Cambria Math"/>
          </w:rPr>
          <m:t>θ</m:t>
        </m:r>
        <m:r>
          <m:rPr>
            <m:sty m:val="p"/>
          </m:rPr>
          <w:rPr>
            <w:rFonts w:ascii="Cambria Math" w:hAnsi="Cambria Math"/>
          </w:rPr>
          <m:t>&lt;</m:t>
        </m:r>
        <m:r>
          <w:rPr>
            <w:rFonts w:ascii="Cambria Math" w:hAnsi="Cambria Math"/>
          </w:rPr>
          <m:t>0.25</m:t>
        </m:r>
      </m:oMath>
      <w:r>
        <w:t>) remain largely insignificant. Interestingly, there is a weak negative region at very low quantiles of unexpected inflation for mid-range RPD, suggesting that negative inflation surprises were mildly associated with reduced dispersion in this era.</w:t>
      </w:r>
    </w:p>
    <w:p w14:paraId="04661FD7" w14:textId="77777777" w:rsidR="0097353C" w:rsidRDefault="00000000">
      <w:pPr>
        <w:pStyle w:val="BodyText"/>
      </w:pPr>
      <w:r>
        <w:t xml:space="preserve">Positive inflation surprises have less concentrated effects in the post-2017 sub-sample </w:t>
      </w:r>
      <w:r>
        <w:lastRenderedPageBreak/>
        <w:t>compared to the pre-2017 period however the coefficient scale is wider compared to pre-2017 indicating the sensitivity of RPD to unexpected inflation as inflation shocks surged enormously after 2017 and these shocks were more disruptive to relative price alignment. There is a broader insignificance at intermediate quantile combinations. A notable feature of the post-2017 sub-sample is the emergence of statistically significant negative coefficients at low quantiles of unexpected inflation (</w:t>
      </w:r>
      <m:oMath>
        <m:r>
          <w:rPr>
            <w:rFonts w:ascii="Cambria Math" w:hAnsi="Cambria Math"/>
          </w:rPr>
          <m:t>τ</m:t>
        </m:r>
        <m:r>
          <m:rPr>
            <m:sty m:val="p"/>
          </m:rPr>
          <w:rPr>
            <w:rFonts w:ascii="Cambria Math" w:hAnsi="Cambria Math"/>
          </w:rPr>
          <m:t>&lt;</m:t>
        </m:r>
        <m:r>
          <w:rPr>
            <w:rFonts w:ascii="Cambria Math" w:hAnsi="Cambria Math"/>
          </w:rPr>
          <m:t>0.25</m:t>
        </m:r>
      </m:oMath>
      <w:r>
        <w:t>), particularly across mid-to-high quantiles of RPD (</w:t>
      </w:r>
      <m:oMath>
        <m:r>
          <w:rPr>
            <w:rFonts w:ascii="Cambria Math" w:hAnsi="Cambria Math"/>
          </w:rPr>
          <m:t>θ</m:t>
        </m:r>
        <m:r>
          <m:rPr>
            <m:sty m:val="p"/>
          </m:rPr>
          <w:rPr>
            <w:rFonts w:ascii="Cambria Math" w:hAnsi="Cambria Math"/>
          </w:rPr>
          <m:t>&gt;</m:t>
        </m:r>
        <m:r>
          <w:rPr>
            <w:rFonts w:ascii="Cambria Math" w:hAnsi="Cambria Math"/>
          </w:rPr>
          <m:t>0.25</m:t>
        </m:r>
      </m:oMath>
      <w:r>
        <w:t>). This means negative inflation surprises in the post-2017 period, were associated with lower RPD. This pattern was absent (or negligible) pre-2017. We attribute this to the likelihood that when inflation expectations were managed down by the central bank as inflation targets are lowered, downside inflation surprises actively compress price dispersion, while upside surprises amplify it (</w:t>
      </w:r>
      <w:hyperlink w:anchor="ref-bems2021">
        <w:r w:rsidR="0097353C">
          <w:rPr>
            <w:rStyle w:val="Hyperlink"/>
          </w:rPr>
          <w:t>Bems et al. 2021</w:t>
        </w:r>
      </w:hyperlink>
      <w:r>
        <w:t xml:space="preserve">; </w:t>
      </w:r>
      <w:hyperlink w:anchor="ref-moessner2020">
        <w:r w:rsidR="0097353C">
          <w:rPr>
            <w:rStyle w:val="Hyperlink"/>
          </w:rPr>
          <w:t>Moessner and Takáts 2020</w:t>
        </w:r>
      </w:hyperlink>
      <w:r>
        <w:t>).</w:t>
      </w:r>
    </w:p>
    <w:tbl>
      <w:tblPr>
        <w:tblW w:w="5000" w:type="pct"/>
        <w:tblLayout w:type="fixed"/>
        <w:tblLook w:val="0000" w:firstRow="0" w:lastRow="0" w:firstColumn="0" w:lastColumn="0" w:noHBand="0" w:noVBand="0"/>
      </w:tblPr>
      <w:tblGrid>
        <w:gridCol w:w="9071"/>
      </w:tblGrid>
      <w:tr w:rsidR="0097353C" w14:paraId="668E5664" w14:textId="77777777">
        <w:tc>
          <w:tcPr>
            <w:tcW w:w="7920" w:type="dxa"/>
          </w:tcPr>
          <w:p w14:paraId="5CE02D88" w14:textId="77777777" w:rsidR="0097353C" w:rsidRDefault="00000000">
            <w:pPr>
              <w:jc w:val="center"/>
            </w:pPr>
            <w:bookmarkStart w:id="30" w:name="fig-unif_quant_reg"/>
            <w:r>
              <w:rPr>
                <w:noProof/>
              </w:rPr>
              <w:drawing>
                <wp:inline distT="0" distB="0" distL="0" distR="0" wp14:anchorId="4D57D24F" wp14:editId="3D2BF55E">
                  <wp:extent cx="5753100" cy="287655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nflation_relative_price_variance_files/figure-docx/fig-unif_quant_reg-1.png"/>
                          <pic:cNvPicPr>
                            <a:picLocks noChangeAspect="1" noChangeArrowheads="1"/>
                          </pic:cNvPicPr>
                        </pic:nvPicPr>
                        <pic:blipFill>
                          <a:blip r:embed="rId14"/>
                          <a:stretch>
                            <a:fillRect/>
                          </a:stretch>
                        </pic:blipFill>
                        <pic:spPr bwMode="auto">
                          <a:xfrm>
                            <a:off x="0" y="0"/>
                            <a:ext cx="5753100" cy="2876550"/>
                          </a:xfrm>
                          <a:prstGeom prst="rect">
                            <a:avLst/>
                          </a:prstGeom>
                          <a:noFill/>
                          <a:ln w="9525">
                            <a:noFill/>
                            <a:headEnd/>
                            <a:tailEnd/>
                          </a:ln>
                        </pic:spPr>
                      </pic:pic>
                    </a:graphicData>
                  </a:graphic>
                </wp:inline>
              </w:drawing>
            </w:r>
          </w:p>
          <w:p w14:paraId="1F3F9D9D" w14:textId="77777777" w:rsidR="0097353C" w:rsidRDefault="00000000">
            <w:pPr>
              <w:spacing w:before="200"/>
              <w:jc w:val="left"/>
            </w:pPr>
            <w:r>
              <w:t>Figure 8: Quantile on quantile regressions for the unexpected component of inflation. Note: The x-axis represents the quantiles of the unexpected component of headline inflation, while the y-axis represents the quantiles of RPD.</w:t>
            </w:r>
          </w:p>
        </w:tc>
        <w:bookmarkEnd w:id="30"/>
      </w:tr>
    </w:tbl>
    <w:p w14:paraId="7D9529AB" w14:textId="77777777" w:rsidR="0097353C" w:rsidRDefault="00000000">
      <w:r>
        <w:br w:type="page"/>
      </w:r>
    </w:p>
    <w:p w14:paraId="5E6C822D" w14:textId="77777777" w:rsidR="0097353C" w:rsidRDefault="00000000">
      <w:pPr>
        <w:pStyle w:val="Heading1"/>
      </w:pPr>
      <w:bookmarkStart w:id="31" w:name="conclusion"/>
      <w:bookmarkEnd w:id="28"/>
      <w:r>
        <w:lastRenderedPageBreak/>
        <w:t>Conclusion</w:t>
      </w:r>
    </w:p>
    <w:p w14:paraId="03CAD856" w14:textId="77777777" w:rsidR="0097353C" w:rsidRDefault="00000000">
      <w:r>
        <w:t>This paper provides a comprehensive empirical analysis of the relationship between inflation and relative price dispersion (RPD) in South Africa, highlighting the importance of structural changes in inflation targeting on this nexus. Our findings support the presence of a nonlinear, U-shaped relationship between inflation and RPD, consistent with the signal extraction and monetary search models that allow for a non-zero optimal inflation rate. The semi-parametric estimation revealed that average inflation effects on price dispersion evolve over time, especially around changes in inflation targets, while the quantile-on-quantile regression uncovered heterogeneity in the impact of inflation across different parts of the RPD distribution. This dynamic behavior reinforces the idea that moderate inflation may not only be inevitable but could also reduce welfare losses associated with price rigidities and informational frictions. Interestingly, testing the predictions of the signal extraction models, inflation surprises in our case do not have a symmetric effect on price relative variability instead of only positive surprises worsen price variability or RPD</w:t>
      </w:r>
    </w:p>
    <w:p w14:paraId="17DA0282" w14:textId="77777777" w:rsidR="0097353C" w:rsidRDefault="00000000">
      <w:pPr>
        <w:pStyle w:val="BodyText"/>
      </w:pPr>
      <w:r>
        <w:t>The post-2017 period is characterized by a unique combination of factors including lower-than-expected inflation, a revised lower inflation target, and significant global shocks such as the COVID-19 pandemic, supply chain disruptions, energy price shocks, and the Russia-Ukraine conflict. These elements contributed to synchronized price adjustments across firms, compressing relative price dispersion and resulting in a negative, monotonic relationship between unexpected inflation and RPD during this period. Our results suggest that the inflation-RPD trade-off may currently be in a transitory phase, moving towards a more favorable profile compared to the pre-2017 era.</w:t>
      </w:r>
    </w:p>
    <w:p w14:paraId="219EEF99" w14:textId="77777777" w:rsidR="0097353C" w:rsidRDefault="00000000">
      <w:pPr>
        <w:pStyle w:val="BodyText"/>
      </w:pPr>
      <w:r>
        <w:t xml:space="preserve">This analysis contributes to the relatively sparse literature on emerging markets by providing nuanced insights into how inflation influences relative price variability under evolving monetary policy frameworks. Moreover, our findings are supportive of the decision to lower South Africa’s inflation target in 2025. The South African experience—moving from broad inflation bands to more precise target midpoints and planned reductions in target levels—demonstrates the complex interplay between inflation regimes and price adjustments. Policymakers targeting lower inflation in </w:t>
      </w:r>
      <w:r>
        <w:lastRenderedPageBreak/>
        <w:t xml:space="preserve">similar emerging economies should consider these nonlinear dynamics and transitional effects to strike a balance between inflation control and minimizing distortions in relative prices that can hinder efficient resource allocation and economic growth. Ultimately, our results advocate for flexible inflation targets that account for structural features of the economy and the benefits of moderate inflation in optimizing welfare. </w:t>
      </w:r>
    </w:p>
    <w:p w14:paraId="597F5F06" w14:textId="77777777" w:rsidR="00F82FAD" w:rsidRDefault="00F82FAD">
      <w:pPr>
        <w:widowControl/>
        <w:tabs>
          <w:tab w:val="clear" w:pos="170"/>
        </w:tabs>
        <w:autoSpaceDE/>
        <w:autoSpaceDN/>
        <w:spacing w:after="160" w:line="259" w:lineRule="auto"/>
        <w:jc w:val="left"/>
        <w:rPr>
          <w:rFonts w:eastAsia="Arial" w:cs="Arial"/>
          <w:b/>
          <w:bCs/>
          <w:szCs w:val="24"/>
        </w:rPr>
      </w:pPr>
      <w:bookmarkStart w:id="32" w:name="references"/>
      <w:bookmarkEnd w:id="31"/>
      <w:r>
        <w:br w:type="page"/>
      </w:r>
    </w:p>
    <w:p w14:paraId="695A872A" w14:textId="46E8512F" w:rsidR="0097353C" w:rsidRDefault="00000000">
      <w:pPr>
        <w:pStyle w:val="Heading1"/>
      </w:pPr>
      <w:r>
        <w:lastRenderedPageBreak/>
        <w:t>References</w:t>
      </w:r>
    </w:p>
    <w:p w14:paraId="51003424" w14:textId="77777777" w:rsidR="0097353C" w:rsidRDefault="00000000">
      <w:bookmarkStart w:id="33" w:name="ref-baglan2016"/>
      <w:bookmarkStart w:id="34" w:name="refs"/>
      <w:r>
        <w:t xml:space="preserve">Baglan, Deniz, M. Ege Yazgan, and Hakan Yilmazkuday. 2016. “Relative Price Variability and Inflation: New Evidence.” </w:t>
      </w:r>
      <w:r>
        <w:rPr>
          <w:i/>
          <w:iCs/>
        </w:rPr>
        <w:t>Journal of Macroeconomics</w:t>
      </w:r>
      <w:r>
        <w:t xml:space="preserve"> 48: 263–82.</w:t>
      </w:r>
    </w:p>
    <w:p w14:paraId="0FDD39C6" w14:textId="77777777" w:rsidR="0097353C" w:rsidRDefault="00000000">
      <w:bookmarkStart w:id="35" w:name="ref-bai1998a"/>
      <w:bookmarkEnd w:id="33"/>
      <w:r>
        <w:t xml:space="preserve">Bai, Jushan, and Pierre Perron. 1998. “Estimating and Testing Linear Models with Multiple Structural Changes.” </w:t>
      </w:r>
      <w:r>
        <w:rPr>
          <w:i/>
          <w:iCs/>
        </w:rPr>
        <w:t>Econometrica</w:t>
      </w:r>
      <w:r>
        <w:t xml:space="preserve">, 47–78. </w:t>
      </w:r>
      <w:hyperlink r:id="rId15">
        <w:r w:rsidR="0097353C">
          <w:rPr>
            <w:rStyle w:val="Hyperlink"/>
          </w:rPr>
          <w:t>https://www.jstor.org/stable/2998540</w:t>
        </w:r>
      </w:hyperlink>
      <w:r>
        <w:t>.</w:t>
      </w:r>
    </w:p>
    <w:p w14:paraId="34FE1B99" w14:textId="77777777" w:rsidR="0097353C" w:rsidRDefault="00000000">
      <w:bookmarkStart w:id="36" w:name="ref-barro1976"/>
      <w:bookmarkEnd w:id="35"/>
      <w:r>
        <w:t xml:space="preserve">Barro, Robert J. 1976. “Rational Expectations and the Role of Monetary Policy.” </w:t>
      </w:r>
      <w:r>
        <w:rPr>
          <w:i/>
          <w:iCs/>
        </w:rPr>
        <w:t>Journal of Monetary Economics</w:t>
      </w:r>
      <w:r>
        <w:t xml:space="preserve"> 2 (1): 1–32.</w:t>
      </w:r>
    </w:p>
    <w:p w14:paraId="13759F0A" w14:textId="77777777" w:rsidR="0097353C" w:rsidRDefault="00000000">
      <w:bookmarkStart w:id="37" w:name="ref-becker2012"/>
      <w:bookmarkEnd w:id="36"/>
      <w:r>
        <w:t xml:space="preserve">Becker, Sascha S., and Dieter Nautz. 2012. “Inflation, Price Dispersion and Market Integration Through the Lens of a Monetary Search Model.” </w:t>
      </w:r>
      <w:r>
        <w:rPr>
          <w:i/>
          <w:iCs/>
        </w:rPr>
        <w:t>European Economic Review</w:t>
      </w:r>
      <w:r>
        <w:t xml:space="preserve"> 56 (3): 624–34.</w:t>
      </w:r>
    </w:p>
    <w:p w14:paraId="22631009" w14:textId="77777777" w:rsidR="0097353C" w:rsidRDefault="00000000">
      <w:bookmarkStart w:id="38" w:name="ref-bems2021"/>
      <w:bookmarkEnd w:id="37"/>
      <w:r>
        <w:t xml:space="preserve">Bems, Rudolfs, Francesca Caselli, Francesco Grigoli, and Bertrand Gruss. 2021. “Expectations’ Anchoring and Inflation Persistence.” </w:t>
      </w:r>
      <w:r>
        <w:rPr>
          <w:i/>
          <w:iCs/>
        </w:rPr>
        <w:t>Journal of International Economics</w:t>
      </w:r>
      <w:r>
        <w:t xml:space="preserve"> 132: 103516.</w:t>
      </w:r>
    </w:p>
    <w:p w14:paraId="4D6AF519" w14:textId="77777777" w:rsidR="0097353C" w:rsidRDefault="00000000">
      <w:bookmarkStart w:id="39" w:name="ref-benabou1992"/>
      <w:bookmarkEnd w:id="38"/>
      <w:r>
        <w:t xml:space="preserve">Benabou, Roland. 1992. “Inflation and Efficiency in Search Markets.” </w:t>
      </w:r>
      <w:r>
        <w:rPr>
          <w:i/>
          <w:iCs/>
        </w:rPr>
        <w:t>The Review of Economic Studies</w:t>
      </w:r>
      <w:r>
        <w:t xml:space="preserve"> 59 (2): 299–329.</w:t>
      </w:r>
    </w:p>
    <w:p w14:paraId="1B499308" w14:textId="77777777" w:rsidR="0097353C" w:rsidRDefault="00000000">
      <w:bookmarkStart w:id="40" w:name="ref-caglayan2003"/>
      <w:bookmarkEnd w:id="39"/>
      <w:r>
        <w:t xml:space="preserve">Caglayan, Mustafa, and Alpay Filiztekin. 2003. “Nonlinear Impact of Inflation on Relative Price Variability.” </w:t>
      </w:r>
      <w:r>
        <w:rPr>
          <w:i/>
          <w:iCs/>
        </w:rPr>
        <w:t>Economics Letters</w:t>
      </w:r>
      <w:r>
        <w:t xml:space="preserve"> 79 (2): 213–18.</w:t>
      </w:r>
    </w:p>
    <w:p w14:paraId="709A504D" w14:textId="77777777" w:rsidR="0097353C" w:rsidRDefault="00000000">
      <w:bookmarkStart w:id="41" w:name="ref-caraballo2013"/>
      <w:bookmarkEnd w:id="40"/>
      <w:r>
        <w:t xml:space="preserve">Caraballo, Ma Ángeles, and Carlos Dabús. 2013. “Price Dispersion and Optimal Inflation: The Spanish Case.” </w:t>
      </w:r>
      <w:r>
        <w:rPr>
          <w:i/>
          <w:iCs/>
        </w:rPr>
        <w:t>Journal of Applied Economics</w:t>
      </w:r>
      <w:r>
        <w:t xml:space="preserve"> 16 (1): 49–70. </w:t>
      </w:r>
      <w:hyperlink r:id="rId16">
        <w:r w:rsidR="0097353C">
          <w:rPr>
            <w:rStyle w:val="Hyperlink"/>
          </w:rPr>
          <w:t>https://doi.org/10.1016/S1514-0326(13)60003-3</w:t>
        </w:r>
      </w:hyperlink>
      <w:r>
        <w:t>.</w:t>
      </w:r>
    </w:p>
    <w:p w14:paraId="6B07953A" w14:textId="77777777" w:rsidR="0097353C" w:rsidRDefault="00000000">
      <w:bookmarkStart w:id="42" w:name="ref-chang2020"/>
      <w:bookmarkEnd w:id="41"/>
      <w:r>
        <w:t xml:space="preserve">Chang, Bisharat Hussain, Arshian Sharif, Ameenullah Aman, Norazah Mohd Suki, Asma Salman, and Syed Abdul Rehman Khan. 2020. “The Asymmetric Effects of Oil Price on Sectoral Islamic Stocks: New Evidence from Quantile-on-Quantile Regression Approach.” </w:t>
      </w:r>
      <w:r>
        <w:rPr>
          <w:i/>
          <w:iCs/>
        </w:rPr>
        <w:t>Resources Policy</w:t>
      </w:r>
      <w:r>
        <w:t xml:space="preserve"> 65: 101571.</w:t>
      </w:r>
    </w:p>
    <w:p w14:paraId="1CF4CAA2" w14:textId="77777777" w:rsidR="0097353C" w:rsidRDefault="00000000">
      <w:bookmarkStart w:id="43" w:name="ref-choi2010"/>
      <w:bookmarkEnd w:id="42"/>
      <w:r>
        <w:t xml:space="preserve">Choi, Chi-Young. 2010. “Reconsidering the Relationship Between Inflation and Relative Price Variability.” </w:t>
      </w:r>
      <w:r>
        <w:rPr>
          <w:i/>
          <w:iCs/>
        </w:rPr>
        <w:t>Journal of Money, Credit and Banking</w:t>
      </w:r>
      <w:r>
        <w:t xml:space="preserve"> 42 (5): 769–98. </w:t>
      </w:r>
      <w:hyperlink r:id="rId17">
        <w:r w:rsidR="0097353C">
          <w:rPr>
            <w:rStyle w:val="Hyperlink"/>
          </w:rPr>
          <w:t>https://doi.org/10.1111/j.1538-4616.2010.00307.x</w:t>
        </w:r>
      </w:hyperlink>
      <w:r>
        <w:t>.</w:t>
      </w:r>
    </w:p>
    <w:p w14:paraId="760E665D" w14:textId="77777777" w:rsidR="0097353C" w:rsidRDefault="00000000">
      <w:bookmarkStart w:id="44" w:name="ref-choi2011"/>
      <w:bookmarkEnd w:id="43"/>
      <w:r>
        <w:t xml:space="preserve">Choi, Chi-Young, Young Se Kim, and Róisín O’Sullivan. 2011. “Inflation Targeting and Relative Price Variability: What Difference Does Inflation Targeting Make?” </w:t>
      </w:r>
      <w:r>
        <w:rPr>
          <w:i/>
          <w:iCs/>
        </w:rPr>
        <w:t>Southern Economic Journal</w:t>
      </w:r>
      <w:r>
        <w:t xml:space="preserve"> 77 (4): 934–57. </w:t>
      </w:r>
      <w:hyperlink r:id="rId18">
        <w:r w:rsidR="0097353C">
          <w:rPr>
            <w:rStyle w:val="Hyperlink"/>
          </w:rPr>
          <w:t>https://doi.org/10.4284/0038-4038-77.4.934</w:t>
        </w:r>
      </w:hyperlink>
      <w:r>
        <w:t>.</w:t>
      </w:r>
    </w:p>
    <w:p w14:paraId="217A02DC" w14:textId="77777777" w:rsidR="0097353C" w:rsidRDefault="00000000">
      <w:bookmarkStart w:id="45" w:name="ref-cukierman1983"/>
      <w:bookmarkEnd w:id="44"/>
      <w:r>
        <w:t xml:space="preserve">Cukierman, Alex. 1983. “Relative Price Variability and Inflation: A Survey and Further Results.” In </w:t>
      </w:r>
      <w:r>
        <w:rPr>
          <w:i/>
          <w:iCs/>
        </w:rPr>
        <w:t>Carnegie-Rochester Conference Series on Public Policy</w:t>
      </w:r>
      <w:r>
        <w:t>, 19:103–57. Elsevier.</w:t>
      </w:r>
    </w:p>
    <w:p w14:paraId="60CC7C2D" w14:textId="77777777" w:rsidR="0097353C" w:rsidRDefault="00000000">
      <w:bookmarkStart w:id="46" w:name="ref-damjanovic2010"/>
      <w:bookmarkEnd w:id="45"/>
      <w:r>
        <w:t xml:space="preserve">Damjanovic, Tatiana, and Charles Nolan. 2010. “Relative Price Distortions and Inflation Persistence.” </w:t>
      </w:r>
      <w:r>
        <w:rPr>
          <w:i/>
          <w:iCs/>
        </w:rPr>
        <w:t>The Economic Journal</w:t>
      </w:r>
      <w:r>
        <w:t xml:space="preserve"> 120 (547): 1080–99.</w:t>
      </w:r>
    </w:p>
    <w:p w14:paraId="1FC4A46A" w14:textId="77777777" w:rsidR="0097353C" w:rsidRDefault="00000000">
      <w:bookmarkStart w:id="47" w:name="ref-diercks2019"/>
      <w:bookmarkEnd w:id="46"/>
      <w:r>
        <w:t xml:space="preserve">Diercks, Anthony M. 2019. “The Reader’s Guide to Optimal Monetary Policy.” </w:t>
      </w:r>
      <w:r>
        <w:rPr>
          <w:i/>
          <w:iCs/>
        </w:rPr>
        <w:t>Available at SSRN 2989237</w:t>
      </w:r>
      <w:r>
        <w:t>.</w:t>
      </w:r>
    </w:p>
    <w:p w14:paraId="55E436B8" w14:textId="77777777" w:rsidR="0097353C" w:rsidRDefault="00000000">
      <w:bookmarkStart w:id="48" w:name="ref-durand2023"/>
      <w:bookmarkEnd w:id="47"/>
      <w:r>
        <w:t xml:space="preserve">Du Rand, Gideon, Hylton Hollander, and Dawie Van Lill. 2023. </w:t>
      </w:r>
      <w:r>
        <w:rPr>
          <w:i/>
          <w:iCs/>
        </w:rPr>
        <w:t>A Deep Learning Approach to Estimation of the Phillips Curve in South Africa</w:t>
      </w:r>
      <w:r>
        <w:t>. 2023/79. WIDER Working Paper.</w:t>
      </w:r>
    </w:p>
    <w:p w14:paraId="2F14243C" w14:textId="77777777" w:rsidR="0097353C" w:rsidRDefault="00000000">
      <w:bookmarkStart w:id="49" w:name="ref-fielding2000"/>
      <w:bookmarkEnd w:id="48"/>
      <w:r>
        <w:t xml:space="preserve">Fielding, David, and Paul Mizen. 2000. “Relative Price Variability and Inflation in Europe.” </w:t>
      </w:r>
      <w:r>
        <w:rPr>
          <w:i/>
          <w:iCs/>
        </w:rPr>
        <w:t>Economica</w:t>
      </w:r>
      <w:r>
        <w:t xml:space="preserve"> 67 (265): 57–78. </w:t>
      </w:r>
      <w:hyperlink r:id="rId19">
        <w:r w:rsidR="0097353C">
          <w:rPr>
            <w:rStyle w:val="Hyperlink"/>
          </w:rPr>
          <w:t>https://doi.org/10.1111/1468-0335.00195</w:t>
        </w:r>
      </w:hyperlink>
      <w:r>
        <w:t>.</w:t>
      </w:r>
    </w:p>
    <w:p w14:paraId="32BEE126" w14:textId="77777777" w:rsidR="0097353C" w:rsidRDefault="00000000">
      <w:bookmarkStart w:id="50" w:name="ref-gupta2018"/>
      <w:bookmarkEnd w:id="49"/>
      <w:r>
        <w:t xml:space="preserve">Gupta, Rangan, Christian Pierdzioch, Refk Selmi, and Mark E. Wohar. 2018. “Does Partisan Conflict Predict a Reduction in US Stock Market (Realized) Volatility? Evidence from a Quantile-on-Quantile Regression Model.” </w:t>
      </w:r>
      <w:r>
        <w:rPr>
          <w:i/>
          <w:iCs/>
        </w:rPr>
        <w:t>The North American Journal of Economics and Finance</w:t>
      </w:r>
      <w:r>
        <w:t xml:space="preserve"> 43: 87–96.</w:t>
      </w:r>
    </w:p>
    <w:p w14:paraId="5FD02FFE" w14:textId="77777777" w:rsidR="0097353C" w:rsidRDefault="00000000">
      <w:bookmarkStart w:id="51" w:name="ref-head2005"/>
      <w:bookmarkEnd w:id="50"/>
      <w:r>
        <w:t xml:space="preserve">Head, Allen, and Alok Kumar. 2005. “Price Dispersion, Inflation, and Welfare.” </w:t>
      </w:r>
      <w:r>
        <w:rPr>
          <w:i/>
          <w:iCs/>
        </w:rPr>
        <w:t>International Economic Review</w:t>
      </w:r>
      <w:r>
        <w:t xml:space="preserve"> 46 (2): 533–72. </w:t>
      </w:r>
      <w:hyperlink r:id="rId20">
        <w:r w:rsidR="0097353C">
          <w:rPr>
            <w:rStyle w:val="Hyperlink"/>
          </w:rPr>
          <w:t>https://doi.org/10.1111/j.1468-2354.2005.00333.x</w:t>
        </w:r>
      </w:hyperlink>
      <w:r>
        <w:t>.</w:t>
      </w:r>
    </w:p>
    <w:p w14:paraId="50CDFE29" w14:textId="77777777" w:rsidR="0097353C" w:rsidRDefault="00000000">
      <w:bookmarkStart w:id="52" w:name="ref-hercowitz1981"/>
      <w:bookmarkEnd w:id="51"/>
      <w:r>
        <w:t xml:space="preserve">Hercowitz, Zvi. 1981. “Money and the Dispersion of Relative Prices.” </w:t>
      </w:r>
      <w:r>
        <w:rPr>
          <w:i/>
          <w:iCs/>
        </w:rPr>
        <w:t>Journal of Political Economy</w:t>
      </w:r>
      <w:r>
        <w:t xml:space="preserve"> 89 (2): 328–56. </w:t>
      </w:r>
      <w:hyperlink r:id="rId21">
        <w:r w:rsidR="0097353C">
          <w:rPr>
            <w:rStyle w:val="Hyperlink"/>
          </w:rPr>
          <w:t>https://doi.org/10.1086/260968</w:t>
        </w:r>
      </w:hyperlink>
      <w:r>
        <w:t>.</w:t>
      </w:r>
    </w:p>
    <w:p w14:paraId="099C5166" w14:textId="77777777" w:rsidR="0097353C" w:rsidRDefault="00000000">
      <w:bookmarkStart w:id="53" w:name="ref-hornstein2024"/>
      <w:bookmarkEnd w:id="52"/>
      <w:r>
        <w:t xml:space="preserve">Hornstein, Andreas, Francisco J. Ruge-Murcia, and Alexander L. Wolman. 2024. “The </w:t>
      </w:r>
      <w:r>
        <w:lastRenderedPageBreak/>
        <w:t>Relationship Between Inflation and the Distribution of Relative Price Changes.”</w:t>
      </w:r>
    </w:p>
    <w:p w14:paraId="4CEB7C1D" w14:textId="77777777" w:rsidR="0097353C" w:rsidRDefault="00000000">
      <w:bookmarkStart w:id="54" w:name="ref-koenker2017"/>
      <w:bookmarkEnd w:id="53"/>
      <w:r>
        <w:t xml:space="preserve">Koenker, Roger. 2017. “Quantile Regression: 40 Years On.” </w:t>
      </w:r>
      <w:r>
        <w:rPr>
          <w:i/>
          <w:iCs/>
        </w:rPr>
        <w:t>Annual Review of Economics</w:t>
      </w:r>
      <w:r>
        <w:t xml:space="preserve"> 9 (1): 155–76. </w:t>
      </w:r>
      <w:hyperlink r:id="rId22">
        <w:r w:rsidR="0097353C">
          <w:rPr>
            <w:rStyle w:val="Hyperlink"/>
          </w:rPr>
          <w:t>https://doi.org/10.1146/annurev-economics-063016-103651</w:t>
        </w:r>
      </w:hyperlink>
      <w:r>
        <w:t>.</w:t>
      </w:r>
    </w:p>
    <w:p w14:paraId="01053802" w14:textId="77777777" w:rsidR="0097353C" w:rsidRDefault="00000000">
      <w:bookmarkStart w:id="55" w:name="ref-koenker1978a"/>
      <w:bookmarkEnd w:id="54"/>
      <w:r>
        <w:t xml:space="preserve">Koenker, Roger, and Gilbert Bassett Jr. 1978. “Regression Quantiles.” </w:t>
      </w:r>
      <w:r>
        <w:rPr>
          <w:i/>
          <w:iCs/>
        </w:rPr>
        <w:t>Econometrica: Journal of the Econometric Society</w:t>
      </w:r>
      <w:r>
        <w:t xml:space="preserve">, 33–50. </w:t>
      </w:r>
      <w:hyperlink r:id="rId23">
        <w:r w:rsidR="0097353C">
          <w:rPr>
            <w:rStyle w:val="Hyperlink"/>
          </w:rPr>
          <w:t>https://www.jstor.org/stable/1913643</w:t>
        </w:r>
      </w:hyperlink>
      <w:r>
        <w:t>.</w:t>
      </w:r>
    </w:p>
    <w:p w14:paraId="4042658A" w14:textId="77777777" w:rsidR="0097353C" w:rsidRDefault="00000000">
      <w:bookmarkStart w:id="56" w:name="ref-lach1992"/>
      <w:bookmarkEnd w:id="55"/>
      <w:r>
        <w:t xml:space="preserve">Lach, Saul, and Daniel Tsiddon. 1992. “The Behavior of Prices and Inflation: An Empirical Analysis of Disaggregat Price Data.” </w:t>
      </w:r>
      <w:r>
        <w:rPr>
          <w:i/>
          <w:iCs/>
        </w:rPr>
        <w:t>Journal of Political Economy</w:t>
      </w:r>
      <w:r>
        <w:t xml:space="preserve"> 100 (2): 349–89. </w:t>
      </w:r>
      <w:hyperlink r:id="rId24">
        <w:r w:rsidR="0097353C">
          <w:rPr>
            <w:rStyle w:val="Hyperlink"/>
          </w:rPr>
          <w:t>https://doi.org/10.1086/261821</w:t>
        </w:r>
      </w:hyperlink>
      <w:r>
        <w:t>.</w:t>
      </w:r>
    </w:p>
    <w:p w14:paraId="4E3E3D8B" w14:textId="77777777" w:rsidR="0097353C" w:rsidRDefault="00000000">
      <w:bookmarkStart w:id="57" w:name="ref-lucas1973"/>
      <w:bookmarkEnd w:id="56"/>
      <w:r>
        <w:t xml:space="preserve">Lucas, Robert E. 1973. “Some International Evidence on Output-Inflation Tradeoffs.” </w:t>
      </w:r>
      <w:r>
        <w:rPr>
          <w:i/>
          <w:iCs/>
        </w:rPr>
        <w:t>The American Economic Review</w:t>
      </w:r>
      <w:r>
        <w:t xml:space="preserve"> 63 (3): 326–34. </w:t>
      </w:r>
      <w:hyperlink r:id="rId25">
        <w:r w:rsidR="0097353C">
          <w:rPr>
            <w:rStyle w:val="Hyperlink"/>
          </w:rPr>
          <w:t>https://www.jstor.org/stable/1914364</w:t>
        </w:r>
      </w:hyperlink>
      <w:r>
        <w:t>.</w:t>
      </w:r>
    </w:p>
    <w:p w14:paraId="44CBDDB4" w14:textId="77777777" w:rsidR="0097353C" w:rsidRDefault="00000000">
      <w:bookmarkStart w:id="58" w:name="ref-mishra2019"/>
      <w:bookmarkEnd w:id="57"/>
      <w:r>
        <w:t xml:space="preserve">Mishra, Shekhar, Arshian Sharif, Sashikanta Khuntia, Muhammad Saeed Meo, and Syed Abdul Rehman Khan. 2019. “Does Oil Prices Impede Islamic Stock Indices? Fresh Insights from Wavelet-Based Quantile-on-Quantile Approach.” </w:t>
      </w:r>
      <w:r>
        <w:rPr>
          <w:i/>
          <w:iCs/>
        </w:rPr>
        <w:t>Resources Policy</w:t>
      </w:r>
      <w:r>
        <w:t xml:space="preserve"> 62: 292–304.</w:t>
      </w:r>
    </w:p>
    <w:p w14:paraId="5C0524EC" w14:textId="77777777" w:rsidR="0097353C" w:rsidRDefault="00000000">
      <w:bookmarkStart w:id="59" w:name="ref-moessner2020"/>
      <w:bookmarkEnd w:id="58"/>
      <w:r>
        <w:t>Moessner, Richhild, and El\Hod Takáts. 2020. “How Well-Anchored Are Long-Term Inflation Expectations?”</w:t>
      </w:r>
    </w:p>
    <w:p w14:paraId="4C66461A" w14:textId="77777777" w:rsidR="0097353C" w:rsidRDefault="00000000">
      <w:bookmarkStart w:id="60" w:name="ref-nakamura2018"/>
      <w:bookmarkEnd w:id="59"/>
      <w:r>
        <w:t xml:space="preserve">Nakamura, Emi, Jón Steinsson, Patrick Sun, and Daniel Villar. 2018. “The Elusive Costs of Inflation: Price Dispersion During the US Great Inflation.” </w:t>
      </w:r>
      <w:r>
        <w:rPr>
          <w:i/>
          <w:iCs/>
        </w:rPr>
        <w:t>The Quarterly Journal of Economics</w:t>
      </w:r>
      <w:r>
        <w:t xml:space="preserve"> 133 (4): 1933–80.</w:t>
      </w:r>
    </w:p>
    <w:p w14:paraId="0A9C4185" w14:textId="77777777" w:rsidR="0097353C" w:rsidRDefault="00000000">
      <w:bookmarkStart w:id="61" w:name="ref-ndou2017"/>
      <w:bookmarkEnd w:id="60"/>
      <w:r>
        <w:t xml:space="preserve">Ndou, Eliphas, and Nombulelo Gumata. 2017. </w:t>
      </w:r>
      <w:r>
        <w:rPr>
          <w:i/>
          <w:iCs/>
        </w:rPr>
        <w:t>Inflation Dynamics in South Africa: The Role of Thresholds, Exchange Rate Pass-Through and Inflation Expectations on Policy Trade-Offs</w:t>
      </w:r>
      <w:r>
        <w:t>. Springer.</w:t>
      </w:r>
    </w:p>
    <w:p w14:paraId="278A3846" w14:textId="77777777" w:rsidR="0097353C" w:rsidRDefault="00000000">
      <w:bookmarkStart w:id="62" w:name="ref-ndou2014"/>
      <w:bookmarkEnd w:id="61"/>
      <w:r>
        <w:t xml:space="preserve">Ndou, Eliphas, and Siobhan Redford. 2014. “Relative Price Variability: Which Components of the Consumer Price Index Contribute Towards Its Variability?” </w:t>
      </w:r>
      <w:r>
        <w:rPr>
          <w:i/>
          <w:iCs/>
        </w:rPr>
        <w:t>South African Reserve Bank Working Paper Series</w:t>
      </w:r>
      <w:r>
        <w:t>.</w:t>
      </w:r>
    </w:p>
    <w:p w14:paraId="7C9DAEAA" w14:textId="77777777" w:rsidR="0097353C" w:rsidRDefault="00000000">
      <w:bookmarkStart w:id="63" w:name="ref-robinson1988a"/>
      <w:bookmarkEnd w:id="62"/>
      <w:r>
        <w:lastRenderedPageBreak/>
        <w:t xml:space="preserve">Robinson, Peter M. 1988. “Root-N-consistent Semiparametric Regression.” </w:t>
      </w:r>
      <w:r>
        <w:rPr>
          <w:i/>
          <w:iCs/>
        </w:rPr>
        <w:t>Econometrica: Journal of the Econometric Society</w:t>
      </w:r>
      <w:r>
        <w:t xml:space="preserve">, 931–54. </w:t>
      </w:r>
      <w:hyperlink r:id="rId26">
        <w:r w:rsidR="0097353C">
          <w:rPr>
            <w:rStyle w:val="Hyperlink"/>
          </w:rPr>
          <w:t>https://www.jstor.org/stable/1912705</w:t>
        </w:r>
      </w:hyperlink>
      <w:r>
        <w:t>.</w:t>
      </w:r>
    </w:p>
    <w:p w14:paraId="4842BCC6" w14:textId="77777777" w:rsidR="0097353C" w:rsidRDefault="00000000">
      <w:bookmarkStart w:id="64" w:name="ref-rotemberg1983"/>
      <w:bookmarkEnd w:id="63"/>
      <w:r>
        <w:t xml:space="preserve">Rotemberg, Julio J. 1983. “Aggregate Consequences of Fixed Costs of Price Adjustment.” </w:t>
      </w:r>
      <w:r>
        <w:rPr>
          <w:i/>
          <w:iCs/>
        </w:rPr>
        <w:t>The American Economic Review</w:t>
      </w:r>
      <w:r>
        <w:t xml:space="preserve"> 73 (3): 433–36. </w:t>
      </w:r>
      <w:hyperlink r:id="rId27">
        <w:r w:rsidR="0097353C">
          <w:rPr>
            <w:rStyle w:val="Hyperlink"/>
          </w:rPr>
          <w:t>https://www.jstor.org/stable/1808128</w:t>
        </w:r>
      </w:hyperlink>
      <w:r>
        <w:t>.</w:t>
      </w:r>
    </w:p>
    <w:p w14:paraId="4350CBED" w14:textId="77777777" w:rsidR="0097353C" w:rsidRDefault="00000000">
      <w:bookmarkStart w:id="65" w:name="ref-sara-zaror2024"/>
      <w:bookmarkEnd w:id="64"/>
      <w:r>
        <w:t xml:space="preserve">Sara-Zaror, Francisca. 2024. “Inflation, Price Dispersion, and Welfare: The Role of Consumer Search.” </w:t>
      </w:r>
      <w:r>
        <w:rPr>
          <w:i/>
          <w:iCs/>
        </w:rPr>
        <w:t>Available at SSRN 4127502</w:t>
      </w:r>
      <w:r>
        <w:t>.</w:t>
      </w:r>
    </w:p>
    <w:p w14:paraId="0DAC0E54" w14:textId="77777777" w:rsidR="0097353C" w:rsidRDefault="00000000">
      <w:bookmarkStart w:id="66" w:name="ref-sheshinki1979"/>
      <w:bookmarkEnd w:id="65"/>
      <w:r>
        <w:t xml:space="preserve">Sheshinski, Eytan, and Yoram Weiss. 1979. “Demand for Fixed Factors, Inflation and Adjustment Costs.” </w:t>
      </w:r>
      <w:r>
        <w:rPr>
          <w:i/>
          <w:iCs/>
        </w:rPr>
        <w:t>The Review of Economic Studies</w:t>
      </w:r>
      <w:r>
        <w:t xml:space="preserve"> 46 (1): 31–45.</w:t>
      </w:r>
    </w:p>
    <w:p w14:paraId="1CAE6E15" w14:textId="77777777" w:rsidR="0097353C" w:rsidRDefault="00000000">
      <w:bookmarkStart w:id="67" w:name="ref-sheshinski1983"/>
      <w:bookmarkEnd w:id="66"/>
      <w:r>
        <w:t xml:space="preserve">———. 1983. “Optimum Pricing Policy Under Stochastic Inflation.” </w:t>
      </w:r>
      <w:r>
        <w:rPr>
          <w:i/>
          <w:iCs/>
        </w:rPr>
        <w:t>The Review of Economic Studies</w:t>
      </w:r>
      <w:r>
        <w:t xml:space="preserve"> 50 (3): 513–29.</w:t>
      </w:r>
    </w:p>
    <w:p w14:paraId="6AC1CCA1" w14:textId="77777777" w:rsidR="0097353C" w:rsidRDefault="00000000">
      <w:bookmarkStart w:id="68" w:name="ref-sim2016"/>
      <w:bookmarkEnd w:id="67"/>
      <w:r>
        <w:t xml:space="preserve">Sim, Nicholas. 2016. “Modeling the Dependence Structures of Financial Assets Through the Copula Quantile-on-Quantile Approach.” </w:t>
      </w:r>
      <w:r>
        <w:rPr>
          <w:i/>
          <w:iCs/>
        </w:rPr>
        <w:t>International Review of Financial Analysis</w:t>
      </w:r>
      <w:r>
        <w:t xml:space="preserve"> 48: 31–45.</w:t>
      </w:r>
    </w:p>
    <w:p w14:paraId="0F10D5A0" w14:textId="77777777" w:rsidR="00F82FAD" w:rsidRDefault="00F82FAD">
      <w:pPr>
        <w:widowControl/>
        <w:tabs>
          <w:tab w:val="clear" w:pos="170"/>
        </w:tabs>
        <w:autoSpaceDE/>
        <w:autoSpaceDN/>
        <w:spacing w:after="160" w:line="259" w:lineRule="auto"/>
        <w:jc w:val="left"/>
        <w:rPr>
          <w:rFonts w:eastAsia="Arial" w:cs="Arial"/>
          <w:b/>
          <w:bCs/>
          <w:szCs w:val="24"/>
        </w:rPr>
      </w:pPr>
      <w:bookmarkStart w:id="69" w:name="appendix-data-and-descriptive-statistics"/>
      <w:bookmarkEnd w:id="32"/>
      <w:bookmarkEnd w:id="34"/>
      <w:bookmarkEnd w:id="68"/>
      <w:r>
        <w:br w:type="page"/>
      </w:r>
    </w:p>
    <w:p w14:paraId="27D434C0" w14:textId="7924AD14" w:rsidR="0097353C" w:rsidRDefault="00000000">
      <w:pPr>
        <w:pStyle w:val="Heading1"/>
      </w:pPr>
      <w:r>
        <w:lastRenderedPageBreak/>
        <w:t>Appendix: Data and descriptive statistics</w:t>
      </w:r>
    </w:p>
    <w:p w14:paraId="12F871AF" w14:textId="77777777" w:rsidR="0097353C" w:rsidRDefault="00000000">
      <w:pPr>
        <w:pStyle w:val="Heading2"/>
      </w:pPr>
      <w:bookmarkStart w:id="70" w:name="data"/>
      <w:r>
        <w:t>Data</w:t>
      </w:r>
    </w:p>
    <w:tbl>
      <w:tblPr>
        <w:tblW w:w="5000" w:type="pct"/>
        <w:tblLayout w:type="fixed"/>
        <w:tblLook w:val="0000" w:firstRow="0" w:lastRow="0" w:firstColumn="0" w:lastColumn="0" w:noHBand="0" w:noVBand="0"/>
      </w:tblPr>
      <w:tblGrid>
        <w:gridCol w:w="9071"/>
      </w:tblGrid>
      <w:tr w:rsidR="0097353C" w14:paraId="510BE516" w14:textId="77777777">
        <w:tc>
          <w:tcPr>
            <w:tcW w:w="7920" w:type="dxa"/>
          </w:tcPr>
          <w:p w14:paraId="602E086F" w14:textId="77777777" w:rsidR="0097353C" w:rsidRDefault="00000000">
            <w:pPr>
              <w:jc w:val="center"/>
            </w:pPr>
            <w:bookmarkStart w:id="71" w:name="fig-headline_inflation"/>
            <w:r>
              <w:rPr>
                <w:noProof/>
              </w:rPr>
              <w:drawing>
                <wp:inline distT="0" distB="0" distL="0" distR="0" wp14:anchorId="5A70FABA" wp14:editId="3B4F9AC5">
                  <wp:extent cx="5753100" cy="2157412"/>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inflation_relative_price_variance_files/figure-docx/fig-headline_inflation-1.png"/>
                          <pic:cNvPicPr>
                            <a:picLocks noChangeAspect="1" noChangeArrowheads="1"/>
                          </pic:cNvPicPr>
                        </pic:nvPicPr>
                        <pic:blipFill>
                          <a:blip r:embed="rId28"/>
                          <a:stretch>
                            <a:fillRect/>
                          </a:stretch>
                        </pic:blipFill>
                        <pic:spPr bwMode="auto">
                          <a:xfrm>
                            <a:off x="0" y="0"/>
                            <a:ext cx="5753100" cy="2157412"/>
                          </a:xfrm>
                          <a:prstGeom prst="rect">
                            <a:avLst/>
                          </a:prstGeom>
                          <a:noFill/>
                          <a:ln w="9525">
                            <a:noFill/>
                            <a:headEnd/>
                            <a:tailEnd/>
                          </a:ln>
                        </pic:spPr>
                      </pic:pic>
                    </a:graphicData>
                  </a:graphic>
                </wp:inline>
              </w:drawing>
            </w:r>
          </w:p>
          <w:p w14:paraId="61067D90" w14:textId="77777777" w:rsidR="0097353C" w:rsidRDefault="00000000">
            <w:pPr>
              <w:spacing w:before="200"/>
              <w:jc w:val="left"/>
            </w:pPr>
            <w:r>
              <w:t>Figure 9: Headline inflation (%).</w:t>
            </w:r>
          </w:p>
        </w:tc>
        <w:bookmarkEnd w:id="71"/>
      </w:tr>
      <w:tr w:rsidR="0097353C" w14:paraId="3A162D14" w14:textId="77777777">
        <w:tc>
          <w:tcPr>
            <w:tcW w:w="7920" w:type="dxa"/>
          </w:tcPr>
          <w:p w14:paraId="50606CC9" w14:textId="77777777" w:rsidR="0097353C" w:rsidRDefault="00000000">
            <w:pPr>
              <w:jc w:val="center"/>
            </w:pPr>
            <w:bookmarkStart w:id="72" w:name="fig-price_data"/>
            <w:r>
              <w:rPr>
                <w:noProof/>
              </w:rPr>
              <w:lastRenderedPageBreak/>
              <w:drawing>
                <wp:inline distT="0" distB="0" distL="0" distR="0" wp14:anchorId="77F1524D" wp14:editId="7FEF52E6">
                  <wp:extent cx="5753100" cy="6472237"/>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inflation_relative_price_variance_files/figure-docx/fig-price_data-1.png"/>
                          <pic:cNvPicPr>
                            <a:picLocks noChangeAspect="1" noChangeArrowheads="1"/>
                          </pic:cNvPicPr>
                        </pic:nvPicPr>
                        <pic:blipFill>
                          <a:blip r:embed="rId29"/>
                          <a:stretch>
                            <a:fillRect/>
                          </a:stretch>
                        </pic:blipFill>
                        <pic:spPr bwMode="auto">
                          <a:xfrm>
                            <a:off x="0" y="0"/>
                            <a:ext cx="5753100" cy="6472237"/>
                          </a:xfrm>
                          <a:prstGeom prst="rect">
                            <a:avLst/>
                          </a:prstGeom>
                          <a:noFill/>
                          <a:ln w="9525">
                            <a:noFill/>
                            <a:headEnd/>
                            <a:tailEnd/>
                          </a:ln>
                        </pic:spPr>
                      </pic:pic>
                    </a:graphicData>
                  </a:graphic>
                </wp:inline>
              </w:drawing>
            </w:r>
          </w:p>
          <w:p w14:paraId="1E3A3529" w14:textId="77777777" w:rsidR="0097353C" w:rsidRDefault="00000000">
            <w:pPr>
              <w:spacing w:before="200"/>
              <w:jc w:val="left"/>
            </w:pPr>
            <w:r>
              <w:t>Figure 10: Inflation categories (%)</w:t>
            </w:r>
          </w:p>
        </w:tc>
        <w:bookmarkEnd w:id="72"/>
      </w:tr>
      <w:tr w:rsidR="0097353C" w14:paraId="7D2157C8" w14:textId="77777777">
        <w:tc>
          <w:tcPr>
            <w:tcW w:w="7920" w:type="dxa"/>
          </w:tcPr>
          <w:p w14:paraId="7FCC212B" w14:textId="77777777" w:rsidR="0097353C" w:rsidRDefault="00000000">
            <w:pPr>
              <w:jc w:val="center"/>
            </w:pPr>
            <w:bookmarkStart w:id="73" w:name="fig-weights"/>
            <w:r>
              <w:rPr>
                <w:noProof/>
              </w:rPr>
              <w:lastRenderedPageBreak/>
              <w:drawing>
                <wp:inline distT="0" distB="0" distL="0" distR="0" wp14:anchorId="1B4C3638" wp14:editId="55C8D523">
                  <wp:extent cx="5753100" cy="3595687"/>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inflation_relative_price_variance_files/figure-docx/fig-weights-1.png"/>
                          <pic:cNvPicPr>
                            <a:picLocks noChangeAspect="1" noChangeArrowheads="1"/>
                          </pic:cNvPicPr>
                        </pic:nvPicPr>
                        <pic:blipFill>
                          <a:blip r:embed="rId30"/>
                          <a:stretch>
                            <a:fillRect/>
                          </a:stretch>
                        </pic:blipFill>
                        <pic:spPr bwMode="auto">
                          <a:xfrm>
                            <a:off x="0" y="0"/>
                            <a:ext cx="5753100" cy="3595687"/>
                          </a:xfrm>
                          <a:prstGeom prst="rect">
                            <a:avLst/>
                          </a:prstGeom>
                          <a:noFill/>
                          <a:ln w="9525">
                            <a:noFill/>
                            <a:headEnd/>
                            <a:tailEnd/>
                          </a:ln>
                        </pic:spPr>
                      </pic:pic>
                    </a:graphicData>
                  </a:graphic>
                </wp:inline>
              </w:drawing>
            </w:r>
          </w:p>
          <w:p w14:paraId="552164B5" w14:textId="77777777" w:rsidR="0097353C" w:rsidRDefault="00000000">
            <w:pPr>
              <w:spacing w:before="200"/>
              <w:jc w:val="left"/>
            </w:pPr>
            <w:r>
              <w:t>Figure 11: CPI Weights. Note: Due to a lack of data, some categories (no spitirits; transport services of goods; household textiles; glassware,tableware, and house utensils; and Tools and equipment for house and garden) have been excluded.</w:t>
            </w:r>
          </w:p>
        </w:tc>
        <w:bookmarkEnd w:id="73"/>
      </w:tr>
    </w:tbl>
    <w:p w14:paraId="0331804E" w14:textId="77777777" w:rsidR="0097353C" w:rsidRDefault="00000000">
      <w:r>
        <w:br w:type="page"/>
      </w:r>
    </w:p>
    <w:p w14:paraId="1D13F25A" w14:textId="77777777" w:rsidR="0097353C" w:rsidRDefault="00000000">
      <w:pPr>
        <w:pStyle w:val="Heading2"/>
      </w:pPr>
      <w:bookmarkStart w:id="74" w:name="descriptive-statistics"/>
      <w:bookmarkEnd w:id="70"/>
      <w:r>
        <w:lastRenderedPageBreak/>
        <w:t>Descriptive statistics</w:t>
      </w:r>
    </w:p>
    <w:tbl>
      <w:tblPr>
        <w:tblW w:w="5000" w:type="pct"/>
        <w:tblLayout w:type="fixed"/>
        <w:tblLook w:val="0000" w:firstRow="0" w:lastRow="0" w:firstColumn="0" w:lastColumn="0" w:noHBand="0" w:noVBand="0"/>
      </w:tblPr>
      <w:tblGrid>
        <w:gridCol w:w="9071"/>
      </w:tblGrid>
      <w:tr w:rsidR="0097353C" w14:paraId="64C77B35" w14:textId="77777777">
        <w:tc>
          <w:tcPr>
            <w:tcW w:w="7920" w:type="dxa"/>
          </w:tcPr>
          <w:p w14:paraId="21451B26" w14:textId="77777777" w:rsidR="0097353C" w:rsidRDefault="00000000">
            <w:pPr>
              <w:spacing w:before="200"/>
              <w:jc w:val="left"/>
            </w:pPr>
            <w:bookmarkStart w:id="75" w:name="tbl-descriptive_stats"/>
            <w:r>
              <w:t>Table 2: Descriptive statistics</w:t>
            </w:r>
          </w:p>
          <w:tbl>
            <w:tblPr>
              <w:tblW w:w="0" w:type="auto"/>
              <w:tblLayout w:type="fixed"/>
              <w:tblLook w:val="0420" w:firstRow="1" w:lastRow="0" w:firstColumn="0" w:lastColumn="0" w:noHBand="0" w:noVBand="1"/>
            </w:tblPr>
            <w:tblGrid>
              <w:gridCol w:w="3699"/>
              <w:gridCol w:w="664"/>
              <w:gridCol w:w="726"/>
              <w:gridCol w:w="617"/>
              <w:gridCol w:w="664"/>
              <w:gridCol w:w="617"/>
              <w:gridCol w:w="1091"/>
            </w:tblGrid>
            <w:tr w:rsidR="0097353C" w14:paraId="256F5F02" w14:textId="77777777">
              <w:trPr>
                <w:tblHeader/>
              </w:trPr>
              <w:tc>
                <w:tcPr>
                  <w:tcW w:w="3699"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32F50F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category</w:t>
                  </w:r>
                </w:p>
              </w:tc>
              <w:tc>
                <w:tcPr>
                  <w:tcW w:w="664"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9426E4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Mean</w:t>
                  </w:r>
                </w:p>
              </w:tc>
              <w:tc>
                <w:tcPr>
                  <w:tcW w:w="726"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48E2D9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Median</w:t>
                  </w:r>
                </w:p>
              </w:tc>
              <w:tc>
                <w:tcPr>
                  <w:tcW w:w="617"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D785E9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SD</w:t>
                  </w:r>
                </w:p>
              </w:tc>
              <w:tc>
                <w:tcPr>
                  <w:tcW w:w="664"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DD2759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Min</w:t>
                  </w:r>
                </w:p>
              </w:tc>
              <w:tc>
                <w:tcPr>
                  <w:tcW w:w="617"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DF50EE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Max</w:t>
                  </w:r>
                </w:p>
              </w:tc>
              <w:tc>
                <w:tcPr>
                  <w:tcW w:w="1091"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D4A461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Observations</w:t>
                  </w:r>
                </w:p>
              </w:tc>
            </w:tr>
            <w:tr w:rsidR="0097353C" w14:paraId="362A9DEA" w14:textId="77777777">
              <w:tc>
                <w:tcPr>
                  <w:tcW w:w="3699"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9C9F3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Accommodation services</w:t>
                  </w:r>
                </w:p>
              </w:tc>
              <w:tc>
                <w:tcPr>
                  <w:tcW w:w="664"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95433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4.47</w:t>
                  </w:r>
                </w:p>
              </w:tc>
              <w:tc>
                <w:tcPr>
                  <w:tcW w:w="726"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3FA7C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4.55</w:t>
                  </w:r>
                </w:p>
              </w:tc>
              <w:tc>
                <w:tcPr>
                  <w:tcW w:w="617"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15977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4.43</w:t>
                  </w:r>
                </w:p>
              </w:tc>
              <w:tc>
                <w:tcPr>
                  <w:tcW w:w="664"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5FFC2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617"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1595B2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20.79</w:t>
                  </w:r>
                </w:p>
              </w:tc>
              <w:tc>
                <w:tcPr>
                  <w:tcW w:w="1091"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0AD21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04FDF20"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F8E08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Actual rentals for housing</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C9FED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4.03</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437F7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DB28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36A4A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557A30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16809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8762763"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32F7FE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Appliances, tableware and equipment</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4B94D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9AF4D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9AF2F7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3.93</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BC1EB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F3982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16.97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207D5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2E48F560"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D1C93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Beer</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2060E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323A5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F3D1F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CB1F2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7762B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13.19</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12621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F3C0027"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FA3D9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Cereal products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18A76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DB48C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83C7D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96833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355F8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27.78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9D9A7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7AE7840"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DEBD1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Clothing</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09355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3.06</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4FE23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A5ED6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1.63</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91AD0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A80E9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443B9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730133A8"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48272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Cold beverages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12352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5.51</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8E891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2E025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2.69</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1D568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-0.76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8CF0A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13.59</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F9035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D96C0A2"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27B03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Electricity and other fuels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9EFA8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11.78</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FDE5C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641FB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2179F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509AF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30.99</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561CA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6D2945E"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68F20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Financial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18BA1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5.82</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A8319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5.43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8345E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2.96</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1D4C8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0D342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20.00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95971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ED276BD"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929E6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Fish and other seafood</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D3E7D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6.54</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71870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552D2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3.22</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B1C0F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45342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20.74</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EF77C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74989AF8"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22170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Footwear</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D9AC9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2.45</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BE5F3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56A1D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8B49B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97A31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583FE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3F39153"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7E075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Fruit and nuts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EB859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4.75</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6FEF0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531DA3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6.16</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8CBDA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53A0E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25.36</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51A35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37E9104"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1B05D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Fuel</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BB665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6.51</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51E6A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7.33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0A86B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15.01</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DEB92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-26.78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70E5A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56.28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2625A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5D6A890"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8E262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Furniture, furnishings and carpets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59E4D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-1.42</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AC8A3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3FE4E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3C77B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C9512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3AAB9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1AEC42A"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0D5FD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and services for routine household maintenance</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21EE6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4.88</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C2D91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0EA60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1.44</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03A18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5862C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9.03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D14E1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79B549A"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A8756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Health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AD74D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69512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5BEDB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BC1C9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A197C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10.65</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48D18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F8DAB29"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097DF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Hot beverages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33889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0CB4D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838D9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5.98</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DB425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8C690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33.08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A5392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3D7E5E2"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C2D9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equipment</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9EEBA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-12.55</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C2422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71852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6.61</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0DE3B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E4AB7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9927D2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8270206"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9AE91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ECF6F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CB32E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6BB0B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67213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1711DE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96181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AFA8FBC"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85679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Insurance</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E3C34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7.19</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7C84AB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7.51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E673D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F5FB0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AB4CA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12.68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A85CB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585BA694"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68E74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Maintenance and repairs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7E642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4.09</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D58E6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C3E10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2.84</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9C8F7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381AA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17.53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6427E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EF39832"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12578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Meat</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B5A99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6.20</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38F3B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EB24E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F36ED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EFD51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16.67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CDD86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77D15B9"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22998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Medicines and health products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68579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5.05</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F5E2C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099D5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2.31</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E71E6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85330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15.53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043BF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2F94083C"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B72D6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Milk, other dairy products and eggs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54AD8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92760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C6BDC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96BC0A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CAB17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060FA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799F308B"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0CBBF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Newspapers, books and stationery</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93C83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6.81</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75163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E1F7D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3.03</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EE1EB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1C447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7C679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5A76DBB9"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164E2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Oils and fats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C09F6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B03B0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D4C0F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FB027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-14.55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9A876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37.67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49D4D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AA048C8"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D83B1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food</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5F0CD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7C4BC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73E98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4.00</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D3EBB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0794D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18.83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E6CF0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787511B"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14FE6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70251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4.28</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4B7FE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76B9A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BC20D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45B42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19.47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1CE4E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7F991841"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3F601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Owners' equivalent rent</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5504D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3.69</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A709A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299D2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7E294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0228F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E9561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AFBCE8D"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447CA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Package holidays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6E38D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1.14</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86FF0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F2532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7.23</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6C23E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AA4BF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24.37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31A7B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EACF415"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92FE48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lastRenderedPageBreak/>
                    <w:t>Passenger transport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5F82F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2EEDE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68AF8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2278F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87EBB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23.67</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6B47C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A11CE4C"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1CA73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Personal care</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47BDC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4.51</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492CA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3.86</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41D71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3.68</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E51C1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747C7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15.93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D8E68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494E4AE"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2404F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Primary and secondary education</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E02D6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7.60</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3AE44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53FDB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1.98</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39165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1BF98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11.80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4080A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5DAD53A5"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15C8C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Purchase of vehicles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C3F41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3.66</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57753D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D76DB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99CC6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43055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9.28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310C2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A88F557"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6EC26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Recreational and cultural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258F2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4F10CC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83164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4.64</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F9F37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FED28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21.58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DEA5B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7E292E49"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38CE7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Restaurants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55680F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9EE26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0F66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DA2EA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3C96F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780A2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61BE8231"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E19D5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Spirits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5E890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6.15</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C54C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0DDBD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2.14</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B8B19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827EF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12.79</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4DCD0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7B04E611"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95820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Sugar, confectionary and desserts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AABD9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8.51</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37D1F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7E226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5.06</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FBB6F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3A810B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21.61</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96A35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F9FE198"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FB137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Tertiary education</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2758E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6.48</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89B1F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7D1EB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2.52</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10C92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0168C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9.85</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1DA06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2ED7463F"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9E4AF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Tobacco</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AE381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AAFF8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319E63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3.44</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A09AD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6167C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18.58</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D6005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E177696"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3AEAD7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Vegetables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425CA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6.89</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E8DD5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7F28D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6.65</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4DC33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465D3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23.59</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739B3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0C1B8BAF"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2D22E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Water supply and miscellaneous services</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A0933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7.77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3B9D2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8.02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08157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1.79</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2D4B1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4.38</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A622F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11.23</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98705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52059753"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CA81A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Wine</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DBDB2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731C9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1CBA4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1.68</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220A9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FCCE1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10.35</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7B51FF"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5FF94E7A"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8B366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coreinfl</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B1D7F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B614F0"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4E139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1.13</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52E1A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2.50</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A85E72"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8.46</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3C28E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054BAAD"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44792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hinfl</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E7ECE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5.13</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778AB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118EE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A440D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5904F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8.41</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FADA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4A8338D7" w14:textId="77777777">
              <w:tc>
                <w:tcPr>
                  <w:tcW w:w="3699"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8A59B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other_op_pers_trans_equip</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A167C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5.37</w:t>
                  </w:r>
                </w:p>
              </w:tc>
              <w:tc>
                <w:tcPr>
                  <w:tcW w:w="726"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17E98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4.94</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66D9E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2.44</w:t>
                  </w:r>
                </w:p>
              </w:tc>
              <w:tc>
                <w:tcPr>
                  <w:tcW w:w="664"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C14D8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0.52</w:t>
                  </w:r>
                </w:p>
              </w:tc>
              <w:tc>
                <w:tcPr>
                  <w:tcW w:w="617"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C8F8A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14.60</w:t>
                  </w:r>
                </w:p>
              </w:tc>
              <w:tc>
                <w:tcPr>
                  <w:tcW w:w="109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F7339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7353C" w14:paraId="3D29C763" w14:textId="77777777">
              <w:tc>
                <w:tcPr>
                  <w:tcW w:w="3699"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7287C3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recr_goods_gardnprod</w:t>
                  </w:r>
                </w:p>
              </w:tc>
              <w:tc>
                <w:tcPr>
                  <w:tcW w:w="664"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7329B0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0.42</w:t>
                  </w:r>
                </w:p>
              </w:tc>
              <w:tc>
                <w:tcPr>
                  <w:tcW w:w="726"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B725334"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0.39</w:t>
                  </w:r>
                </w:p>
              </w:tc>
              <w:tc>
                <w:tcPr>
                  <w:tcW w:w="617"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BEECEC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664"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380714E"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-8.23</w:t>
                  </w:r>
                </w:p>
              </w:tc>
              <w:tc>
                <w:tcPr>
                  <w:tcW w:w="617"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187874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12.51</w:t>
                  </w:r>
                </w:p>
              </w:tc>
              <w:tc>
                <w:tcPr>
                  <w:tcW w:w="1091"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75E0671"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bookmarkEnd w:id="75"/>
          </w:tbl>
          <w:p w14:paraId="06D2EC7F" w14:textId="77777777" w:rsidR="006B01B9" w:rsidRDefault="006B01B9">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53CE8D80" w14:textId="77777777" w:rsidR="0097353C" w:rsidRDefault="00000000">
      <w:r>
        <w:lastRenderedPageBreak/>
        <w:br w:type="page"/>
      </w:r>
    </w:p>
    <w:p w14:paraId="36173AE5" w14:textId="77777777" w:rsidR="0097353C" w:rsidRDefault="00000000">
      <w:pPr>
        <w:pStyle w:val="Heading2"/>
      </w:pPr>
      <w:bookmarkStart w:id="76" w:name="stationarity-tests"/>
      <w:bookmarkEnd w:id="74"/>
      <w:r>
        <w:lastRenderedPageBreak/>
        <w:t>Stationarity tests</w:t>
      </w:r>
    </w:p>
    <w:tbl>
      <w:tblPr>
        <w:tblW w:w="5000" w:type="pct"/>
        <w:tblLayout w:type="fixed"/>
        <w:tblLook w:val="0000" w:firstRow="0" w:lastRow="0" w:firstColumn="0" w:lastColumn="0" w:noHBand="0" w:noVBand="0"/>
      </w:tblPr>
      <w:tblGrid>
        <w:gridCol w:w="9071"/>
      </w:tblGrid>
      <w:tr w:rsidR="0097353C" w14:paraId="30659D33" w14:textId="77777777">
        <w:tc>
          <w:tcPr>
            <w:tcW w:w="7920" w:type="dxa"/>
          </w:tcPr>
          <w:p w14:paraId="343B4366" w14:textId="77777777" w:rsidR="0097353C" w:rsidRDefault="00000000">
            <w:pPr>
              <w:spacing w:before="200"/>
              <w:jc w:val="left"/>
            </w:pPr>
            <w:bookmarkStart w:id="77" w:name="tbl-stationarity_tests"/>
            <w:r>
              <w:t>Table 3: Stationarity tests results</w:t>
            </w:r>
          </w:p>
          <w:tbl>
            <w:tblPr>
              <w:tblW w:w="0" w:type="auto"/>
              <w:tblLayout w:type="fixed"/>
              <w:tblLook w:val="0420" w:firstRow="1" w:lastRow="0" w:firstColumn="0" w:lastColumn="0" w:noHBand="0" w:noVBand="1"/>
            </w:tblPr>
            <w:tblGrid>
              <w:gridCol w:w="1637"/>
              <w:gridCol w:w="1691"/>
              <w:gridCol w:w="1597"/>
              <w:gridCol w:w="1784"/>
              <w:gridCol w:w="1255"/>
            </w:tblGrid>
            <w:tr w:rsidR="0097353C" w14:paraId="5A3E4B28" w14:textId="77777777">
              <w:trPr>
                <w:tblHeader/>
              </w:trPr>
              <w:tc>
                <w:tcPr>
                  <w:tcW w:w="1637"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095829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Measure</w:t>
                  </w:r>
                </w:p>
              </w:tc>
              <w:tc>
                <w:tcPr>
                  <w:tcW w:w="1691"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2BF88D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ADF test (p-value)</w:t>
                  </w:r>
                </w:p>
              </w:tc>
              <w:tc>
                <w:tcPr>
                  <w:tcW w:w="1597"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8F24DF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PP test (p-value)</w:t>
                  </w:r>
                </w:p>
              </w:tc>
              <w:tc>
                <w:tcPr>
                  <w:tcW w:w="1784"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2A6DC9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KPSS test (p-value)</w:t>
                  </w:r>
                </w:p>
              </w:tc>
              <w:tc>
                <w:tcPr>
                  <w:tcW w:w="1255"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6698C7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Stationarity</w:t>
                  </w:r>
                </w:p>
              </w:tc>
            </w:tr>
            <w:tr w:rsidR="0097353C" w14:paraId="4922F953" w14:textId="77777777">
              <w:tc>
                <w:tcPr>
                  <w:tcW w:w="1637"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D6118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1691"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6B3346"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0.14</w:t>
                  </w:r>
                </w:p>
              </w:tc>
              <w:tc>
                <w:tcPr>
                  <w:tcW w:w="1597"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9AC5FD"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1784"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AA78A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0.04</w:t>
                  </w:r>
                </w:p>
              </w:tc>
              <w:tc>
                <w:tcPr>
                  <w:tcW w:w="1255"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E2FD7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tr w:rsidR="0097353C" w14:paraId="5452CA7D" w14:textId="77777777">
              <w:tc>
                <w:tcPr>
                  <w:tcW w:w="1637"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DC3D458"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RPD</w:t>
                  </w:r>
                </w:p>
              </w:tc>
              <w:tc>
                <w:tcPr>
                  <w:tcW w:w="1691"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CB6231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0.08</w:t>
                  </w:r>
                </w:p>
              </w:tc>
              <w:tc>
                <w:tcPr>
                  <w:tcW w:w="1597"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26CEB2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1784"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785B05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1255"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ECB323A"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bookmarkEnd w:id="77"/>
          </w:tbl>
          <w:p w14:paraId="072EFB26" w14:textId="77777777" w:rsidR="006B01B9" w:rsidRDefault="006B01B9">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454C7070" w14:textId="77777777" w:rsidR="0097353C" w:rsidRDefault="00000000">
      <w:pPr>
        <w:pStyle w:val="Heading2"/>
      </w:pPr>
      <w:bookmarkStart w:id="78" w:name="lag-length-selection"/>
      <w:bookmarkEnd w:id="76"/>
      <w:r>
        <w:t>Lag length selection</w:t>
      </w:r>
    </w:p>
    <w:tbl>
      <w:tblPr>
        <w:tblW w:w="5000" w:type="pct"/>
        <w:tblLayout w:type="fixed"/>
        <w:tblLook w:val="0000" w:firstRow="0" w:lastRow="0" w:firstColumn="0" w:lastColumn="0" w:noHBand="0" w:noVBand="0"/>
      </w:tblPr>
      <w:tblGrid>
        <w:gridCol w:w="9071"/>
      </w:tblGrid>
      <w:tr w:rsidR="0097353C" w14:paraId="0ED1751E" w14:textId="77777777">
        <w:tc>
          <w:tcPr>
            <w:tcW w:w="7920" w:type="dxa"/>
          </w:tcPr>
          <w:p w14:paraId="20825A65" w14:textId="77777777" w:rsidR="0097353C" w:rsidRDefault="00000000">
            <w:pPr>
              <w:spacing w:before="200"/>
              <w:jc w:val="left"/>
            </w:pPr>
            <w:bookmarkStart w:id="79" w:name="tbl-lag_selection"/>
            <w:r>
              <w:t>Table 4: RPD lag length selection</w:t>
            </w:r>
          </w:p>
          <w:tbl>
            <w:tblPr>
              <w:tblW w:w="0" w:type="auto"/>
              <w:tblLayout w:type="fixed"/>
              <w:tblLook w:val="0420" w:firstRow="1" w:lastRow="0" w:firstColumn="0" w:lastColumn="0" w:noHBand="0" w:noVBand="1"/>
            </w:tblPr>
            <w:tblGrid>
              <w:gridCol w:w="3590"/>
              <w:gridCol w:w="3971"/>
            </w:tblGrid>
            <w:tr w:rsidR="0097353C" w14:paraId="7CC43586" w14:textId="77777777">
              <w:trPr>
                <w:tblHeader/>
              </w:trPr>
              <w:tc>
                <w:tcPr>
                  <w:tcW w:w="3590"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3D2A923"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Tests</w:t>
                  </w:r>
                </w:p>
              </w:tc>
              <w:tc>
                <w:tcPr>
                  <w:tcW w:w="3971" w:type="dxa"/>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3AF726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Optimal Lags</w:t>
                  </w:r>
                </w:p>
              </w:tc>
            </w:tr>
            <w:tr w:rsidR="0097353C" w14:paraId="2B4097A6" w14:textId="77777777">
              <w:tc>
                <w:tcPr>
                  <w:tcW w:w="3590"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4655A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AIC(n)</w:t>
                  </w:r>
                </w:p>
              </w:tc>
              <w:tc>
                <w:tcPr>
                  <w:tcW w:w="3971" w:type="dxa"/>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50F12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7353C" w14:paraId="23F4A684" w14:textId="77777777">
              <w:tc>
                <w:tcPr>
                  <w:tcW w:w="3590"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068867"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HQ(n)</w:t>
                  </w:r>
                </w:p>
              </w:tc>
              <w:tc>
                <w:tcPr>
                  <w:tcW w:w="397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ABD41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7353C" w14:paraId="3138C63D" w14:textId="77777777">
              <w:tc>
                <w:tcPr>
                  <w:tcW w:w="3590"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A4CAD9"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SC(n)</w:t>
                  </w:r>
                </w:p>
              </w:tc>
              <w:tc>
                <w:tcPr>
                  <w:tcW w:w="3971" w:type="dxa"/>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06F02C"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w:t>
                  </w:r>
                </w:p>
              </w:tc>
            </w:tr>
            <w:tr w:rsidR="0097353C" w14:paraId="00C4E929" w14:textId="77777777">
              <w:tc>
                <w:tcPr>
                  <w:tcW w:w="3590"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A19EE8B"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FPE(n)</w:t>
                  </w:r>
                </w:p>
              </w:tc>
              <w:tc>
                <w:tcPr>
                  <w:tcW w:w="3971" w:type="dxa"/>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FE14945" w14:textId="77777777" w:rsidR="0097353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bookmarkEnd w:id="79"/>
          </w:tbl>
          <w:p w14:paraId="1D317E92" w14:textId="77777777" w:rsidR="006B01B9" w:rsidRDefault="006B01B9">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1486C938" w14:textId="77777777" w:rsidR="0097353C" w:rsidRDefault="00000000">
      <w:r>
        <w:br w:type="page"/>
      </w:r>
    </w:p>
    <w:p w14:paraId="11E225DA" w14:textId="77777777" w:rsidR="0097353C" w:rsidRDefault="00000000">
      <w:pPr>
        <w:pStyle w:val="Heading1"/>
      </w:pPr>
      <w:bookmarkStart w:id="80" w:name="X967840cb07455498e9c453a6bc0622cde8d8c7d"/>
      <w:bookmarkEnd w:id="69"/>
      <w:bookmarkEnd w:id="78"/>
      <w:r>
        <w:lastRenderedPageBreak/>
        <w:t>Appendix: Explanation of the quantile on quantile regression</w:t>
      </w:r>
    </w:p>
    <w:p w14:paraId="2BD2D661" w14:textId="77777777" w:rsidR="0097353C" w:rsidRDefault="00000000">
      <w:r>
        <w:t xml:space="preserve">To further capture the dynamic dependencies in the data, we perform a quantile on quantile regressions. Quantile regressions address the limitations of OLS which only estimates the mean dependency between on or more independent variables and the dependant variable. Distribution moments, such as the mean, can be strongly affected by heavy tails (or tail behaviour), non-linearity and extreme values in general (see </w:t>
      </w:r>
      <w:hyperlink w:anchor="ref-koenker2017">
        <w:r w:rsidR="0097353C">
          <w:rPr>
            <w:rStyle w:val="Hyperlink"/>
          </w:rPr>
          <w:t>Koenker 2017</w:t>
        </w:r>
      </w:hyperlink>
      <w:r>
        <w:t>). In response to these limitations, the quantile regression was first introduced by Koenker and Bassett Jr (</w:t>
      </w:r>
      <w:hyperlink w:anchor="ref-koenker1978a">
        <w:r w:rsidR="0097353C">
          <w:rPr>
            <w:rStyle w:val="Hyperlink"/>
          </w:rPr>
          <w:t>1978</w:t>
        </w:r>
      </w:hyperlink>
      <w:r>
        <w:t>). Koenker (</w:t>
      </w:r>
      <w:hyperlink w:anchor="ref-koenker2017">
        <w:r w:rsidR="0097353C">
          <w:rPr>
            <w:rStyle w:val="Hyperlink"/>
          </w:rPr>
          <w:t>2017</w:t>
        </w:r>
      </w:hyperlink>
      <w:r>
        <w:t>) notes that quantile regressions are inherently local and are immune to small deviations in distributions.</w:t>
      </w:r>
    </w:p>
    <w:p w14:paraId="52770F95" w14:textId="77777777" w:rsidR="0097353C" w:rsidRDefault="00000000">
      <w:pPr>
        <w:pStyle w:val="BodyText"/>
      </w:pPr>
      <w:r>
        <w:t>However, Gupta et al. (</w:t>
      </w:r>
      <w:hyperlink w:anchor="ref-gupta2018">
        <w:r w:rsidR="0097353C">
          <w:rPr>
            <w:rStyle w:val="Hyperlink"/>
          </w:rPr>
          <w:t>2018</w:t>
        </w:r>
      </w:hyperlink>
      <w:r>
        <w:t xml:space="preserve">) note that standard quantile regressions are limited in their ability to capture dependency in its entirety. That is, although quantile regressions capture the relationship between two variable (for example) at various points of the conditional distribution, it restricts the possibility that the nature of the independent variable can also influence how the independent variable is calculated. The quantile-on-quantile regression (QQR), therefore, offers a more complete picture of the complex dependency structure, and was utilised numerous times in the literature (see </w:t>
      </w:r>
      <w:hyperlink w:anchor="ref-mishra2019">
        <w:r w:rsidR="0097353C">
          <w:rPr>
            <w:rStyle w:val="Hyperlink"/>
          </w:rPr>
          <w:t>Mishra et al. 2019</w:t>
        </w:r>
      </w:hyperlink>
      <w:r>
        <w:t xml:space="preserve">; </w:t>
      </w:r>
      <w:hyperlink w:anchor="ref-chang2020">
        <w:r w:rsidR="0097353C">
          <w:rPr>
            <w:rStyle w:val="Hyperlink"/>
          </w:rPr>
          <w:t>Chang et al. 2020</w:t>
        </w:r>
      </w:hyperlink>
      <w:r>
        <w:t xml:space="preserve">; </w:t>
      </w:r>
      <w:hyperlink w:anchor="ref-sim2016">
        <w:r w:rsidR="0097353C">
          <w:rPr>
            <w:rStyle w:val="Hyperlink"/>
          </w:rPr>
          <w:t>Sim 2016</w:t>
        </w:r>
      </w:hyperlink>
      <w:r>
        <w:t>).</w:t>
      </w:r>
    </w:p>
    <w:p w14:paraId="3C9D9C23" w14:textId="77777777" w:rsidR="0097353C" w:rsidRDefault="00000000">
      <w:pPr>
        <w:pStyle w:val="BodyText"/>
      </w:pPr>
      <w:r>
        <w:t xml:space="preserve">Given this brief explanation on QQR, we estimate the relationship between the </w:t>
      </w:r>
      <m:oMath>
        <m:r>
          <w:rPr>
            <w:rFonts w:ascii="Cambria Math" w:hAnsi="Cambria Math"/>
          </w:rPr>
          <m:t>θ</m:t>
        </m:r>
      </m:oMath>
      <w:r>
        <w:t>-quantile of RPD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and the </w:t>
      </w:r>
      <m:oMath>
        <m:r>
          <w:rPr>
            <w:rFonts w:ascii="Cambria Math" w:hAnsi="Cambria Math"/>
          </w:rPr>
          <m:t>τ</m:t>
        </m:r>
      </m:oMath>
      <w:r>
        <w:t>-quantile of headline inflation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as follows:</w:t>
      </w:r>
    </w:p>
    <w:bookmarkStart w:id="81" w:name="eq-qqr_1"/>
    <w:p w14:paraId="057BB426"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bookmarkEnd w:id="81"/>
    </w:p>
    <w:p w14:paraId="75BAC994" w14:textId="77777777" w:rsidR="0097353C" w:rsidRDefault="00000000">
      <w:r>
        <w:t xml:space="preserve">Taking the linear version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with a first order Taylor expansion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around </w:t>
      </w:r>
      <m:oMath>
        <m:sSup>
          <m:sSupPr>
            <m:ctrlPr>
              <w:rPr>
                <w:rFonts w:ascii="Cambria Math" w:hAnsi="Cambria Math"/>
              </w:rPr>
            </m:ctrlPr>
          </m:sSupPr>
          <m:e>
            <m:r>
              <w:rPr>
                <w:rFonts w:ascii="Cambria Math" w:hAnsi="Cambria Math"/>
              </w:rPr>
              <m:t>Γ</m:t>
            </m:r>
          </m:e>
          <m:sup>
            <m:r>
              <w:rPr>
                <w:rFonts w:ascii="Cambria Math" w:hAnsi="Cambria Math"/>
              </w:rPr>
              <m:t>τ</m:t>
            </m:r>
          </m:sup>
        </m:sSup>
      </m:oMath>
      <w:r>
        <w:t xml:space="preserve"> gives:</w:t>
      </w:r>
    </w:p>
    <w:bookmarkStart w:id="82" w:name="eq-qqr_2"/>
    <w:p w14:paraId="19D42050" w14:textId="77777777" w:rsidR="0097353C"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τ</m:t>
                  </m:r>
                </m:sup>
              </m:sSup>
            </m:e>
          </m:d>
          <m:r>
            <w:rPr>
              <w:rFonts w:ascii="Cambria Math" w:hAnsi="Cambria Math"/>
            </w:rPr>
            <m:t>  </m:t>
          </m:r>
          <m:d>
            <m:dPr>
              <m:ctrlPr>
                <w:rPr>
                  <w:rFonts w:ascii="Cambria Math" w:hAnsi="Cambria Math"/>
                </w:rPr>
              </m:ctrlPr>
            </m:dPr>
            <m:e>
              <m:r>
                <w:rPr>
                  <w:rFonts w:ascii="Cambria Math" w:hAnsi="Cambria Math"/>
                </w:rPr>
                <m:t>19</m:t>
              </m:r>
            </m:e>
          </m:d>
        </m:oMath>
      </m:oMathPara>
      <w:bookmarkEnd w:id="82"/>
    </w:p>
    <w:p w14:paraId="79E865F7" w14:textId="77777777" w:rsidR="0097353C" w:rsidRDefault="00000000">
      <w:r>
        <w:t xml:space="preserve">In this instance both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indexed to </w:t>
      </w:r>
      <m:oMath>
        <m:r>
          <w:rPr>
            <w:rFonts w:ascii="Cambria Math" w:hAnsi="Cambria Math"/>
          </w:rPr>
          <m:t>θ</m:t>
        </m:r>
      </m:oMath>
      <w:r>
        <w:t xml:space="preserve"> and </w:t>
      </w:r>
      <m:oMath>
        <m:r>
          <w:rPr>
            <w:rFonts w:ascii="Cambria Math" w:hAnsi="Cambria Math"/>
          </w:rPr>
          <m:t>τ</m:t>
        </m:r>
      </m:oMath>
      <w:r>
        <w:t xml:space="preserve">. This means that </w:t>
      </w:r>
      <w:hyperlink w:anchor="eq-qqr_2">
        <w:r w:rsidR="0097353C">
          <w:rPr>
            <w:rStyle w:val="Hyperlink"/>
          </w:rPr>
          <w:t>Equation 19</w:t>
        </w:r>
      </w:hyperlink>
      <w:r>
        <w:t xml:space="preserve"> can be summarised as follows:</w:t>
      </w:r>
    </w:p>
    <w:bookmarkStart w:id="83" w:name="eq-qqr_3"/>
    <w:p w14:paraId="639CAAD1" w14:textId="77777777" w:rsidR="0097353C"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bookmarkEnd w:id="83"/>
    </w:p>
    <w:p w14:paraId="0C51F7F5" w14:textId="77777777" w:rsidR="0097353C" w:rsidRDefault="00000000">
      <w:r>
        <w:t xml:space="preserve">and collecting terms gives and substituting into </w:t>
      </w:r>
      <w:hyperlink w:anchor="eq-qqr_1">
        <w:r w:rsidR="0097353C">
          <w:rPr>
            <w:rStyle w:val="Hyperlink"/>
          </w:rPr>
          <w:t>Equation 18</w:t>
        </w:r>
      </w:hyperlink>
      <w:r>
        <w:t xml:space="preserve"> results in :</w:t>
      </w:r>
    </w:p>
    <w:bookmarkStart w:id="84" w:name="eq-qqr_4"/>
    <w:p w14:paraId="3FA23849" w14:textId="77777777" w:rsidR="0097353C"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w:rPr>
              <w:rFonts w:ascii="Cambria Math" w:hAnsi="Cambria Math"/>
            </w:rPr>
            <m:t>  </m:t>
          </m:r>
          <m:d>
            <m:dPr>
              <m:ctrlPr>
                <w:rPr>
                  <w:rFonts w:ascii="Cambria Math" w:hAnsi="Cambria Math"/>
                </w:rPr>
              </m:ctrlPr>
            </m:dPr>
            <m:e>
              <m:r>
                <w:rPr>
                  <w:rFonts w:ascii="Cambria Math" w:hAnsi="Cambria Math"/>
                </w:rPr>
                <m:t>21</m:t>
              </m:r>
            </m:e>
          </m:d>
        </m:oMath>
      </m:oMathPara>
      <w:bookmarkEnd w:id="84"/>
    </w:p>
    <w:p w14:paraId="4D5630E5" w14:textId="77777777" w:rsidR="0097353C" w:rsidRDefault="00000000">
      <w:r>
        <w:t xml:space="preserve">where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substituted with </w:t>
      </w:r>
      <m:oMath>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respectively.</w:t>
      </w:r>
    </w:p>
    <w:p w14:paraId="7E9E9C00" w14:textId="77777777" w:rsidR="0097353C" w:rsidRDefault="00000000">
      <w:pPr>
        <w:pStyle w:val="BodyText"/>
      </w:pPr>
      <w:r>
        <w:t xml:space="preserve">Therefore, </w:t>
      </w:r>
      <w:hyperlink w:anchor="eq-qqr_4">
        <w:r w:rsidR="0097353C">
          <w:rPr>
            <w:rStyle w:val="Hyperlink"/>
          </w:rPr>
          <w:t>Equation 21</w:t>
        </w:r>
      </w:hyperlink>
      <w:r>
        <w:t xml:space="preserve"> captures the relationship between the </w:t>
      </w:r>
      <m:oMath>
        <m:r>
          <w:rPr>
            <w:rFonts w:ascii="Cambria Math" w:hAnsi="Cambria Math"/>
          </w:rPr>
          <m:t>θ</m:t>
        </m:r>
      </m:oMath>
      <w:r>
        <w:t xml:space="preserve">-quantile of the RPD and the </w:t>
      </w:r>
      <m:oMath>
        <m:r>
          <w:rPr>
            <w:rFonts w:ascii="Cambria Math" w:hAnsi="Cambria Math"/>
          </w:rPr>
          <m:t>τ</m:t>
        </m:r>
      </m:oMath>
      <w:r>
        <w:t xml:space="preserve">-quantile of inflation, that is, the overall dependence structure of the respective distributions. To this end, to get the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1</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we solve for:</w:t>
      </w:r>
    </w:p>
    <w:bookmarkStart w:id="85" w:name="eq-qqr_5"/>
    <w:p w14:paraId="25D3B1E6" w14:textId="77777777" w:rsidR="0097353C" w:rsidRDefault="00000000">
      <w:pPr>
        <w:pStyle w:val="BodyText"/>
      </w:pPr>
      <m:oMathPara>
        <m:oMathParaPr>
          <m:jc m:val="center"/>
        </m:oMathParaPr>
        <m:oMath>
          <m:limLow>
            <m:limLowPr>
              <m:ctrlPr>
                <w:rPr>
                  <w:rFonts w:ascii="Cambria Math" w:hAnsi="Cambria Math"/>
                </w:rPr>
              </m:ctrlPr>
            </m:limLowPr>
            <m:e>
              <m:r>
                <w:rPr>
                  <w:rFonts w:ascii="Cambria Math" w:hAnsi="Cambria Math"/>
                </w:rPr>
                <m:t>min</m:t>
              </m:r>
            </m:e>
            <m:lim>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ρ</m:t>
                  </m:r>
                </m:e>
                <m:sub>
                  <m:r>
                    <w:rPr>
                      <w:rFonts w:ascii="Cambria Math" w:hAnsi="Cambria Math"/>
                    </w:rPr>
                    <m:t>θ</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e>
              </m:d>
            </m:e>
          </m:d>
          <m:r>
            <w:rPr>
              <w:rFonts w:ascii="Cambria Math" w:hAnsi="Cambria Math"/>
            </w:rPr>
            <m:t>K</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e>
                  </m:d>
                  <m:r>
                    <m:rPr>
                      <m:sty m:val="p"/>
                    </m:rPr>
                    <w:rPr>
                      <w:rFonts w:ascii="Cambria Math" w:hAnsi="Cambria Math"/>
                    </w:rPr>
                    <m:t>-</m:t>
                  </m:r>
                  <m:r>
                    <w:rPr>
                      <w:rFonts w:ascii="Cambria Math" w:hAnsi="Cambria Math"/>
                    </w:rPr>
                    <m:t>τ</m:t>
                  </m:r>
                </m:num>
                <m:den>
                  <m:r>
                    <w:rPr>
                      <w:rFonts w:ascii="Cambria Math" w:hAnsi="Cambria Math"/>
                    </w:rPr>
                    <m:t>h</m:t>
                  </m:r>
                </m:den>
              </m:f>
            </m:e>
          </m:d>
          <m:r>
            <w:rPr>
              <w:rFonts w:ascii="Cambria Math" w:hAnsi="Cambria Math"/>
            </w:rPr>
            <m:t>  </m:t>
          </m:r>
          <m:d>
            <m:dPr>
              <m:ctrlPr>
                <w:rPr>
                  <w:rFonts w:ascii="Cambria Math" w:hAnsi="Cambria Math"/>
                </w:rPr>
              </m:ctrlPr>
            </m:dPr>
            <m:e>
              <m:r>
                <w:rPr>
                  <w:rFonts w:ascii="Cambria Math" w:hAnsi="Cambria Math"/>
                </w:rPr>
                <m:t>22</m:t>
              </m:r>
            </m:e>
          </m:d>
        </m:oMath>
      </m:oMathPara>
      <w:bookmarkEnd w:id="85"/>
    </w:p>
    <w:p w14:paraId="455C8ECF" w14:textId="77777777" w:rsidR="0097353C" w:rsidRDefault="00000000">
      <w:r>
        <w:t xml:space="preserve">where </w:t>
      </w:r>
      <m:oMath>
        <m:sSub>
          <m:sSubPr>
            <m:ctrlPr>
              <w:rPr>
                <w:rFonts w:ascii="Cambria Math" w:hAnsi="Cambria Math"/>
              </w:rPr>
            </m:ctrlPr>
          </m:sSubPr>
          <m:e>
            <m:r>
              <w:rPr>
                <w:rFonts w:ascii="Cambria Math" w:hAnsi="Cambria Math"/>
              </w:rPr>
              <m:t>ρ</m:t>
            </m:r>
          </m:e>
          <m:sub>
            <m:r>
              <w:rPr>
                <w:rFonts w:ascii="Cambria Math" w:hAnsi="Cambria Math"/>
              </w:rPr>
              <m:t>θ</m:t>
            </m:r>
          </m:sub>
        </m:sSub>
      </m:oMath>
      <w:r>
        <w:t xml:space="preserve"> is a tilted absolute value function which produces </w:t>
      </w:r>
      <m:oMath>
        <m:r>
          <w:rPr>
            <w:rFonts w:ascii="Cambria Math" w:hAnsi="Cambria Math"/>
          </w:rPr>
          <m:t>θ</m:t>
        </m:r>
      </m:oMath>
      <w:r>
        <w:t xml:space="preserve">-quantile values of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 Gaussian kernel </w:t>
      </w:r>
      <m:oMath>
        <m:r>
          <w:rPr>
            <w:rFonts w:ascii="Cambria Math" w:hAnsi="Cambria Math"/>
          </w:rPr>
          <m:t>K</m:t>
        </m:r>
        <m:d>
          <m:dPr>
            <m:ctrlPr>
              <w:rPr>
                <w:rFonts w:ascii="Cambria Math" w:hAnsi="Cambria Math"/>
              </w:rPr>
            </m:ctrlPr>
          </m:dPr>
          <m:e>
            <m:r>
              <m:rPr>
                <m:sty m:val="p"/>
              </m:rPr>
              <w:rPr>
                <w:rFonts w:ascii="Cambria Math" w:hAnsi="Cambria Math"/>
              </w:rPr>
              <m:t>.</m:t>
            </m:r>
          </m:e>
        </m:d>
      </m:oMath>
      <w:r>
        <w:t xml:space="preserve"> is used to weight observations in the neighbourhood of </w:t>
      </w:r>
      <m:oMath>
        <m:acc>
          <m:accPr>
            <m:ctrlPr>
              <w:rPr>
                <w:rFonts w:ascii="Cambria Math" w:hAnsi="Cambria Math"/>
              </w:rPr>
            </m:ctrlPr>
          </m:accPr>
          <m:e>
            <m:sSup>
              <m:sSupPr>
                <m:ctrlPr>
                  <w:rPr>
                    <w:rFonts w:ascii="Cambria Math" w:hAnsi="Cambria Math"/>
                  </w:rPr>
                </m:ctrlPr>
              </m:sSupPr>
              <m:e>
                <m:r>
                  <w:rPr>
                    <w:rFonts w:ascii="Cambria Math" w:hAnsi="Cambria Math"/>
                  </w:rPr>
                  <m:t>Γ</m:t>
                </m:r>
              </m:e>
              <m:sup>
                <m:r>
                  <w:rPr>
                    <w:rFonts w:ascii="Cambria Math" w:hAnsi="Cambria Math"/>
                  </w:rPr>
                  <m:t>τ</m:t>
                </m:r>
              </m:sup>
            </m:sSup>
          </m:e>
        </m:acc>
      </m:oMath>
      <w:r>
        <w:t xml:space="preserve"> using </w:t>
      </w:r>
      <m:oMath>
        <m:r>
          <w:rPr>
            <w:rFonts w:ascii="Cambria Math" w:hAnsi="Cambria Math"/>
          </w:rPr>
          <m:t>h</m:t>
        </m:r>
      </m:oMath>
      <w:r>
        <w:t xml:space="preserve"> as a bandwidth. These weights are inversely related to </w:t>
      </w:r>
      <m:oMath>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oMath>
      <w:r>
        <w:t xml:space="preserve">. Lastly, the choice of </w:t>
      </w:r>
      <m:oMath>
        <m:r>
          <w:rPr>
            <w:rFonts w:ascii="Cambria Math" w:hAnsi="Cambria Math"/>
          </w:rPr>
          <m:t>h</m:t>
        </m:r>
      </m:oMath>
      <w:r>
        <w:t xml:space="preserve"> remains uncertain in kernel regression where if a small </w:t>
      </w:r>
      <m:oMath>
        <m:r>
          <w:rPr>
            <w:rFonts w:ascii="Cambria Math" w:hAnsi="Cambria Math"/>
          </w:rPr>
          <m:t>h</m:t>
        </m:r>
      </m:oMath>
      <w:r>
        <w:t xml:space="preserve"> is chosen the bias of the estimates is smaller but the variance of these estimates increases, and conversely. To overcome this uncertainty we use the cross validation method to calculate the appropripate level of </w:t>
      </w:r>
      <m:oMath>
        <m:r>
          <w:rPr>
            <w:rFonts w:ascii="Cambria Math" w:hAnsi="Cambria Math"/>
          </w:rPr>
          <m:t>h</m:t>
        </m:r>
      </m:oMath>
      <w:r>
        <w:t>.</w:t>
      </w:r>
      <w:bookmarkEnd w:id="80"/>
    </w:p>
    <w:sectPr w:rsidR="0097353C" w:rsidSect="00322633">
      <w:headerReference w:type="even" r:id="rId31"/>
      <w:headerReference w:type="default" r:id="rId32"/>
      <w:footerReference w:type="even" r:id="rId33"/>
      <w:footerReference w:type="default" r:id="rId34"/>
      <w:headerReference w:type="first" r:id="rId35"/>
      <w:footerReference w:type="first" r:id="rId36"/>
      <w:footnotePr>
        <w:numFmt w:val="chicago"/>
        <w:numRestart w:val="eachSect"/>
      </w:footnotePr>
      <w:type w:val="continuous"/>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8401" w14:textId="77777777" w:rsidR="002870BF" w:rsidRDefault="002870BF">
      <w:pPr>
        <w:spacing w:after="0" w:line="240" w:lineRule="auto"/>
      </w:pPr>
      <w:r>
        <w:separator/>
      </w:r>
    </w:p>
  </w:endnote>
  <w:endnote w:type="continuationSeparator" w:id="0">
    <w:p w14:paraId="2EEB3C5E" w14:textId="77777777" w:rsidR="002870BF" w:rsidRDefault="0028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604020202020204"/>
    <w:charset w:val="00"/>
    <w:family w:val="swiss"/>
    <w:pitch w:val="variable"/>
    <w:sig w:usb0="E4002EFF" w:usb1="C000E47F"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A3BB" w14:textId="77777777" w:rsidR="006B01B9" w:rsidRDefault="006B01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151F" w14:textId="77777777" w:rsidR="006B01B9" w:rsidRDefault="006B01B9">
    <w:pPr>
      <w:pStyle w:val="Footer"/>
      <w:jc w:val="center"/>
    </w:pPr>
  </w:p>
  <w:p w14:paraId="20810AC0" w14:textId="77777777" w:rsidR="006B01B9" w:rsidRDefault="006B01B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35C3" w14:textId="77777777" w:rsidR="006B01B9" w:rsidRDefault="006B0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8F4A" w14:textId="77777777" w:rsidR="002870BF" w:rsidRDefault="002870BF">
      <w:r>
        <w:separator/>
      </w:r>
    </w:p>
  </w:footnote>
  <w:footnote w:type="continuationSeparator" w:id="0">
    <w:p w14:paraId="7F6121F3" w14:textId="77777777" w:rsidR="002870BF" w:rsidRDefault="002870BF">
      <w:r>
        <w:continuationSeparator/>
      </w:r>
    </w:p>
  </w:footnote>
  <w:footnote w:id="1">
    <w:p w14:paraId="03FC5275" w14:textId="77777777" w:rsidR="0097353C" w:rsidRDefault="00000000">
      <w:pPr>
        <w:pStyle w:val="FootnoteText"/>
      </w:pPr>
      <w:r>
        <w:rPr>
          <w:rStyle w:val="FootnoteReference"/>
        </w:rPr>
        <w:footnoteRef/>
      </w:r>
      <w:r>
        <w:t xml:space="preserve"> In signal extraction models, the effect of unexpected inflation on RPD depends on the magnitude not the sign and the effect is symmetric around zero inflation resulting in a U-shaped relationship.</w:t>
      </w:r>
    </w:p>
  </w:footnote>
  <w:footnote w:id="2">
    <w:p w14:paraId="01F41066" w14:textId="77777777" w:rsidR="0097353C" w:rsidRDefault="00000000">
      <w:pPr>
        <w:pStyle w:val="FootnoteText"/>
      </w:pPr>
      <w:r>
        <w:rPr>
          <w:rStyle w:val="FootnoteReference"/>
        </w:rPr>
        <w:footnoteRef/>
      </w:r>
      <w:r>
        <w:t xml:space="preserve"> In monetary search model developed by Head and Kumar (2005), inflation affects relative price dispersion through two closely related channels arising from search frictions and market power. In their model, there are two groups of buyers, those who observe only one price (incomplete information) offered by sellers and those that observe more than one price. Since an increase in inflation reduces purchasing power of fiat money held by buyers, this weakens their bargaining position in the market while increasing sellers’ market power. In this case, the Friedman rule is optimal. If however, buyers observe multiple price quotes, an increase in inflation from a low rate increases the gains to search weakening sellers’ market power, compresses the distribution of prices, raising welfare as a result the optimal inflation rate is in region above zero inflation implying a nonlinear relationship between inflation and RPD.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 below the 4.5% midpoint of our range through to the end of the forecast horizon” according to the September 2024 Monetary Policy Statement (MPC). The SARB signaled its preference for 3 per cent target in the May 2024 MPC when it modelled a scenario with a 3 per cent inflation objective before explicitly incorporating the 3 per cent inflation target in its baseline forecasts in the July 2025 MPC.</w:t>
      </w:r>
    </w:p>
  </w:footnote>
  <w:footnote w:id="3">
    <w:p w14:paraId="0B25CDE2" w14:textId="77777777" w:rsidR="0097353C" w:rsidRDefault="00000000">
      <w:pPr>
        <w:pStyle w:val="FootnoteText"/>
      </w:pPr>
      <w:r>
        <w:rPr>
          <w:rStyle w:val="FootnoteReference"/>
        </w:rPr>
        <w:footnoteRef/>
      </w:r>
      <w:r>
        <w:t xml:space="preserve">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w:t>
      </w:r>
    </w:p>
  </w:footnote>
  <w:footnote w:id="4">
    <w:p w14:paraId="44580CC1" w14:textId="77777777" w:rsidR="0097353C" w:rsidRDefault="00000000">
      <w:pPr>
        <w:pStyle w:val="FootnoteText"/>
      </w:pPr>
      <w:r>
        <w:rPr>
          <w:rStyle w:val="FootnoteReference"/>
        </w:rPr>
        <w:footnoteRef/>
      </w:r>
      <w:r>
        <w:t xml:space="preserve"> The data is available at:  The data is seasonally adjusted.</w:t>
      </w:r>
    </w:p>
  </w:footnote>
  <w:footnote w:id="5">
    <w:p w14:paraId="00EE14AF" w14:textId="77777777" w:rsidR="0097353C" w:rsidRDefault="00000000">
      <w:pPr>
        <w:pStyle w:val="FootnoteText"/>
      </w:pPr>
      <w:r>
        <w:rPr>
          <w:rStyle w:val="FootnoteReference"/>
        </w:rPr>
        <w:footnoteRef/>
      </w:r>
      <w:r>
        <w:t xml:space="preserve"> Menu cost models generally find the optimal inflation rate to be 0 per cent and studies that take into account the zero-lower bound constraint, measurement bias in inflation measure and downward wage rigidities generally propose an optimal inflation rate that are positive at near 2 per cent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6869" w14:textId="77777777" w:rsidR="006B01B9" w:rsidRDefault="006B01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8FE1" w14:textId="77777777" w:rsidR="006B01B9" w:rsidRDefault="006B01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1072" w14:textId="77777777" w:rsidR="006B01B9" w:rsidRDefault="006B0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7EB0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0E328C"/>
    <w:multiLevelType w:val="hybridMultilevel"/>
    <w:tmpl w:val="DEA4CBE8"/>
    <w:lvl w:ilvl="0" w:tplc="19E48E48">
      <w:start w:val="8"/>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C3E4873E">
      <w:numFmt w:val="bullet"/>
      <w:lvlText w:val="•"/>
      <w:lvlJc w:val="left"/>
      <w:pPr>
        <w:ind w:left="1136" w:hanging="240"/>
      </w:pPr>
      <w:rPr>
        <w:rFonts w:hint="default"/>
        <w:lang w:val="en-US" w:eastAsia="en-US" w:bidi="ar-SA"/>
      </w:rPr>
    </w:lvl>
    <w:lvl w:ilvl="2" w:tplc="C83AE142">
      <w:numFmt w:val="bullet"/>
      <w:lvlText w:val="•"/>
      <w:lvlJc w:val="left"/>
      <w:pPr>
        <w:ind w:left="1912" w:hanging="240"/>
      </w:pPr>
      <w:rPr>
        <w:rFonts w:hint="default"/>
        <w:lang w:val="en-US" w:eastAsia="en-US" w:bidi="ar-SA"/>
      </w:rPr>
    </w:lvl>
    <w:lvl w:ilvl="3" w:tplc="47E4724C">
      <w:numFmt w:val="bullet"/>
      <w:lvlText w:val="•"/>
      <w:lvlJc w:val="left"/>
      <w:pPr>
        <w:ind w:left="2688" w:hanging="240"/>
      </w:pPr>
      <w:rPr>
        <w:rFonts w:hint="default"/>
        <w:lang w:val="en-US" w:eastAsia="en-US" w:bidi="ar-SA"/>
      </w:rPr>
    </w:lvl>
    <w:lvl w:ilvl="4" w:tplc="362CB408">
      <w:numFmt w:val="bullet"/>
      <w:lvlText w:val="•"/>
      <w:lvlJc w:val="left"/>
      <w:pPr>
        <w:ind w:left="3464" w:hanging="240"/>
      </w:pPr>
      <w:rPr>
        <w:rFonts w:hint="default"/>
        <w:lang w:val="en-US" w:eastAsia="en-US" w:bidi="ar-SA"/>
      </w:rPr>
    </w:lvl>
    <w:lvl w:ilvl="5" w:tplc="1340E1C0">
      <w:numFmt w:val="bullet"/>
      <w:lvlText w:val="•"/>
      <w:lvlJc w:val="left"/>
      <w:pPr>
        <w:ind w:left="4240" w:hanging="240"/>
      </w:pPr>
      <w:rPr>
        <w:rFonts w:hint="default"/>
        <w:lang w:val="en-US" w:eastAsia="en-US" w:bidi="ar-SA"/>
      </w:rPr>
    </w:lvl>
    <w:lvl w:ilvl="6" w:tplc="08D880C2">
      <w:numFmt w:val="bullet"/>
      <w:lvlText w:val="•"/>
      <w:lvlJc w:val="left"/>
      <w:pPr>
        <w:ind w:left="5016" w:hanging="240"/>
      </w:pPr>
      <w:rPr>
        <w:rFonts w:hint="default"/>
        <w:lang w:val="en-US" w:eastAsia="en-US" w:bidi="ar-SA"/>
      </w:rPr>
    </w:lvl>
    <w:lvl w:ilvl="7" w:tplc="FC98141C">
      <w:numFmt w:val="bullet"/>
      <w:lvlText w:val="•"/>
      <w:lvlJc w:val="left"/>
      <w:pPr>
        <w:ind w:left="5792" w:hanging="240"/>
      </w:pPr>
      <w:rPr>
        <w:rFonts w:hint="default"/>
        <w:lang w:val="en-US" w:eastAsia="en-US" w:bidi="ar-SA"/>
      </w:rPr>
    </w:lvl>
    <w:lvl w:ilvl="8" w:tplc="F44A8586">
      <w:numFmt w:val="bullet"/>
      <w:lvlText w:val="•"/>
      <w:lvlJc w:val="left"/>
      <w:pPr>
        <w:ind w:left="6568" w:hanging="240"/>
      </w:pPr>
      <w:rPr>
        <w:rFonts w:hint="default"/>
        <w:lang w:val="en-US" w:eastAsia="en-US" w:bidi="ar-SA"/>
      </w:rPr>
    </w:lvl>
  </w:abstractNum>
  <w:abstractNum w:abstractNumId="2" w15:restartNumberingAfterBreak="0">
    <w:nsid w:val="08AC64A2"/>
    <w:multiLevelType w:val="hybridMultilevel"/>
    <w:tmpl w:val="BFEC42DC"/>
    <w:lvl w:ilvl="0" w:tplc="86D8949A">
      <w:start w:val="25"/>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6CF8C498">
      <w:numFmt w:val="bullet"/>
      <w:lvlText w:val="•"/>
      <w:lvlJc w:val="left"/>
      <w:pPr>
        <w:ind w:left="1136" w:hanging="240"/>
      </w:pPr>
      <w:rPr>
        <w:rFonts w:hint="default"/>
        <w:lang w:val="en-US" w:eastAsia="en-US" w:bidi="ar-SA"/>
      </w:rPr>
    </w:lvl>
    <w:lvl w:ilvl="2" w:tplc="A3509E14">
      <w:numFmt w:val="bullet"/>
      <w:lvlText w:val="•"/>
      <w:lvlJc w:val="left"/>
      <w:pPr>
        <w:ind w:left="1912" w:hanging="240"/>
      </w:pPr>
      <w:rPr>
        <w:rFonts w:hint="default"/>
        <w:lang w:val="en-US" w:eastAsia="en-US" w:bidi="ar-SA"/>
      </w:rPr>
    </w:lvl>
    <w:lvl w:ilvl="3" w:tplc="DA72ED20">
      <w:numFmt w:val="bullet"/>
      <w:lvlText w:val="•"/>
      <w:lvlJc w:val="left"/>
      <w:pPr>
        <w:ind w:left="2688" w:hanging="240"/>
      </w:pPr>
      <w:rPr>
        <w:rFonts w:hint="default"/>
        <w:lang w:val="en-US" w:eastAsia="en-US" w:bidi="ar-SA"/>
      </w:rPr>
    </w:lvl>
    <w:lvl w:ilvl="4" w:tplc="90F0ADFC">
      <w:numFmt w:val="bullet"/>
      <w:lvlText w:val="•"/>
      <w:lvlJc w:val="left"/>
      <w:pPr>
        <w:ind w:left="3464" w:hanging="240"/>
      </w:pPr>
      <w:rPr>
        <w:rFonts w:hint="default"/>
        <w:lang w:val="en-US" w:eastAsia="en-US" w:bidi="ar-SA"/>
      </w:rPr>
    </w:lvl>
    <w:lvl w:ilvl="5" w:tplc="3134FC8C">
      <w:numFmt w:val="bullet"/>
      <w:lvlText w:val="•"/>
      <w:lvlJc w:val="left"/>
      <w:pPr>
        <w:ind w:left="4240" w:hanging="240"/>
      </w:pPr>
      <w:rPr>
        <w:rFonts w:hint="default"/>
        <w:lang w:val="en-US" w:eastAsia="en-US" w:bidi="ar-SA"/>
      </w:rPr>
    </w:lvl>
    <w:lvl w:ilvl="6" w:tplc="40DA4308">
      <w:numFmt w:val="bullet"/>
      <w:lvlText w:val="•"/>
      <w:lvlJc w:val="left"/>
      <w:pPr>
        <w:ind w:left="5016" w:hanging="240"/>
      </w:pPr>
      <w:rPr>
        <w:rFonts w:hint="default"/>
        <w:lang w:val="en-US" w:eastAsia="en-US" w:bidi="ar-SA"/>
      </w:rPr>
    </w:lvl>
    <w:lvl w:ilvl="7" w:tplc="1E1C59A4">
      <w:numFmt w:val="bullet"/>
      <w:lvlText w:val="•"/>
      <w:lvlJc w:val="left"/>
      <w:pPr>
        <w:ind w:left="5792" w:hanging="240"/>
      </w:pPr>
      <w:rPr>
        <w:rFonts w:hint="default"/>
        <w:lang w:val="en-US" w:eastAsia="en-US" w:bidi="ar-SA"/>
      </w:rPr>
    </w:lvl>
    <w:lvl w:ilvl="8" w:tplc="614E7348">
      <w:numFmt w:val="bullet"/>
      <w:lvlText w:val="•"/>
      <w:lvlJc w:val="left"/>
      <w:pPr>
        <w:ind w:left="6568" w:hanging="240"/>
      </w:pPr>
      <w:rPr>
        <w:rFonts w:hint="default"/>
        <w:lang w:val="en-US" w:eastAsia="en-US" w:bidi="ar-SA"/>
      </w:rPr>
    </w:lvl>
  </w:abstractNum>
  <w:abstractNum w:abstractNumId="3" w15:restartNumberingAfterBreak="0">
    <w:nsid w:val="19783F87"/>
    <w:multiLevelType w:val="hybridMultilevel"/>
    <w:tmpl w:val="BB0C5D72"/>
    <w:lvl w:ilvl="0" w:tplc="5B94B0C6">
      <w:start w:val="20"/>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071AEA36">
      <w:numFmt w:val="bullet"/>
      <w:lvlText w:val="•"/>
      <w:lvlJc w:val="left"/>
      <w:pPr>
        <w:ind w:left="1136" w:hanging="240"/>
      </w:pPr>
      <w:rPr>
        <w:rFonts w:hint="default"/>
        <w:lang w:val="en-US" w:eastAsia="en-US" w:bidi="ar-SA"/>
      </w:rPr>
    </w:lvl>
    <w:lvl w:ilvl="2" w:tplc="B1DE3F62">
      <w:numFmt w:val="bullet"/>
      <w:lvlText w:val="•"/>
      <w:lvlJc w:val="left"/>
      <w:pPr>
        <w:ind w:left="1912" w:hanging="240"/>
      </w:pPr>
      <w:rPr>
        <w:rFonts w:hint="default"/>
        <w:lang w:val="en-US" w:eastAsia="en-US" w:bidi="ar-SA"/>
      </w:rPr>
    </w:lvl>
    <w:lvl w:ilvl="3" w:tplc="0B4CBB1C">
      <w:numFmt w:val="bullet"/>
      <w:lvlText w:val="•"/>
      <w:lvlJc w:val="left"/>
      <w:pPr>
        <w:ind w:left="2688" w:hanging="240"/>
      </w:pPr>
      <w:rPr>
        <w:rFonts w:hint="default"/>
        <w:lang w:val="en-US" w:eastAsia="en-US" w:bidi="ar-SA"/>
      </w:rPr>
    </w:lvl>
    <w:lvl w:ilvl="4" w:tplc="D0783AD6">
      <w:numFmt w:val="bullet"/>
      <w:lvlText w:val="•"/>
      <w:lvlJc w:val="left"/>
      <w:pPr>
        <w:ind w:left="3464" w:hanging="240"/>
      </w:pPr>
      <w:rPr>
        <w:rFonts w:hint="default"/>
        <w:lang w:val="en-US" w:eastAsia="en-US" w:bidi="ar-SA"/>
      </w:rPr>
    </w:lvl>
    <w:lvl w:ilvl="5" w:tplc="785495FE">
      <w:numFmt w:val="bullet"/>
      <w:lvlText w:val="•"/>
      <w:lvlJc w:val="left"/>
      <w:pPr>
        <w:ind w:left="4240" w:hanging="240"/>
      </w:pPr>
      <w:rPr>
        <w:rFonts w:hint="default"/>
        <w:lang w:val="en-US" w:eastAsia="en-US" w:bidi="ar-SA"/>
      </w:rPr>
    </w:lvl>
    <w:lvl w:ilvl="6" w:tplc="CA989FCA">
      <w:numFmt w:val="bullet"/>
      <w:lvlText w:val="•"/>
      <w:lvlJc w:val="left"/>
      <w:pPr>
        <w:ind w:left="5016" w:hanging="240"/>
      </w:pPr>
      <w:rPr>
        <w:rFonts w:hint="default"/>
        <w:lang w:val="en-US" w:eastAsia="en-US" w:bidi="ar-SA"/>
      </w:rPr>
    </w:lvl>
    <w:lvl w:ilvl="7" w:tplc="A9A804A2">
      <w:numFmt w:val="bullet"/>
      <w:lvlText w:val="•"/>
      <w:lvlJc w:val="left"/>
      <w:pPr>
        <w:ind w:left="5792" w:hanging="240"/>
      </w:pPr>
      <w:rPr>
        <w:rFonts w:hint="default"/>
        <w:lang w:val="en-US" w:eastAsia="en-US" w:bidi="ar-SA"/>
      </w:rPr>
    </w:lvl>
    <w:lvl w:ilvl="8" w:tplc="FE3A9CE6">
      <w:numFmt w:val="bullet"/>
      <w:lvlText w:val="•"/>
      <w:lvlJc w:val="left"/>
      <w:pPr>
        <w:ind w:left="6568" w:hanging="240"/>
      </w:pPr>
      <w:rPr>
        <w:rFonts w:hint="default"/>
        <w:lang w:val="en-US" w:eastAsia="en-US" w:bidi="ar-SA"/>
      </w:rPr>
    </w:lvl>
  </w:abstractNum>
  <w:abstractNum w:abstractNumId="4" w15:restartNumberingAfterBreak="0">
    <w:nsid w:val="25630202"/>
    <w:multiLevelType w:val="multilevel"/>
    <w:tmpl w:val="A9B042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67451E"/>
    <w:multiLevelType w:val="hybridMultilevel"/>
    <w:tmpl w:val="89B211AE"/>
    <w:lvl w:ilvl="0" w:tplc="8062AE06">
      <w:start w:val="1"/>
      <w:numFmt w:val="decimal"/>
      <w:lvlText w:val="%1"/>
      <w:lvlJc w:val="left"/>
      <w:pPr>
        <w:ind w:left="599" w:hanging="480"/>
      </w:pPr>
      <w:rPr>
        <w:rFonts w:hint="default"/>
        <w:b/>
        <w:bCs/>
        <w:w w:val="67"/>
        <w:lang w:val="en-US" w:eastAsia="en-US" w:bidi="ar-SA"/>
      </w:rPr>
    </w:lvl>
    <w:lvl w:ilvl="1" w:tplc="ACA4C584">
      <w:numFmt w:val="bullet"/>
      <w:lvlText w:val="•"/>
      <w:lvlJc w:val="left"/>
      <w:pPr>
        <w:ind w:left="1083" w:hanging="480"/>
      </w:pPr>
      <w:rPr>
        <w:rFonts w:hint="default"/>
        <w:lang w:val="en-US" w:eastAsia="en-US" w:bidi="ar-SA"/>
      </w:rPr>
    </w:lvl>
    <w:lvl w:ilvl="2" w:tplc="0BBC98C4">
      <w:numFmt w:val="bullet"/>
      <w:lvlText w:val="•"/>
      <w:lvlJc w:val="left"/>
      <w:pPr>
        <w:ind w:left="1567" w:hanging="480"/>
      </w:pPr>
      <w:rPr>
        <w:rFonts w:hint="default"/>
        <w:lang w:val="en-US" w:eastAsia="en-US" w:bidi="ar-SA"/>
      </w:rPr>
    </w:lvl>
    <w:lvl w:ilvl="3" w:tplc="03A064EA">
      <w:numFmt w:val="bullet"/>
      <w:lvlText w:val="•"/>
      <w:lvlJc w:val="left"/>
      <w:pPr>
        <w:ind w:left="2051" w:hanging="480"/>
      </w:pPr>
      <w:rPr>
        <w:rFonts w:hint="default"/>
        <w:lang w:val="en-US" w:eastAsia="en-US" w:bidi="ar-SA"/>
      </w:rPr>
    </w:lvl>
    <w:lvl w:ilvl="4" w:tplc="02A4A092">
      <w:numFmt w:val="bullet"/>
      <w:lvlText w:val="•"/>
      <w:lvlJc w:val="left"/>
      <w:pPr>
        <w:ind w:left="2535" w:hanging="480"/>
      </w:pPr>
      <w:rPr>
        <w:rFonts w:hint="default"/>
        <w:lang w:val="en-US" w:eastAsia="en-US" w:bidi="ar-SA"/>
      </w:rPr>
    </w:lvl>
    <w:lvl w:ilvl="5" w:tplc="90580C6A">
      <w:numFmt w:val="bullet"/>
      <w:lvlText w:val="•"/>
      <w:lvlJc w:val="left"/>
      <w:pPr>
        <w:ind w:left="3019" w:hanging="480"/>
      </w:pPr>
      <w:rPr>
        <w:rFonts w:hint="default"/>
        <w:lang w:val="en-US" w:eastAsia="en-US" w:bidi="ar-SA"/>
      </w:rPr>
    </w:lvl>
    <w:lvl w:ilvl="6" w:tplc="82162DF8">
      <w:numFmt w:val="bullet"/>
      <w:lvlText w:val="•"/>
      <w:lvlJc w:val="left"/>
      <w:pPr>
        <w:ind w:left="3503" w:hanging="480"/>
      </w:pPr>
      <w:rPr>
        <w:rFonts w:hint="default"/>
        <w:lang w:val="en-US" w:eastAsia="en-US" w:bidi="ar-SA"/>
      </w:rPr>
    </w:lvl>
    <w:lvl w:ilvl="7" w:tplc="EF986290">
      <w:numFmt w:val="bullet"/>
      <w:lvlText w:val="•"/>
      <w:lvlJc w:val="left"/>
      <w:pPr>
        <w:ind w:left="3987" w:hanging="480"/>
      </w:pPr>
      <w:rPr>
        <w:rFonts w:hint="default"/>
        <w:lang w:val="en-US" w:eastAsia="en-US" w:bidi="ar-SA"/>
      </w:rPr>
    </w:lvl>
    <w:lvl w:ilvl="8" w:tplc="AEA46BFA">
      <w:numFmt w:val="bullet"/>
      <w:lvlText w:val="•"/>
      <w:lvlJc w:val="left"/>
      <w:pPr>
        <w:ind w:left="4471" w:hanging="480"/>
      </w:pPr>
      <w:rPr>
        <w:rFonts w:hint="default"/>
        <w:lang w:val="en-US" w:eastAsia="en-US" w:bidi="ar-SA"/>
      </w:rPr>
    </w:lvl>
  </w:abstractNum>
  <w:abstractNum w:abstractNumId="6" w15:restartNumberingAfterBreak="0">
    <w:nsid w:val="34835332"/>
    <w:multiLevelType w:val="hybridMultilevel"/>
    <w:tmpl w:val="F3B05E94"/>
    <w:lvl w:ilvl="0" w:tplc="7D98CD52">
      <w:start w:val="1"/>
      <w:numFmt w:val="decimal"/>
      <w:lvlText w:val="%1."/>
      <w:lvlJc w:val="left"/>
      <w:pPr>
        <w:ind w:left="530" w:hanging="360"/>
      </w:pPr>
    </w:lvl>
    <w:lvl w:ilvl="1" w:tplc="1C090019" w:tentative="1">
      <w:start w:val="1"/>
      <w:numFmt w:val="lowerLetter"/>
      <w:lvlText w:val="%2."/>
      <w:lvlJc w:val="left"/>
      <w:pPr>
        <w:ind w:left="1250" w:hanging="360"/>
      </w:pPr>
    </w:lvl>
    <w:lvl w:ilvl="2" w:tplc="1C09001B" w:tentative="1">
      <w:start w:val="1"/>
      <w:numFmt w:val="lowerRoman"/>
      <w:lvlText w:val="%3."/>
      <w:lvlJc w:val="right"/>
      <w:pPr>
        <w:ind w:left="1970" w:hanging="180"/>
      </w:pPr>
    </w:lvl>
    <w:lvl w:ilvl="3" w:tplc="1C09000F" w:tentative="1">
      <w:start w:val="1"/>
      <w:numFmt w:val="decimal"/>
      <w:lvlText w:val="%4."/>
      <w:lvlJc w:val="left"/>
      <w:pPr>
        <w:ind w:left="2690" w:hanging="360"/>
      </w:pPr>
    </w:lvl>
    <w:lvl w:ilvl="4" w:tplc="1C090019" w:tentative="1">
      <w:start w:val="1"/>
      <w:numFmt w:val="lowerLetter"/>
      <w:lvlText w:val="%5."/>
      <w:lvlJc w:val="left"/>
      <w:pPr>
        <w:ind w:left="3410" w:hanging="360"/>
      </w:pPr>
    </w:lvl>
    <w:lvl w:ilvl="5" w:tplc="1C09001B" w:tentative="1">
      <w:start w:val="1"/>
      <w:numFmt w:val="lowerRoman"/>
      <w:lvlText w:val="%6."/>
      <w:lvlJc w:val="right"/>
      <w:pPr>
        <w:ind w:left="4130" w:hanging="180"/>
      </w:pPr>
    </w:lvl>
    <w:lvl w:ilvl="6" w:tplc="1C09000F" w:tentative="1">
      <w:start w:val="1"/>
      <w:numFmt w:val="decimal"/>
      <w:lvlText w:val="%7."/>
      <w:lvlJc w:val="left"/>
      <w:pPr>
        <w:ind w:left="4850" w:hanging="360"/>
      </w:pPr>
    </w:lvl>
    <w:lvl w:ilvl="7" w:tplc="1C090019" w:tentative="1">
      <w:start w:val="1"/>
      <w:numFmt w:val="lowerLetter"/>
      <w:lvlText w:val="%8."/>
      <w:lvlJc w:val="left"/>
      <w:pPr>
        <w:ind w:left="5570" w:hanging="360"/>
      </w:pPr>
    </w:lvl>
    <w:lvl w:ilvl="8" w:tplc="1C09001B" w:tentative="1">
      <w:start w:val="1"/>
      <w:numFmt w:val="lowerRoman"/>
      <w:lvlText w:val="%9."/>
      <w:lvlJc w:val="right"/>
      <w:pPr>
        <w:ind w:left="6290" w:hanging="180"/>
      </w:pPr>
    </w:lvl>
  </w:abstractNum>
  <w:abstractNum w:abstractNumId="7" w15:restartNumberingAfterBreak="0">
    <w:nsid w:val="35F94D4D"/>
    <w:multiLevelType w:val="hybridMultilevel"/>
    <w:tmpl w:val="730E513C"/>
    <w:lvl w:ilvl="0" w:tplc="DE62DAE0">
      <w:start w:val="38"/>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5944FCC8">
      <w:numFmt w:val="bullet"/>
      <w:lvlText w:val="•"/>
      <w:lvlJc w:val="left"/>
      <w:pPr>
        <w:ind w:left="1136" w:hanging="240"/>
      </w:pPr>
      <w:rPr>
        <w:rFonts w:hint="default"/>
        <w:lang w:val="en-US" w:eastAsia="en-US" w:bidi="ar-SA"/>
      </w:rPr>
    </w:lvl>
    <w:lvl w:ilvl="2" w:tplc="1892EDC6">
      <w:numFmt w:val="bullet"/>
      <w:lvlText w:val="•"/>
      <w:lvlJc w:val="left"/>
      <w:pPr>
        <w:ind w:left="1912" w:hanging="240"/>
      </w:pPr>
      <w:rPr>
        <w:rFonts w:hint="default"/>
        <w:lang w:val="en-US" w:eastAsia="en-US" w:bidi="ar-SA"/>
      </w:rPr>
    </w:lvl>
    <w:lvl w:ilvl="3" w:tplc="84ECF1F2">
      <w:numFmt w:val="bullet"/>
      <w:lvlText w:val="•"/>
      <w:lvlJc w:val="left"/>
      <w:pPr>
        <w:ind w:left="2688" w:hanging="240"/>
      </w:pPr>
      <w:rPr>
        <w:rFonts w:hint="default"/>
        <w:lang w:val="en-US" w:eastAsia="en-US" w:bidi="ar-SA"/>
      </w:rPr>
    </w:lvl>
    <w:lvl w:ilvl="4" w:tplc="7CB4619E">
      <w:numFmt w:val="bullet"/>
      <w:lvlText w:val="•"/>
      <w:lvlJc w:val="left"/>
      <w:pPr>
        <w:ind w:left="3464" w:hanging="240"/>
      </w:pPr>
      <w:rPr>
        <w:rFonts w:hint="default"/>
        <w:lang w:val="en-US" w:eastAsia="en-US" w:bidi="ar-SA"/>
      </w:rPr>
    </w:lvl>
    <w:lvl w:ilvl="5" w:tplc="6C3EE6F4">
      <w:numFmt w:val="bullet"/>
      <w:lvlText w:val="•"/>
      <w:lvlJc w:val="left"/>
      <w:pPr>
        <w:ind w:left="4240" w:hanging="240"/>
      </w:pPr>
      <w:rPr>
        <w:rFonts w:hint="default"/>
        <w:lang w:val="en-US" w:eastAsia="en-US" w:bidi="ar-SA"/>
      </w:rPr>
    </w:lvl>
    <w:lvl w:ilvl="6" w:tplc="B57A9EDC">
      <w:numFmt w:val="bullet"/>
      <w:lvlText w:val="•"/>
      <w:lvlJc w:val="left"/>
      <w:pPr>
        <w:ind w:left="5016" w:hanging="240"/>
      </w:pPr>
      <w:rPr>
        <w:rFonts w:hint="default"/>
        <w:lang w:val="en-US" w:eastAsia="en-US" w:bidi="ar-SA"/>
      </w:rPr>
    </w:lvl>
    <w:lvl w:ilvl="7" w:tplc="E5DEF972">
      <w:numFmt w:val="bullet"/>
      <w:lvlText w:val="•"/>
      <w:lvlJc w:val="left"/>
      <w:pPr>
        <w:ind w:left="5792" w:hanging="240"/>
      </w:pPr>
      <w:rPr>
        <w:rFonts w:hint="default"/>
        <w:lang w:val="en-US" w:eastAsia="en-US" w:bidi="ar-SA"/>
      </w:rPr>
    </w:lvl>
    <w:lvl w:ilvl="8" w:tplc="571C4C4E">
      <w:numFmt w:val="bullet"/>
      <w:lvlText w:val="•"/>
      <w:lvlJc w:val="left"/>
      <w:pPr>
        <w:ind w:left="6568" w:hanging="240"/>
      </w:pPr>
      <w:rPr>
        <w:rFonts w:hint="default"/>
        <w:lang w:val="en-US" w:eastAsia="en-US" w:bidi="ar-SA"/>
      </w:rPr>
    </w:lvl>
  </w:abstractNum>
  <w:abstractNum w:abstractNumId="8" w15:restartNumberingAfterBreak="0">
    <w:nsid w:val="548B298F"/>
    <w:multiLevelType w:val="hybridMultilevel"/>
    <w:tmpl w:val="18EA2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105DD1"/>
    <w:multiLevelType w:val="hybridMultilevel"/>
    <w:tmpl w:val="CDF0F3B6"/>
    <w:lvl w:ilvl="0" w:tplc="3B1E4E5A">
      <w:start w:val="33"/>
      <w:numFmt w:val="decimal"/>
      <w:lvlText w:val="%1."/>
      <w:lvlJc w:val="left"/>
      <w:pPr>
        <w:ind w:left="359" w:hanging="240"/>
      </w:pPr>
      <w:rPr>
        <w:rFonts w:ascii="Times New Roman" w:eastAsia="Times New Roman" w:hAnsi="Times New Roman" w:cs="Times New Roman" w:hint="default"/>
        <w:color w:val="231F20"/>
        <w:spacing w:val="-3"/>
        <w:w w:val="90"/>
        <w:sz w:val="18"/>
        <w:szCs w:val="18"/>
        <w:lang w:val="en-US" w:eastAsia="en-US" w:bidi="ar-SA"/>
      </w:rPr>
    </w:lvl>
    <w:lvl w:ilvl="1" w:tplc="3D58CD36">
      <w:numFmt w:val="bullet"/>
      <w:lvlText w:val="•"/>
      <w:lvlJc w:val="left"/>
      <w:pPr>
        <w:ind w:left="1136" w:hanging="240"/>
      </w:pPr>
      <w:rPr>
        <w:rFonts w:hint="default"/>
        <w:lang w:val="en-US" w:eastAsia="en-US" w:bidi="ar-SA"/>
      </w:rPr>
    </w:lvl>
    <w:lvl w:ilvl="2" w:tplc="5074DDC2">
      <w:numFmt w:val="bullet"/>
      <w:lvlText w:val="•"/>
      <w:lvlJc w:val="left"/>
      <w:pPr>
        <w:ind w:left="1912" w:hanging="240"/>
      </w:pPr>
      <w:rPr>
        <w:rFonts w:hint="default"/>
        <w:lang w:val="en-US" w:eastAsia="en-US" w:bidi="ar-SA"/>
      </w:rPr>
    </w:lvl>
    <w:lvl w:ilvl="3" w:tplc="039E1F4A">
      <w:numFmt w:val="bullet"/>
      <w:lvlText w:val="•"/>
      <w:lvlJc w:val="left"/>
      <w:pPr>
        <w:ind w:left="2688" w:hanging="240"/>
      </w:pPr>
      <w:rPr>
        <w:rFonts w:hint="default"/>
        <w:lang w:val="en-US" w:eastAsia="en-US" w:bidi="ar-SA"/>
      </w:rPr>
    </w:lvl>
    <w:lvl w:ilvl="4" w:tplc="BABAEFBA">
      <w:numFmt w:val="bullet"/>
      <w:lvlText w:val="•"/>
      <w:lvlJc w:val="left"/>
      <w:pPr>
        <w:ind w:left="3464" w:hanging="240"/>
      </w:pPr>
      <w:rPr>
        <w:rFonts w:hint="default"/>
        <w:lang w:val="en-US" w:eastAsia="en-US" w:bidi="ar-SA"/>
      </w:rPr>
    </w:lvl>
    <w:lvl w:ilvl="5" w:tplc="71B6D9C8">
      <w:numFmt w:val="bullet"/>
      <w:lvlText w:val="•"/>
      <w:lvlJc w:val="left"/>
      <w:pPr>
        <w:ind w:left="4240" w:hanging="240"/>
      </w:pPr>
      <w:rPr>
        <w:rFonts w:hint="default"/>
        <w:lang w:val="en-US" w:eastAsia="en-US" w:bidi="ar-SA"/>
      </w:rPr>
    </w:lvl>
    <w:lvl w:ilvl="6" w:tplc="7FCC5372">
      <w:numFmt w:val="bullet"/>
      <w:lvlText w:val="•"/>
      <w:lvlJc w:val="left"/>
      <w:pPr>
        <w:ind w:left="5016" w:hanging="240"/>
      </w:pPr>
      <w:rPr>
        <w:rFonts w:hint="default"/>
        <w:lang w:val="en-US" w:eastAsia="en-US" w:bidi="ar-SA"/>
      </w:rPr>
    </w:lvl>
    <w:lvl w:ilvl="7" w:tplc="D3A0598C">
      <w:numFmt w:val="bullet"/>
      <w:lvlText w:val="•"/>
      <w:lvlJc w:val="left"/>
      <w:pPr>
        <w:ind w:left="5792" w:hanging="240"/>
      </w:pPr>
      <w:rPr>
        <w:rFonts w:hint="default"/>
        <w:lang w:val="en-US" w:eastAsia="en-US" w:bidi="ar-SA"/>
      </w:rPr>
    </w:lvl>
    <w:lvl w:ilvl="8" w:tplc="BA76DED4">
      <w:numFmt w:val="bullet"/>
      <w:lvlText w:val="•"/>
      <w:lvlJc w:val="left"/>
      <w:pPr>
        <w:ind w:left="6568" w:hanging="240"/>
      </w:pPr>
      <w:rPr>
        <w:rFonts w:hint="default"/>
        <w:lang w:val="en-US" w:eastAsia="en-US" w:bidi="ar-SA"/>
      </w:rPr>
    </w:lvl>
  </w:abstractNum>
  <w:abstractNum w:abstractNumId="10" w15:restartNumberingAfterBreak="0">
    <w:nsid w:val="66AF218F"/>
    <w:multiLevelType w:val="hybridMultilevel"/>
    <w:tmpl w:val="24261D34"/>
    <w:lvl w:ilvl="0" w:tplc="C84CBFD6">
      <w:start w:val="17"/>
      <w:numFmt w:val="decimal"/>
      <w:lvlText w:val="%1."/>
      <w:lvlJc w:val="left"/>
      <w:pPr>
        <w:ind w:left="359" w:hanging="240"/>
      </w:pPr>
      <w:rPr>
        <w:rFonts w:ascii="Times New Roman" w:eastAsia="Times New Roman" w:hAnsi="Times New Roman" w:cs="Times New Roman" w:hint="default"/>
        <w:color w:val="231F20"/>
        <w:spacing w:val="-2"/>
        <w:w w:val="80"/>
        <w:sz w:val="18"/>
        <w:szCs w:val="18"/>
        <w:lang w:val="en-US" w:eastAsia="en-US" w:bidi="ar-SA"/>
      </w:rPr>
    </w:lvl>
    <w:lvl w:ilvl="1" w:tplc="2E40AE92">
      <w:numFmt w:val="bullet"/>
      <w:lvlText w:val="•"/>
      <w:lvlJc w:val="left"/>
      <w:pPr>
        <w:ind w:left="1136" w:hanging="240"/>
      </w:pPr>
      <w:rPr>
        <w:rFonts w:hint="default"/>
        <w:lang w:val="en-US" w:eastAsia="en-US" w:bidi="ar-SA"/>
      </w:rPr>
    </w:lvl>
    <w:lvl w:ilvl="2" w:tplc="9222A39C">
      <w:numFmt w:val="bullet"/>
      <w:lvlText w:val="•"/>
      <w:lvlJc w:val="left"/>
      <w:pPr>
        <w:ind w:left="1912" w:hanging="240"/>
      </w:pPr>
      <w:rPr>
        <w:rFonts w:hint="default"/>
        <w:lang w:val="en-US" w:eastAsia="en-US" w:bidi="ar-SA"/>
      </w:rPr>
    </w:lvl>
    <w:lvl w:ilvl="3" w:tplc="13645A64">
      <w:numFmt w:val="bullet"/>
      <w:lvlText w:val="•"/>
      <w:lvlJc w:val="left"/>
      <w:pPr>
        <w:ind w:left="2688" w:hanging="240"/>
      </w:pPr>
      <w:rPr>
        <w:rFonts w:hint="default"/>
        <w:lang w:val="en-US" w:eastAsia="en-US" w:bidi="ar-SA"/>
      </w:rPr>
    </w:lvl>
    <w:lvl w:ilvl="4" w:tplc="225C6860">
      <w:numFmt w:val="bullet"/>
      <w:lvlText w:val="•"/>
      <w:lvlJc w:val="left"/>
      <w:pPr>
        <w:ind w:left="3464" w:hanging="240"/>
      </w:pPr>
      <w:rPr>
        <w:rFonts w:hint="default"/>
        <w:lang w:val="en-US" w:eastAsia="en-US" w:bidi="ar-SA"/>
      </w:rPr>
    </w:lvl>
    <w:lvl w:ilvl="5" w:tplc="B296A9FA">
      <w:numFmt w:val="bullet"/>
      <w:lvlText w:val="•"/>
      <w:lvlJc w:val="left"/>
      <w:pPr>
        <w:ind w:left="4240" w:hanging="240"/>
      </w:pPr>
      <w:rPr>
        <w:rFonts w:hint="default"/>
        <w:lang w:val="en-US" w:eastAsia="en-US" w:bidi="ar-SA"/>
      </w:rPr>
    </w:lvl>
    <w:lvl w:ilvl="6" w:tplc="8B20DAB2">
      <w:numFmt w:val="bullet"/>
      <w:lvlText w:val="•"/>
      <w:lvlJc w:val="left"/>
      <w:pPr>
        <w:ind w:left="5016" w:hanging="240"/>
      </w:pPr>
      <w:rPr>
        <w:rFonts w:hint="default"/>
        <w:lang w:val="en-US" w:eastAsia="en-US" w:bidi="ar-SA"/>
      </w:rPr>
    </w:lvl>
    <w:lvl w:ilvl="7" w:tplc="9AD432EC">
      <w:numFmt w:val="bullet"/>
      <w:lvlText w:val="•"/>
      <w:lvlJc w:val="left"/>
      <w:pPr>
        <w:ind w:left="5792" w:hanging="240"/>
      </w:pPr>
      <w:rPr>
        <w:rFonts w:hint="default"/>
        <w:lang w:val="en-US" w:eastAsia="en-US" w:bidi="ar-SA"/>
      </w:rPr>
    </w:lvl>
    <w:lvl w:ilvl="8" w:tplc="07BAD506">
      <w:numFmt w:val="bullet"/>
      <w:lvlText w:val="•"/>
      <w:lvlJc w:val="left"/>
      <w:pPr>
        <w:ind w:left="6568" w:hanging="240"/>
      </w:pPr>
      <w:rPr>
        <w:rFonts w:hint="default"/>
        <w:lang w:val="en-US" w:eastAsia="en-US" w:bidi="ar-SA"/>
      </w:rPr>
    </w:lvl>
  </w:abstractNum>
  <w:abstractNum w:abstractNumId="11" w15:restartNumberingAfterBreak="0">
    <w:nsid w:val="68B238FE"/>
    <w:multiLevelType w:val="hybridMultilevel"/>
    <w:tmpl w:val="3200B046"/>
    <w:lvl w:ilvl="0" w:tplc="E7846922">
      <w:start w:val="14"/>
      <w:numFmt w:val="decimal"/>
      <w:lvlText w:val="%1."/>
      <w:lvlJc w:val="left"/>
      <w:pPr>
        <w:ind w:left="359" w:hanging="240"/>
      </w:pPr>
      <w:rPr>
        <w:rFonts w:ascii="Times New Roman" w:eastAsia="Times New Roman" w:hAnsi="Times New Roman" w:cs="Times New Roman" w:hint="default"/>
        <w:color w:val="231F20"/>
        <w:spacing w:val="-3"/>
        <w:w w:val="83"/>
        <w:sz w:val="18"/>
        <w:szCs w:val="18"/>
        <w:lang w:val="en-US" w:eastAsia="en-US" w:bidi="ar-SA"/>
      </w:rPr>
    </w:lvl>
    <w:lvl w:ilvl="1" w:tplc="99749048">
      <w:numFmt w:val="bullet"/>
      <w:lvlText w:val="•"/>
      <w:lvlJc w:val="left"/>
      <w:pPr>
        <w:ind w:left="1136" w:hanging="240"/>
      </w:pPr>
      <w:rPr>
        <w:rFonts w:hint="default"/>
        <w:lang w:val="en-US" w:eastAsia="en-US" w:bidi="ar-SA"/>
      </w:rPr>
    </w:lvl>
    <w:lvl w:ilvl="2" w:tplc="A7FE3066">
      <w:numFmt w:val="bullet"/>
      <w:lvlText w:val="•"/>
      <w:lvlJc w:val="left"/>
      <w:pPr>
        <w:ind w:left="1912" w:hanging="240"/>
      </w:pPr>
      <w:rPr>
        <w:rFonts w:hint="default"/>
        <w:lang w:val="en-US" w:eastAsia="en-US" w:bidi="ar-SA"/>
      </w:rPr>
    </w:lvl>
    <w:lvl w:ilvl="3" w:tplc="3D3A404C">
      <w:numFmt w:val="bullet"/>
      <w:lvlText w:val="•"/>
      <w:lvlJc w:val="left"/>
      <w:pPr>
        <w:ind w:left="2688" w:hanging="240"/>
      </w:pPr>
      <w:rPr>
        <w:rFonts w:hint="default"/>
        <w:lang w:val="en-US" w:eastAsia="en-US" w:bidi="ar-SA"/>
      </w:rPr>
    </w:lvl>
    <w:lvl w:ilvl="4" w:tplc="32A088C0">
      <w:numFmt w:val="bullet"/>
      <w:lvlText w:val="•"/>
      <w:lvlJc w:val="left"/>
      <w:pPr>
        <w:ind w:left="3464" w:hanging="240"/>
      </w:pPr>
      <w:rPr>
        <w:rFonts w:hint="default"/>
        <w:lang w:val="en-US" w:eastAsia="en-US" w:bidi="ar-SA"/>
      </w:rPr>
    </w:lvl>
    <w:lvl w:ilvl="5" w:tplc="C4C8AFDE">
      <w:numFmt w:val="bullet"/>
      <w:lvlText w:val="•"/>
      <w:lvlJc w:val="left"/>
      <w:pPr>
        <w:ind w:left="4240" w:hanging="240"/>
      </w:pPr>
      <w:rPr>
        <w:rFonts w:hint="default"/>
        <w:lang w:val="en-US" w:eastAsia="en-US" w:bidi="ar-SA"/>
      </w:rPr>
    </w:lvl>
    <w:lvl w:ilvl="6" w:tplc="7D50F4B8">
      <w:numFmt w:val="bullet"/>
      <w:lvlText w:val="•"/>
      <w:lvlJc w:val="left"/>
      <w:pPr>
        <w:ind w:left="5016" w:hanging="240"/>
      </w:pPr>
      <w:rPr>
        <w:rFonts w:hint="default"/>
        <w:lang w:val="en-US" w:eastAsia="en-US" w:bidi="ar-SA"/>
      </w:rPr>
    </w:lvl>
    <w:lvl w:ilvl="7" w:tplc="C5C0CCC4">
      <w:numFmt w:val="bullet"/>
      <w:lvlText w:val="•"/>
      <w:lvlJc w:val="left"/>
      <w:pPr>
        <w:ind w:left="5792" w:hanging="240"/>
      </w:pPr>
      <w:rPr>
        <w:rFonts w:hint="default"/>
        <w:lang w:val="en-US" w:eastAsia="en-US" w:bidi="ar-SA"/>
      </w:rPr>
    </w:lvl>
    <w:lvl w:ilvl="8" w:tplc="1400C8BA">
      <w:numFmt w:val="bullet"/>
      <w:lvlText w:val="•"/>
      <w:lvlJc w:val="left"/>
      <w:pPr>
        <w:ind w:left="6568" w:hanging="240"/>
      </w:pPr>
      <w:rPr>
        <w:rFonts w:hint="default"/>
        <w:lang w:val="en-US" w:eastAsia="en-US" w:bidi="ar-SA"/>
      </w:rPr>
    </w:lvl>
  </w:abstractNum>
  <w:abstractNum w:abstractNumId="12" w15:restartNumberingAfterBreak="0">
    <w:nsid w:val="6C717698"/>
    <w:multiLevelType w:val="hybridMultilevel"/>
    <w:tmpl w:val="13F640C2"/>
    <w:lvl w:ilvl="0" w:tplc="AEF46D7C">
      <w:start w:val="3"/>
      <w:numFmt w:val="decimal"/>
      <w:lvlText w:val="%1."/>
      <w:lvlJc w:val="left"/>
      <w:pPr>
        <w:ind w:left="359" w:hanging="240"/>
      </w:pPr>
      <w:rPr>
        <w:rFonts w:ascii="Times New Roman" w:eastAsia="Times New Roman" w:hAnsi="Times New Roman" w:cs="Times New Roman" w:hint="default"/>
        <w:color w:val="231F20"/>
        <w:w w:val="90"/>
        <w:sz w:val="18"/>
        <w:szCs w:val="18"/>
        <w:lang w:val="en-US" w:eastAsia="en-US" w:bidi="ar-SA"/>
      </w:rPr>
    </w:lvl>
    <w:lvl w:ilvl="1" w:tplc="B980EE52">
      <w:numFmt w:val="bullet"/>
      <w:lvlText w:val="•"/>
      <w:lvlJc w:val="left"/>
      <w:pPr>
        <w:ind w:left="1136" w:hanging="240"/>
      </w:pPr>
      <w:rPr>
        <w:rFonts w:hint="default"/>
        <w:lang w:val="en-US" w:eastAsia="en-US" w:bidi="ar-SA"/>
      </w:rPr>
    </w:lvl>
    <w:lvl w:ilvl="2" w:tplc="48FC723A">
      <w:numFmt w:val="bullet"/>
      <w:lvlText w:val="•"/>
      <w:lvlJc w:val="left"/>
      <w:pPr>
        <w:ind w:left="1912" w:hanging="240"/>
      </w:pPr>
      <w:rPr>
        <w:rFonts w:hint="default"/>
        <w:lang w:val="en-US" w:eastAsia="en-US" w:bidi="ar-SA"/>
      </w:rPr>
    </w:lvl>
    <w:lvl w:ilvl="3" w:tplc="89E80606">
      <w:numFmt w:val="bullet"/>
      <w:lvlText w:val="•"/>
      <w:lvlJc w:val="left"/>
      <w:pPr>
        <w:ind w:left="2688" w:hanging="240"/>
      </w:pPr>
      <w:rPr>
        <w:rFonts w:hint="default"/>
        <w:lang w:val="en-US" w:eastAsia="en-US" w:bidi="ar-SA"/>
      </w:rPr>
    </w:lvl>
    <w:lvl w:ilvl="4" w:tplc="94C0F876">
      <w:numFmt w:val="bullet"/>
      <w:lvlText w:val="•"/>
      <w:lvlJc w:val="left"/>
      <w:pPr>
        <w:ind w:left="3464" w:hanging="240"/>
      </w:pPr>
      <w:rPr>
        <w:rFonts w:hint="default"/>
        <w:lang w:val="en-US" w:eastAsia="en-US" w:bidi="ar-SA"/>
      </w:rPr>
    </w:lvl>
    <w:lvl w:ilvl="5" w:tplc="4BC2A3D2">
      <w:numFmt w:val="bullet"/>
      <w:lvlText w:val="•"/>
      <w:lvlJc w:val="left"/>
      <w:pPr>
        <w:ind w:left="4240" w:hanging="240"/>
      </w:pPr>
      <w:rPr>
        <w:rFonts w:hint="default"/>
        <w:lang w:val="en-US" w:eastAsia="en-US" w:bidi="ar-SA"/>
      </w:rPr>
    </w:lvl>
    <w:lvl w:ilvl="6" w:tplc="5D726FBC">
      <w:numFmt w:val="bullet"/>
      <w:lvlText w:val="•"/>
      <w:lvlJc w:val="left"/>
      <w:pPr>
        <w:ind w:left="5016" w:hanging="240"/>
      </w:pPr>
      <w:rPr>
        <w:rFonts w:hint="default"/>
        <w:lang w:val="en-US" w:eastAsia="en-US" w:bidi="ar-SA"/>
      </w:rPr>
    </w:lvl>
    <w:lvl w:ilvl="7" w:tplc="E0CC94C6">
      <w:numFmt w:val="bullet"/>
      <w:lvlText w:val="•"/>
      <w:lvlJc w:val="left"/>
      <w:pPr>
        <w:ind w:left="5792" w:hanging="240"/>
      </w:pPr>
      <w:rPr>
        <w:rFonts w:hint="default"/>
        <w:lang w:val="en-US" w:eastAsia="en-US" w:bidi="ar-SA"/>
      </w:rPr>
    </w:lvl>
    <w:lvl w:ilvl="8" w:tplc="10CA9A8C">
      <w:numFmt w:val="bullet"/>
      <w:lvlText w:val="•"/>
      <w:lvlJc w:val="left"/>
      <w:pPr>
        <w:ind w:left="6568" w:hanging="240"/>
      </w:pPr>
      <w:rPr>
        <w:rFonts w:hint="default"/>
        <w:lang w:val="en-US" w:eastAsia="en-US" w:bidi="ar-SA"/>
      </w:rPr>
    </w:lvl>
  </w:abstractNum>
  <w:abstractNum w:abstractNumId="13" w15:restartNumberingAfterBreak="0">
    <w:nsid w:val="71550ECC"/>
    <w:multiLevelType w:val="multilevel"/>
    <w:tmpl w:val="1C09001F"/>
    <w:lvl w:ilvl="0">
      <w:start w:val="1"/>
      <w:numFmt w:val="decimal"/>
      <w:lvlText w:val="%1."/>
      <w:lvlJc w:val="left"/>
      <w:pPr>
        <w:ind w:left="360" w:hanging="360"/>
      </w:pPr>
      <w:rPr>
        <w:rFonts w:hint="default"/>
        <w:b/>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886B48"/>
    <w:multiLevelType w:val="multilevel"/>
    <w:tmpl w:val="E264BB02"/>
    <w:lvl w:ilvl="0">
      <w:start w:val="1"/>
      <w:numFmt w:val="decimal"/>
      <w:lvlText w:val="%1"/>
      <w:lvlJc w:val="left"/>
      <w:pPr>
        <w:ind w:left="360" w:hanging="360"/>
      </w:pPr>
      <w:rPr>
        <w:rFonts w:hint="default"/>
      </w:rPr>
    </w:lvl>
    <w:lvl w:ilvl="1">
      <w:start w:val="1"/>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num w:numId="1" w16cid:durableId="1959605741">
    <w:abstractNumId w:val="7"/>
  </w:num>
  <w:num w:numId="2" w16cid:durableId="1538660461">
    <w:abstractNumId w:val="9"/>
  </w:num>
  <w:num w:numId="3" w16cid:durableId="85733380">
    <w:abstractNumId w:val="2"/>
  </w:num>
  <w:num w:numId="4" w16cid:durableId="1381171823">
    <w:abstractNumId w:val="3"/>
  </w:num>
  <w:num w:numId="5" w16cid:durableId="1105732855">
    <w:abstractNumId w:val="10"/>
  </w:num>
  <w:num w:numId="6" w16cid:durableId="2123842053">
    <w:abstractNumId w:val="11"/>
  </w:num>
  <w:num w:numId="7" w16cid:durableId="1359963147">
    <w:abstractNumId w:val="1"/>
  </w:num>
  <w:num w:numId="8" w16cid:durableId="1854957730">
    <w:abstractNumId w:val="12"/>
  </w:num>
  <w:num w:numId="9" w16cid:durableId="841625367">
    <w:abstractNumId w:val="5"/>
  </w:num>
  <w:num w:numId="10" w16cid:durableId="1289968773">
    <w:abstractNumId w:val="8"/>
  </w:num>
  <w:num w:numId="11" w16cid:durableId="626816976">
    <w:abstractNumId w:val="13"/>
  </w:num>
  <w:num w:numId="12" w16cid:durableId="606011983">
    <w:abstractNumId w:val="4"/>
  </w:num>
  <w:num w:numId="13" w16cid:durableId="1696733201">
    <w:abstractNumId w:val="6"/>
  </w:num>
  <w:num w:numId="14" w16cid:durableId="1175148616">
    <w:abstractNumId w:val="14"/>
  </w:num>
  <w:num w:numId="15" w16cid:durableId="1942492237">
    <w:abstractNumId w:val="4"/>
  </w:num>
  <w:num w:numId="16" w16cid:durableId="179379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1134"/>
  <w:drawingGridHorizontalSpacing w:val="360"/>
  <w:drawingGridVerticalSpacing w:val="360"/>
  <w:displayHorizontalDrawingGridEvery w:val="0"/>
  <w:displayVerticalDrawingGridEvery w:val="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53C"/>
    <w:rsid w:val="002870BF"/>
    <w:rsid w:val="005C0198"/>
    <w:rsid w:val="006B01B9"/>
    <w:rsid w:val="0097353C"/>
    <w:rsid w:val="00E71D02"/>
    <w:rsid w:val="00F7695F"/>
    <w:rsid w:val="00F82F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FEF2B36"/>
  <w15:docId w15:val="{E5726DFC-EE45-C744-93D6-7D576A09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4D54"/>
    <w:pPr>
      <w:widowControl w:val="0"/>
      <w:tabs>
        <w:tab w:val="left" w:pos="170"/>
      </w:tabs>
      <w:autoSpaceDE w:val="0"/>
      <w:autoSpaceDN w:val="0"/>
      <w:spacing w:after="240" w:line="360" w:lineRule="auto"/>
      <w:jc w:val="both"/>
    </w:pPr>
    <w:rPr>
      <w:rFonts w:ascii="Arial" w:eastAsia="Times New Roman" w:hAnsi="Arial" w:cs="Times New Roman"/>
      <w:sz w:val="24"/>
      <w:lang w:val="en-GB"/>
    </w:rPr>
  </w:style>
  <w:style w:type="paragraph" w:styleId="Heading1">
    <w:name w:val="heading 1"/>
    <w:basedOn w:val="Normal"/>
    <w:link w:val="Heading1Char"/>
    <w:autoRedefine/>
    <w:uiPriority w:val="1"/>
    <w:qFormat/>
    <w:rsid w:val="001B247C"/>
    <w:pPr>
      <w:tabs>
        <w:tab w:val="clear" w:pos="170"/>
      </w:tabs>
      <w:spacing w:after="120"/>
      <w:ind w:left="737" w:hanging="737"/>
      <w:outlineLvl w:val="0"/>
    </w:pPr>
    <w:rPr>
      <w:rFonts w:eastAsia="Arial" w:cs="Arial"/>
      <w:b/>
      <w:bCs/>
      <w:szCs w:val="24"/>
    </w:rPr>
  </w:style>
  <w:style w:type="paragraph" w:styleId="Heading2">
    <w:name w:val="heading 2"/>
    <w:basedOn w:val="Normal"/>
    <w:link w:val="Heading2Char"/>
    <w:uiPriority w:val="1"/>
    <w:qFormat/>
    <w:rsid w:val="001B247C"/>
    <w:pPr>
      <w:widowControl/>
      <w:tabs>
        <w:tab w:val="clear" w:pos="170"/>
      </w:tabs>
      <w:autoSpaceDE/>
      <w:autoSpaceDN/>
      <w:spacing w:after="120"/>
      <w:ind w:left="737" w:hanging="737"/>
      <w:outlineLvl w:val="1"/>
    </w:pPr>
    <w:rPr>
      <w:rFonts w:eastAsiaTheme="minorHAnsi" w:cs="Arial"/>
      <w:b/>
    </w:rPr>
  </w:style>
  <w:style w:type="paragraph" w:styleId="Heading3">
    <w:name w:val="heading 3"/>
    <w:basedOn w:val="Normal"/>
    <w:next w:val="Normal"/>
    <w:link w:val="Heading3Char"/>
    <w:uiPriority w:val="9"/>
    <w:unhideWhenUsed/>
    <w:qFormat/>
    <w:rsid w:val="001B247C"/>
    <w:pPr>
      <w:widowControl/>
      <w:tabs>
        <w:tab w:val="clear" w:pos="170"/>
      </w:tabs>
      <w:autoSpaceDE/>
      <w:autoSpaceDN/>
      <w:spacing w:after="120"/>
      <w:ind w:left="737" w:hanging="737"/>
      <w:outlineLvl w:val="2"/>
    </w:pPr>
    <w:rPr>
      <w:rFonts w:eastAsiaTheme="minorHAnsi" w:cs="Arial"/>
      <w:b/>
    </w:rPr>
  </w:style>
  <w:style w:type="paragraph" w:styleId="Heading4">
    <w:name w:val="heading 4"/>
    <w:basedOn w:val="Normal"/>
    <w:next w:val="Normal"/>
    <w:link w:val="Heading4Char"/>
    <w:uiPriority w:val="9"/>
    <w:unhideWhenUsed/>
    <w:qFormat/>
    <w:rsid w:val="009D31B9"/>
    <w:pPr>
      <w:keepNext/>
      <w:adjustRightInd w:val="0"/>
      <w:spacing w:line="240" w:lineRule="auto"/>
      <w:outlineLvl w:val="3"/>
    </w:pPr>
    <w:rPr>
      <w:rFonts w:cs="Arial"/>
      <w:b/>
      <w:bCs/>
      <w:color w:val="000000" w:themeColor="text1"/>
      <w:sz w:val="52"/>
      <w:szCs w:val="52"/>
    </w:rPr>
  </w:style>
  <w:style w:type="paragraph" w:styleId="Heading5">
    <w:name w:val="heading 5"/>
    <w:basedOn w:val="Normal"/>
    <w:next w:val="Normal"/>
    <w:link w:val="Heading5Char"/>
    <w:uiPriority w:val="9"/>
    <w:unhideWhenUsed/>
    <w:qFormat/>
    <w:rsid w:val="009D31B9"/>
    <w:pPr>
      <w:keepNext/>
      <w:spacing w:line="240" w:lineRule="auto"/>
      <w:outlineLvl w:val="4"/>
    </w:pPr>
    <w:rPr>
      <w:rFonts w:cs="Arial"/>
      <w:b/>
      <w:bCs/>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247C"/>
    <w:rPr>
      <w:rFonts w:ascii="Arial" w:eastAsia="Arial" w:hAnsi="Arial" w:cs="Arial"/>
      <w:b/>
      <w:bCs/>
      <w:sz w:val="24"/>
      <w:szCs w:val="24"/>
      <w:lang w:val="en-GB"/>
    </w:rPr>
  </w:style>
  <w:style w:type="character" w:customStyle="1" w:styleId="Heading2Char">
    <w:name w:val="Heading 2 Char"/>
    <w:basedOn w:val="DefaultParagraphFont"/>
    <w:link w:val="Heading2"/>
    <w:uiPriority w:val="1"/>
    <w:rsid w:val="001B247C"/>
    <w:rPr>
      <w:rFonts w:ascii="Arial" w:hAnsi="Arial" w:cs="Arial"/>
      <w:b/>
      <w:sz w:val="24"/>
      <w:lang w:val="en-GB"/>
    </w:rPr>
  </w:style>
  <w:style w:type="paragraph" w:styleId="BodyText">
    <w:name w:val="Body Text"/>
    <w:basedOn w:val="Normal"/>
    <w:link w:val="BodyTextChar"/>
    <w:uiPriority w:val="1"/>
    <w:qFormat/>
    <w:rsid w:val="00A73CCA"/>
    <w:rPr>
      <w:szCs w:val="20"/>
    </w:rPr>
  </w:style>
  <w:style w:type="character" w:customStyle="1" w:styleId="BodyTextChar">
    <w:name w:val="Body Text Char"/>
    <w:basedOn w:val="DefaultParagraphFont"/>
    <w:link w:val="BodyText"/>
    <w:uiPriority w:val="1"/>
    <w:rsid w:val="00A73CCA"/>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A73CCA"/>
    <w:pPr>
      <w:spacing w:before="268"/>
      <w:ind w:left="120" w:right="1408"/>
    </w:pPr>
    <w:rPr>
      <w:rFonts w:ascii="Verdana" w:eastAsia="Verdana" w:hAnsi="Verdana" w:cs="Verdana"/>
      <w:sz w:val="30"/>
      <w:szCs w:val="30"/>
    </w:rPr>
  </w:style>
  <w:style w:type="character" w:customStyle="1" w:styleId="TitleChar">
    <w:name w:val="Title Char"/>
    <w:basedOn w:val="DefaultParagraphFont"/>
    <w:link w:val="Title"/>
    <w:uiPriority w:val="1"/>
    <w:rsid w:val="00A73CCA"/>
    <w:rPr>
      <w:rFonts w:ascii="Verdana" w:eastAsia="Verdana" w:hAnsi="Verdana" w:cs="Verdana"/>
      <w:sz w:val="30"/>
      <w:szCs w:val="30"/>
      <w:lang w:val="en-US"/>
    </w:rPr>
  </w:style>
  <w:style w:type="paragraph" w:styleId="ListParagraph">
    <w:name w:val="List Paragraph"/>
    <w:basedOn w:val="Normal"/>
    <w:uiPriority w:val="1"/>
    <w:qFormat/>
    <w:rsid w:val="00A73CCA"/>
    <w:pPr>
      <w:spacing w:before="1"/>
      <w:ind w:left="359" w:right="797" w:hanging="240"/>
    </w:pPr>
  </w:style>
  <w:style w:type="paragraph" w:customStyle="1" w:styleId="TableParagraph">
    <w:name w:val="Table Paragraph"/>
    <w:basedOn w:val="Normal"/>
    <w:uiPriority w:val="1"/>
    <w:qFormat/>
    <w:rsid w:val="00A73CCA"/>
  </w:style>
  <w:style w:type="paragraph" w:styleId="Header">
    <w:name w:val="header"/>
    <w:basedOn w:val="Normal"/>
    <w:link w:val="HeaderChar"/>
    <w:uiPriority w:val="99"/>
    <w:unhideWhenUsed/>
    <w:rsid w:val="00A73CCA"/>
    <w:pPr>
      <w:tabs>
        <w:tab w:val="center" w:pos="4513"/>
        <w:tab w:val="right" w:pos="9026"/>
      </w:tabs>
    </w:pPr>
  </w:style>
  <w:style w:type="character" w:customStyle="1" w:styleId="HeaderChar">
    <w:name w:val="Header Char"/>
    <w:basedOn w:val="DefaultParagraphFont"/>
    <w:link w:val="Header"/>
    <w:uiPriority w:val="99"/>
    <w:rsid w:val="00A73CCA"/>
    <w:rPr>
      <w:rFonts w:ascii="Times New Roman" w:eastAsia="Times New Roman" w:hAnsi="Times New Roman" w:cs="Times New Roman"/>
      <w:lang w:val="en-US"/>
    </w:rPr>
  </w:style>
  <w:style w:type="paragraph" w:styleId="Footer">
    <w:name w:val="footer"/>
    <w:basedOn w:val="Normal"/>
    <w:link w:val="FooterChar"/>
    <w:uiPriority w:val="99"/>
    <w:unhideWhenUsed/>
    <w:rsid w:val="00A73CCA"/>
    <w:pPr>
      <w:tabs>
        <w:tab w:val="center" w:pos="4513"/>
        <w:tab w:val="right" w:pos="9026"/>
      </w:tabs>
    </w:pPr>
  </w:style>
  <w:style w:type="character" w:customStyle="1" w:styleId="FooterChar">
    <w:name w:val="Footer Char"/>
    <w:basedOn w:val="DefaultParagraphFont"/>
    <w:link w:val="Footer"/>
    <w:uiPriority w:val="99"/>
    <w:rsid w:val="00A73CCA"/>
    <w:rPr>
      <w:rFonts w:ascii="Times New Roman" w:eastAsia="Times New Roman" w:hAnsi="Times New Roman" w:cs="Times New Roman"/>
      <w:lang w:val="en-US"/>
    </w:rPr>
  </w:style>
  <w:style w:type="paragraph" w:styleId="FootnoteText">
    <w:name w:val="footnote text"/>
    <w:basedOn w:val="Normal"/>
    <w:link w:val="FootnoteTextChar"/>
    <w:autoRedefine/>
    <w:uiPriority w:val="99"/>
    <w:unhideWhenUsed/>
    <w:qFormat/>
    <w:rsid w:val="00896363"/>
    <w:pPr>
      <w:tabs>
        <w:tab w:val="clear" w:pos="170"/>
        <w:tab w:val="left" w:pos="567"/>
      </w:tabs>
      <w:spacing w:after="60" w:line="240" w:lineRule="auto"/>
    </w:pPr>
    <w:rPr>
      <w:sz w:val="20"/>
      <w:szCs w:val="20"/>
    </w:rPr>
  </w:style>
  <w:style w:type="character" w:customStyle="1" w:styleId="FootnoteTextChar">
    <w:name w:val="Footnote Text Char"/>
    <w:basedOn w:val="DefaultParagraphFont"/>
    <w:link w:val="FootnoteText"/>
    <w:uiPriority w:val="99"/>
    <w:rsid w:val="00896363"/>
    <w:rPr>
      <w:rFonts w:ascii="Arial" w:eastAsia="Times New Roman" w:hAnsi="Arial" w:cs="Times New Roman"/>
      <w:sz w:val="20"/>
      <w:szCs w:val="20"/>
      <w:lang w:val="en-GB"/>
    </w:rPr>
  </w:style>
  <w:style w:type="character" w:styleId="FootnoteReference">
    <w:name w:val="footnote reference"/>
    <w:basedOn w:val="DefaultParagraphFont"/>
    <w:uiPriority w:val="99"/>
    <w:unhideWhenUsed/>
    <w:rsid w:val="004F3F54"/>
    <w:rPr>
      <w:vertAlign w:val="superscript"/>
    </w:rPr>
  </w:style>
  <w:style w:type="paragraph" w:customStyle="1" w:styleId="EndNoteBibliographyTitle">
    <w:name w:val="EndNote Bibliography Title"/>
    <w:basedOn w:val="Normal"/>
    <w:link w:val="EndNoteBibliographyTitleChar"/>
    <w:rsid w:val="004F3F54"/>
    <w:pPr>
      <w:jc w:val="center"/>
    </w:pPr>
    <w:rPr>
      <w:rFonts w:ascii="Times New Roman" w:hAnsi="Times New Roman"/>
      <w:noProof/>
    </w:rPr>
  </w:style>
  <w:style w:type="character" w:customStyle="1" w:styleId="EndNoteBibliographyTitleChar">
    <w:name w:val="EndNote Bibliography Title Char"/>
    <w:basedOn w:val="FootnoteTextChar"/>
    <w:link w:val="EndNoteBibliographyTitle"/>
    <w:rsid w:val="004F3F54"/>
    <w:rPr>
      <w:rFonts w:ascii="Times New Roman" w:eastAsia="Times New Roman" w:hAnsi="Times New Roman" w:cs="Times New Roman"/>
      <w:noProof/>
      <w:sz w:val="18"/>
      <w:szCs w:val="20"/>
      <w:lang w:val="en-US"/>
    </w:rPr>
  </w:style>
  <w:style w:type="paragraph" w:customStyle="1" w:styleId="EndNoteBibliography">
    <w:name w:val="EndNote Bibliography"/>
    <w:basedOn w:val="Normal"/>
    <w:link w:val="EndNoteBibliographyChar"/>
    <w:rsid w:val="004F3F54"/>
    <w:rPr>
      <w:rFonts w:ascii="Times New Roman" w:hAnsi="Times New Roman"/>
      <w:noProof/>
    </w:rPr>
  </w:style>
  <w:style w:type="character" w:customStyle="1" w:styleId="EndNoteBibliographyChar">
    <w:name w:val="EndNote Bibliography Char"/>
    <w:basedOn w:val="FootnoteTextChar"/>
    <w:link w:val="EndNoteBibliography"/>
    <w:rsid w:val="004F3F54"/>
    <w:rPr>
      <w:rFonts w:ascii="Times New Roman" w:eastAsia="Times New Roman" w:hAnsi="Times New Roman" w:cs="Times New Roman"/>
      <w:noProof/>
      <w:sz w:val="18"/>
      <w:szCs w:val="20"/>
      <w:lang w:val="en-US"/>
    </w:rPr>
  </w:style>
  <w:style w:type="character" w:styleId="Hyperlink">
    <w:name w:val="Hyperlink"/>
    <w:basedOn w:val="DefaultParagraphFont"/>
    <w:uiPriority w:val="99"/>
    <w:unhideWhenUsed/>
    <w:rsid w:val="004F3F54"/>
    <w:rPr>
      <w:color w:val="0563C1" w:themeColor="hyperlink"/>
      <w:u w:val="single"/>
    </w:rPr>
  </w:style>
  <w:style w:type="paragraph" w:styleId="NoSpacing">
    <w:name w:val="No Spacing"/>
    <w:uiPriority w:val="1"/>
    <w:qFormat/>
    <w:rsid w:val="00FE5B9F"/>
    <w:pPr>
      <w:widowControl w:val="0"/>
      <w:autoSpaceDE w:val="0"/>
      <w:autoSpaceDN w:val="0"/>
      <w:spacing w:after="0" w:line="240" w:lineRule="auto"/>
    </w:pPr>
    <w:rPr>
      <w:rFonts w:ascii="Times New Roman" w:eastAsia="Times New Roman" w:hAnsi="Times New Roman" w:cs="Times New Roman"/>
      <w:lang w:val="en-US"/>
    </w:rPr>
  </w:style>
  <w:style w:type="character" w:styleId="CommentReference">
    <w:name w:val="annotation reference"/>
    <w:basedOn w:val="DefaultParagraphFont"/>
    <w:uiPriority w:val="99"/>
    <w:semiHidden/>
    <w:unhideWhenUsed/>
    <w:rsid w:val="001E4EA8"/>
    <w:rPr>
      <w:sz w:val="16"/>
      <w:szCs w:val="16"/>
    </w:rPr>
  </w:style>
  <w:style w:type="paragraph" w:styleId="CommentText">
    <w:name w:val="annotation text"/>
    <w:basedOn w:val="Normal"/>
    <w:link w:val="CommentTextChar"/>
    <w:uiPriority w:val="99"/>
    <w:semiHidden/>
    <w:unhideWhenUsed/>
    <w:rsid w:val="001E4EA8"/>
    <w:rPr>
      <w:szCs w:val="20"/>
    </w:rPr>
  </w:style>
  <w:style w:type="character" w:customStyle="1" w:styleId="CommentTextChar">
    <w:name w:val="Comment Text Char"/>
    <w:basedOn w:val="DefaultParagraphFont"/>
    <w:link w:val="CommentText"/>
    <w:uiPriority w:val="99"/>
    <w:semiHidden/>
    <w:rsid w:val="001E4EA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E4EA8"/>
    <w:rPr>
      <w:b/>
      <w:bCs/>
    </w:rPr>
  </w:style>
  <w:style w:type="character" w:customStyle="1" w:styleId="CommentSubjectChar">
    <w:name w:val="Comment Subject Char"/>
    <w:basedOn w:val="CommentTextChar"/>
    <w:link w:val="CommentSubject"/>
    <w:uiPriority w:val="99"/>
    <w:semiHidden/>
    <w:rsid w:val="001E4EA8"/>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1E4E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EA8"/>
    <w:rPr>
      <w:rFonts w:ascii="Segoe UI" w:eastAsia="Times New Roman" w:hAnsi="Segoe UI" w:cs="Segoe UI"/>
      <w:sz w:val="18"/>
      <w:szCs w:val="18"/>
      <w:lang w:val="en-US"/>
    </w:rPr>
  </w:style>
  <w:style w:type="paragraph" w:customStyle="1" w:styleId="Style1">
    <w:name w:val="Style1"/>
    <w:basedOn w:val="BodyText"/>
    <w:uiPriority w:val="1"/>
    <w:qFormat/>
    <w:rsid w:val="000950CB"/>
    <w:pPr>
      <w:spacing w:before="30" w:line="271" w:lineRule="auto"/>
      <w:ind w:firstLine="240"/>
    </w:pPr>
    <w:rPr>
      <w:color w:val="231F20"/>
    </w:rPr>
  </w:style>
  <w:style w:type="paragraph" w:styleId="Caption">
    <w:name w:val="caption"/>
    <w:basedOn w:val="Normal"/>
    <w:next w:val="Normal"/>
    <w:uiPriority w:val="35"/>
    <w:qFormat/>
    <w:rsid w:val="00D87D72"/>
    <w:pPr>
      <w:widowControl/>
      <w:autoSpaceDE/>
      <w:autoSpaceDN/>
      <w:spacing w:before="60"/>
    </w:pPr>
    <w:rPr>
      <w:rFonts w:cs="Arial"/>
      <w:b/>
      <w:bCs/>
      <w:iCs/>
      <w:color w:val="000000" w:themeColor="text1"/>
      <w:szCs w:val="16"/>
    </w:rPr>
  </w:style>
  <w:style w:type="paragraph" w:styleId="EndnoteText">
    <w:name w:val="endnote text"/>
    <w:basedOn w:val="Normal"/>
    <w:link w:val="EndnoteTextChar"/>
    <w:uiPriority w:val="99"/>
    <w:semiHidden/>
    <w:unhideWhenUsed/>
    <w:rsid w:val="005B474E"/>
    <w:rPr>
      <w:sz w:val="20"/>
      <w:szCs w:val="20"/>
    </w:rPr>
  </w:style>
  <w:style w:type="character" w:customStyle="1" w:styleId="EndnoteTextChar">
    <w:name w:val="Endnote Text Char"/>
    <w:basedOn w:val="DefaultParagraphFont"/>
    <w:link w:val="EndnoteText"/>
    <w:uiPriority w:val="99"/>
    <w:semiHidden/>
    <w:rsid w:val="005B474E"/>
    <w:rPr>
      <w:rFonts w:ascii="Arial" w:eastAsia="Times New Roman" w:hAnsi="Arial" w:cs="Times New Roman"/>
      <w:sz w:val="20"/>
      <w:szCs w:val="20"/>
      <w:lang w:val="en-US"/>
    </w:rPr>
  </w:style>
  <w:style w:type="character" w:styleId="EndnoteReference">
    <w:name w:val="endnote reference"/>
    <w:basedOn w:val="DefaultParagraphFont"/>
    <w:uiPriority w:val="99"/>
    <w:semiHidden/>
    <w:unhideWhenUsed/>
    <w:rsid w:val="005B474E"/>
    <w:rPr>
      <w:vertAlign w:val="superscript"/>
    </w:rPr>
  </w:style>
  <w:style w:type="character" w:styleId="IntenseReference">
    <w:name w:val="Intense Reference"/>
    <w:basedOn w:val="DefaultParagraphFont"/>
    <w:uiPriority w:val="32"/>
    <w:qFormat/>
    <w:rsid w:val="000C3C39"/>
    <w:rPr>
      <w:b/>
      <w:bCs/>
      <w:smallCaps/>
      <w:color w:val="5B9BD5" w:themeColor="accent1"/>
      <w:spacing w:val="5"/>
    </w:rPr>
  </w:style>
  <w:style w:type="paragraph" w:customStyle="1" w:styleId="ChartNormal">
    <w:name w:val="__Chart_Normal"/>
    <w:basedOn w:val="Normal"/>
    <w:rsid w:val="001149CC"/>
    <w:pPr>
      <w:keepNext/>
      <w:framePr w:hSpace="57" w:vSpace="57" w:wrap="around" w:vAnchor="text" w:hAnchor="margin" w:x="1" w:y="1"/>
      <w:widowControl/>
      <w:tabs>
        <w:tab w:val="clear" w:pos="170"/>
      </w:tabs>
      <w:autoSpaceDE/>
      <w:autoSpaceDN/>
      <w:jc w:val="left"/>
    </w:pPr>
    <w:rPr>
      <w:rFonts w:ascii="Arial Narrow" w:eastAsia="SimSun" w:hAnsi="Arial Narrow" w:cs="Arial"/>
      <w:color w:val="000000"/>
      <w:sz w:val="14"/>
      <w:szCs w:val="20"/>
    </w:rPr>
  </w:style>
  <w:style w:type="character" w:customStyle="1" w:styleId="ChartObject">
    <w:name w:val="_Chart Object"/>
    <w:basedOn w:val="DefaultParagraphFont"/>
    <w:rsid w:val="001149CC"/>
  </w:style>
  <w:style w:type="character" w:customStyle="1" w:styleId="ChartSource">
    <w:name w:val="_Chart Source"/>
    <w:basedOn w:val="DefaultParagraphFont"/>
    <w:rsid w:val="001149CC"/>
    <w:rPr>
      <w:rFonts w:ascii="Arial Narrow" w:eastAsia="SimSun" w:hAnsi="Arial Narrow"/>
      <w:i w:val="0"/>
      <w:sz w:val="12"/>
      <w:bdr w:val="none" w:sz="0" w:space="0" w:color="auto"/>
      <w:shd w:val="clear" w:color="auto" w:fill="F2F2F2" w:themeFill="background1" w:themeFillShade="F2"/>
    </w:rPr>
  </w:style>
  <w:style w:type="character" w:customStyle="1" w:styleId="ChartTitle">
    <w:name w:val="_Chart Title"/>
    <w:basedOn w:val="DefaultParagraphFont"/>
    <w:rsid w:val="001149CC"/>
    <w:rPr>
      <w:rFonts w:ascii="Arial" w:eastAsia="SimHei" w:hAnsi="Arial"/>
      <w:b/>
      <w:sz w:val="18"/>
    </w:rPr>
  </w:style>
  <w:style w:type="character" w:customStyle="1" w:styleId="TableSubtitle">
    <w:name w:val="_Table Subtitle"/>
    <w:basedOn w:val="DefaultParagraphFont"/>
    <w:rsid w:val="00243684"/>
    <w:rPr>
      <w:rFonts w:ascii="Arial Narrow" w:eastAsia="SimSun" w:hAnsi="Arial Narrow"/>
      <w:b/>
      <w:sz w:val="14"/>
    </w:rPr>
  </w:style>
  <w:style w:type="paragraph" w:styleId="Revision">
    <w:name w:val="Revision"/>
    <w:hidden/>
    <w:uiPriority w:val="99"/>
    <w:semiHidden/>
    <w:rsid w:val="00B16664"/>
    <w:pPr>
      <w:spacing w:after="0" w:line="240" w:lineRule="auto"/>
    </w:pPr>
    <w:rPr>
      <w:rFonts w:ascii="Arial" w:eastAsia="Times New Roman" w:hAnsi="Arial" w:cs="Times New Roman"/>
      <w:lang w:val="en-US"/>
    </w:rPr>
  </w:style>
  <w:style w:type="character" w:styleId="FollowedHyperlink">
    <w:name w:val="FollowedHyperlink"/>
    <w:basedOn w:val="DefaultParagraphFont"/>
    <w:uiPriority w:val="99"/>
    <w:semiHidden/>
    <w:unhideWhenUsed/>
    <w:rsid w:val="00916F21"/>
    <w:rPr>
      <w:color w:val="954F72" w:themeColor="followedHyperlink"/>
      <w:u w:val="single"/>
    </w:rPr>
  </w:style>
  <w:style w:type="paragraph" w:styleId="BodyText2">
    <w:name w:val="Body Text 2"/>
    <w:basedOn w:val="Normal"/>
    <w:link w:val="BodyText2Char"/>
    <w:uiPriority w:val="99"/>
    <w:unhideWhenUsed/>
    <w:rsid w:val="007E5901"/>
    <w:pPr>
      <w:widowControl/>
      <w:tabs>
        <w:tab w:val="clear" w:pos="170"/>
      </w:tabs>
      <w:autoSpaceDE/>
      <w:autoSpaceDN/>
      <w:spacing w:line="288" w:lineRule="auto"/>
      <w:jc w:val="center"/>
    </w:pPr>
    <w:rPr>
      <w:rFonts w:eastAsiaTheme="minorHAnsi" w:cs="Arial"/>
      <w:b/>
      <w:sz w:val="28"/>
    </w:rPr>
  </w:style>
  <w:style w:type="character" w:customStyle="1" w:styleId="BodyText2Char">
    <w:name w:val="Body Text 2 Char"/>
    <w:basedOn w:val="DefaultParagraphFont"/>
    <w:link w:val="BodyText2"/>
    <w:uiPriority w:val="99"/>
    <w:rsid w:val="007E5901"/>
    <w:rPr>
      <w:rFonts w:ascii="Arial" w:hAnsi="Arial" w:cs="Arial"/>
      <w:b/>
      <w:sz w:val="28"/>
      <w:lang w:val="en-US"/>
    </w:rPr>
  </w:style>
  <w:style w:type="paragraph" w:styleId="BodyText3">
    <w:name w:val="Body Text 3"/>
    <w:basedOn w:val="Normal"/>
    <w:link w:val="BodyText3Char"/>
    <w:uiPriority w:val="99"/>
    <w:unhideWhenUsed/>
    <w:rsid w:val="00006603"/>
    <w:pPr>
      <w:widowControl/>
      <w:tabs>
        <w:tab w:val="clear" w:pos="170"/>
      </w:tabs>
      <w:autoSpaceDE/>
      <w:autoSpaceDN/>
      <w:spacing w:line="288" w:lineRule="auto"/>
    </w:pPr>
    <w:rPr>
      <w:rFonts w:eastAsiaTheme="minorHAnsi" w:cs="Arial"/>
    </w:rPr>
  </w:style>
  <w:style w:type="character" w:customStyle="1" w:styleId="BodyText3Char">
    <w:name w:val="Body Text 3 Char"/>
    <w:basedOn w:val="DefaultParagraphFont"/>
    <w:link w:val="BodyText3"/>
    <w:uiPriority w:val="99"/>
    <w:rsid w:val="00006603"/>
    <w:rPr>
      <w:rFonts w:ascii="Arial" w:hAnsi="Arial" w:cs="Arial"/>
      <w:lang w:val="en-US"/>
    </w:rPr>
  </w:style>
  <w:style w:type="paragraph" w:customStyle="1" w:styleId="Default">
    <w:name w:val="Default"/>
    <w:rsid w:val="003F05F8"/>
    <w:pPr>
      <w:autoSpaceDE w:val="0"/>
      <w:autoSpaceDN w:val="0"/>
      <w:adjustRightInd w:val="0"/>
      <w:spacing w:after="0" w:line="240" w:lineRule="auto"/>
    </w:pPr>
    <w:rPr>
      <w:rFonts w:ascii="Arial" w:eastAsia="Cambria" w:hAnsi="Arial" w:cs="Arial"/>
      <w:color w:val="000000"/>
      <w:sz w:val="24"/>
      <w:szCs w:val="24"/>
      <w:lang w:val="en-US" w:eastAsia="en-GB"/>
    </w:rPr>
  </w:style>
  <w:style w:type="character" w:customStyle="1" w:styleId="Heading3Char">
    <w:name w:val="Heading 3 Char"/>
    <w:basedOn w:val="DefaultParagraphFont"/>
    <w:link w:val="Heading3"/>
    <w:uiPriority w:val="9"/>
    <w:rsid w:val="001B247C"/>
    <w:rPr>
      <w:rFonts w:ascii="Arial" w:hAnsi="Arial" w:cs="Arial"/>
      <w:b/>
      <w:sz w:val="24"/>
      <w:lang w:val="en-GB"/>
    </w:rPr>
  </w:style>
  <w:style w:type="character" w:customStyle="1" w:styleId="Heading4Char">
    <w:name w:val="Heading 4 Char"/>
    <w:basedOn w:val="DefaultParagraphFont"/>
    <w:link w:val="Heading4"/>
    <w:uiPriority w:val="9"/>
    <w:rsid w:val="009D31B9"/>
    <w:rPr>
      <w:rFonts w:ascii="Arial" w:eastAsia="Times New Roman" w:hAnsi="Arial" w:cs="Arial"/>
      <w:b/>
      <w:bCs/>
      <w:color w:val="000000" w:themeColor="text1"/>
      <w:sz w:val="52"/>
      <w:szCs w:val="52"/>
      <w:lang w:val="en-GB"/>
    </w:rPr>
  </w:style>
  <w:style w:type="character" w:customStyle="1" w:styleId="Heading5Char">
    <w:name w:val="Heading 5 Char"/>
    <w:basedOn w:val="DefaultParagraphFont"/>
    <w:link w:val="Heading5"/>
    <w:uiPriority w:val="9"/>
    <w:rsid w:val="009D31B9"/>
    <w:rPr>
      <w:rFonts w:ascii="Arial" w:eastAsia="Times New Roman" w:hAnsi="Arial" w:cs="Arial"/>
      <w:b/>
      <w:bCs/>
      <w:color w:val="000000" w:themeColor="text1"/>
      <w:sz w:val="30"/>
      <w:szCs w:val="30"/>
      <w:lang w:val="en-GB"/>
    </w:r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4284/0038-4038-77.4.934" TargetMode="External"/><Relationship Id="rId26" Type="http://schemas.openxmlformats.org/officeDocument/2006/relationships/hyperlink" Target="https://www.jstor.org/stable/1912705" TargetMode="External"/><Relationship Id="rId21" Type="http://schemas.openxmlformats.org/officeDocument/2006/relationships/hyperlink" Target="https://doi.org/10.1086/260968" TargetMode="Externa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11/j.1538-4616.2010.00307.x" TargetMode="External"/><Relationship Id="rId25" Type="http://schemas.openxmlformats.org/officeDocument/2006/relationships/hyperlink" Target="https://www.jstor.org/stable/1914364"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S1514-0326(13)60003-3" TargetMode="External"/><Relationship Id="rId20" Type="http://schemas.openxmlformats.org/officeDocument/2006/relationships/hyperlink" Target="https://doi.org/10.1111/j.1468-2354.2005.00333.x"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86/261821"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jstor.org/stable/2998540" TargetMode="External"/><Relationship Id="rId23" Type="http://schemas.openxmlformats.org/officeDocument/2006/relationships/hyperlink" Target="https://www.jstor.org/stable/1913643" TargetMode="External"/><Relationship Id="rId28" Type="http://schemas.openxmlformats.org/officeDocument/2006/relationships/image" Target="media/image9.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yperlink" Target="https://doi.org/10.1111/1468-0335.00195"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46/annurev-economics-063016-103651" TargetMode="External"/><Relationship Id="rId27" Type="http://schemas.openxmlformats.org/officeDocument/2006/relationships/hyperlink" Target="https://www.jstor.org/stable/1808128" TargetMode="External"/><Relationship Id="rId30" Type="http://schemas.openxmlformats.org/officeDocument/2006/relationships/image" Target="media/image11.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34</Pages>
  <Words>7629</Words>
  <Characters>43792</Characters>
  <Application>Microsoft Office Word</Application>
  <DocSecurity>0</DocSecurity>
  <Lines>1216</Lines>
  <Paragraphs>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Xolani Sibande</cp:lastModifiedBy>
  <cp:revision>2</cp:revision>
  <dcterms:created xsi:type="dcterms:W3CDTF">2026-03-12T08:33:00Z</dcterms:created>
  <dcterms:modified xsi:type="dcterms:W3CDTF">2026-03-12T08:40:00Z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style">
    <vt:lpwstr>apalike</vt:lpwstr>
  </property>
  <property fmtid="{D5CDD505-2E9C-101B-9397-08002B2CF9AE}" pid="4" name="bibliography">
    <vt:lpwstr>references.bib</vt:lpwstr>
  </property>
  <property fmtid="{D5CDD505-2E9C-101B-9397-08002B2CF9AE}" pid="5" name="citecolor">
    <vt:lpwstr>blue!100!black</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indent">
    <vt:lpwstr>True</vt:lpwstr>
  </property>
  <property fmtid="{D5CDD505-2E9C-101B-9397-08002B2CF9AE}" pid="12" name="labels">
    <vt:lpwstr/>
  </property>
  <property fmtid="{D5CDD505-2E9C-101B-9397-08002B2CF9AE}" pid="13" name="linestretch">
    <vt:lpwstr>1.5</vt:lpwstr>
  </property>
  <property fmtid="{D5CDD505-2E9C-101B-9397-08002B2CF9AE}" pid="14" name="link-citations">
    <vt:lpwstr>True</vt:lpwstr>
  </property>
  <property fmtid="{D5CDD505-2E9C-101B-9397-08002B2CF9AE}" pid="15" name="linkcolor">
    <vt:lpwstr>blue!100!black</vt:lpwstr>
  </property>
  <property fmtid="{D5CDD505-2E9C-101B-9397-08002B2CF9AE}" pid="16" name="natbiboptions">
    <vt:lpwstr>round</vt:lpwstr>
  </property>
  <property fmtid="{D5CDD505-2E9C-101B-9397-08002B2CF9AE}" pid="17" name="title-block-banner">
    <vt:lpwstr>False</vt:lpwstr>
  </property>
  <property fmtid="{D5CDD505-2E9C-101B-9397-08002B2CF9AE}" pid="18" name="title-block-style">
    <vt:lpwstr>none</vt:lpwstr>
  </property>
  <property fmtid="{D5CDD505-2E9C-101B-9397-08002B2CF9AE}" pid="19" name="toc-title">
    <vt:lpwstr>Table of contents</vt:lpwstr>
  </property>
  <property fmtid="{D5CDD505-2E9C-101B-9397-08002B2CF9AE}" pid="20" name="urlcolor">
    <vt:lpwstr>blue!100!black</vt:lpwstr>
  </property>
</Properties>
</file>