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media/rId39.png" ContentType="image/png"/>
  <Override PartName="/word/media/rId91.png" ContentType="image/png"/>
  <Override PartName="/word/media/rId55.png" ContentType="image/png"/>
  <Override PartName="/word/media/rId51.png" ContentType="image/png"/>
  <Override PartName="/word/media/rId47.png" ContentType="image/png"/>
  <Override PartName="/word/media/rId35.png" ContentType="image/png"/>
  <Override PartName="/word/media/rId59.png" ContentType="image/png"/>
  <Override PartName="/word/media/rId95.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1"/>
      </w:pPr>
      <w:r>
        <w:t xml:space="preserve">Introduction</w:t>
      </w:r>
    </w:p>
    <w:p>
      <w:pPr>
        <w:pStyle w:val="FirstParagraph"/>
      </w:pPr>
      <w:r>
        <w:t xml:space="preserve">Inflation is known to have adverse welfare effects through its distortion of relative prices which causes the misallocation of resources, production inefficiencies leading to lower real economic activity. This is well supported by both theoretical and empirical studies. This paper contributes to the empirical literature, by examining the relationship between inflation and relative price variability (RPV) in South Africa given the little evidence available and to better understand how this relationship has evolved and the implications for monetary policy.</w:t>
      </w:r>
    </w:p>
    <w:p>
      <w:pPr>
        <w:pStyle w:val="BodyText"/>
      </w:pPr>
      <w:r>
        <w:t xml:space="preserve">The South African context can provide further insights into the relationship between inflation and RPV given the shifts in the inflation targets from 3-6 per cent in 2000 to 4.5 per cent since 2017 as structural changes in inflation can affect the link between inflation and relative price variability</w:t>
      </w:r>
      <w:r>
        <w:t xml:space="preserve"> </w:t>
      </w:r>
      <w:r>
        <w:t xml:space="preserve">(</w:t>
      </w:r>
      <w:hyperlink w:anchor="ref-caglayan2003">
        <w:r>
          <w:rPr>
            <w:rStyle w:val="Hyperlink"/>
          </w:rPr>
          <w:t xml:space="preserve">Caglayan and Filiztekin 2003</w:t>
        </w:r>
      </w:hyperlink>
      <w:r>
        <w:t xml:space="preserve">)</w:t>
      </w:r>
      <w:r>
        <w:t xml:space="preserve"> </w:t>
      </w:r>
      <w:r>
        <w:t xml:space="preserve">and that the functional form of relationship is U-shaped and dynamic</w:t>
      </w:r>
      <w:r>
        <w:t xml:space="preserve"> </w:t>
      </w:r>
      <w:r>
        <w:t xml:space="preserve">(</w:t>
      </w:r>
      <w:hyperlink w:anchor="ref-fielding2000">
        <w:r>
          <w:rPr>
            <w:rStyle w:val="Hyperlink"/>
          </w:rPr>
          <w:t xml:space="preserve">Fielding and Mizen 2000</w:t>
        </w:r>
      </w:hyperlink>
      <w:r>
        <w:t xml:space="preserve">;</w:t>
      </w:r>
      <w:r>
        <w:t xml:space="preserve"> </w:t>
      </w:r>
      <w:hyperlink w:anchor="ref-choi2010">
        <w:r>
          <w:rPr>
            <w:rStyle w:val="Hyperlink"/>
          </w:rPr>
          <w:t xml:space="preserve">Choi 2010</w:t>
        </w:r>
      </w:hyperlink>
      <w:r>
        <w:t xml:space="preserve">)</w:t>
      </w:r>
      <w:r>
        <w:t xml:space="preserve">. The latter motivates the estimation of the inflation rate that minimizes relative price distortions since if the relationship was linear then the optimal inflation rate would be zero. Given the inflation target reform towards a 3% in South Africa, this study contributes to the policy discussion on the appropriate inflation target and understating how dynamic relations between inflation and relative price variability has evolved.</w:t>
      </w:r>
    </w:p>
    <w:p>
      <w:pPr>
        <w:pStyle w:val="BodyText"/>
      </w:pPr>
      <w:r>
        <w:t xml:space="preserve">The theoretical literature generally distinguishes between menu-cost and signal extraction models in explaining the positive relation between trend inflation and RVP. In these models’ firms follow a one-sided dynamic pricing rule when setting prices and face fixed non-zero costs of adjusting nominal prices (e.g. printing new menus) when inflation increases as the latter reduces the optimal real price of goods and services. Due to differences in administrative costs, these nominal price adjustment costs vary across firms moreover these adjustments occur at different times which implies staggard price setting behaviour which leads to relative price variability. Menu cost models predict a that higher expected inflation causes an increase in RVP (citations xxx) while Lucas-type signal extraction models (Lucas(1973); Hercowitz (1981); Cukierman (1984) xxxx more citatiosn) argue unexpected inflation uncertainty causes higher RVP because informational frictions make it difficult to distinguish between idiosyncratic relative shocks or an aggregate (inflationary) shock. Menu cost and signal-extraction models assume a positive and linear relationship making the optimal inflation rate zero, however, recently monetary search models</w:t>
      </w:r>
      <w:r>
        <w:t xml:space="preserve"> </w:t>
      </w:r>
      <w:r>
        <w:t xml:space="preserve">(</w:t>
      </w:r>
      <w:hyperlink w:anchor="ref-head2005">
        <w:r>
          <w:rPr>
            <w:rStyle w:val="Hyperlink"/>
          </w:rPr>
          <w:t xml:space="preserve">Head and Kumar 2005</w:t>
        </w:r>
      </w:hyperlink>
      <w:r>
        <w:t xml:space="preserve">)</w:t>
      </w:r>
      <w:r>
        <w:t xml:space="preserve"> </w:t>
      </w:r>
      <w:r>
        <w:t xml:space="preserve">show that this relationship is nonlinear making the optimal inflation rate somewhere between zero and positive inflation rate.</w:t>
      </w:r>
    </w:p>
    <w:bookmarkEnd w:id="20"/>
    <w:bookmarkStart w:id="21" w:name="citations"/>
    <w:p>
      <w:pPr>
        <w:pStyle w:val="Heading1"/>
      </w:pPr>
      <w:r>
        <w:t xml:space="preserve">Citations</w:t>
      </w:r>
    </w:p>
    <w:p>
      <w:pPr>
        <w:pStyle w:val="FirstParagraph"/>
      </w:pPr>
      <w:r>
        <w:t xml:space="preserve">Adam, Alexandrov, and Weber (</w:t>
      </w:r>
      <w:hyperlink w:anchor="ref-adam2024">
        <w:r>
          <w:rPr>
            <w:rStyle w:val="Hyperlink"/>
          </w:rPr>
          <w:t xml:space="preserve">2024</w:t>
        </w:r>
      </w:hyperlink>
      <w:r>
        <w:t xml:space="preserve">)</w:t>
      </w:r>
      <w:r>
        <w:t xml:space="preserve"> </w:t>
      </w:r>
      <w:r>
        <w:t xml:space="preserve">Baglan, Yazgan, and Yilmazkuday (</w:t>
      </w:r>
      <w:hyperlink w:anchor="ref-baglan2016">
        <w:r>
          <w:rPr>
            <w:rStyle w:val="Hyperlink"/>
          </w:rPr>
          <w:t xml:space="preserve">2016</w:t>
        </w:r>
      </w:hyperlink>
      <w:r>
        <w:t xml:space="preserve">)</w:t>
      </w:r>
      <w:r>
        <w:t xml:space="preserve"> </w:t>
      </w:r>
      <w:r>
        <w:t xml:space="preserve">Ball and Romer (</w:t>
      </w:r>
      <w:hyperlink w:anchor="ref-ball1993">
        <w:r>
          <w:rPr>
            <w:rStyle w:val="Hyperlink"/>
          </w:rPr>
          <w:t xml:space="preserve">1993</w:t>
        </w:r>
      </w:hyperlink>
      <w:r>
        <w:t xml:space="preserve">)</w:t>
      </w:r>
      <w:r>
        <w:t xml:space="preserve"> </w:t>
      </w:r>
      <w:r>
        <w:t xml:space="preserve">Benabou and Gertner (</w:t>
      </w:r>
      <w:hyperlink w:anchor="ref-benabou1993">
        <w:r>
          <w:rPr>
            <w:rStyle w:val="Hyperlink"/>
          </w:rPr>
          <w:t xml:space="preserve">1993</w:t>
        </w:r>
      </w:hyperlink>
      <w:r>
        <w:t xml:space="preserve">)</w:t>
      </w:r>
      <w:r>
        <w:t xml:space="preserve"> </w:t>
      </w:r>
      <w:r>
        <w:t xml:space="preserve">Caglayan and Filiztekin (</w:t>
      </w:r>
      <w:hyperlink w:anchor="ref-caglayan2003">
        <w:r>
          <w:rPr>
            <w:rStyle w:val="Hyperlink"/>
          </w:rPr>
          <w:t xml:space="preserve">2003</w:t>
        </w:r>
      </w:hyperlink>
      <w:r>
        <w:t xml:space="preserve">)</w:t>
      </w:r>
      <w:r>
        <w:t xml:space="preserve"> </w:t>
      </w:r>
      <w:r>
        <w:t xml:space="preserve">Caglayan, Filiztekin, and Rauh (</w:t>
      </w:r>
      <w:hyperlink w:anchor="ref-caglayan2008">
        <w:r>
          <w:rPr>
            <w:rStyle w:val="Hyperlink"/>
          </w:rPr>
          <w:t xml:space="preserve">2008</w:t>
        </w:r>
      </w:hyperlink>
      <w:r>
        <w:t xml:space="preserve">)</w:t>
      </w:r>
      <w:r>
        <w:t xml:space="preserve"> </w:t>
      </w:r>
      <w:r>
        <w:t xml:space="preserve">Grier and Perry (</w:t>
      </w:r>
      <w:hyperlink w:anchor="ref-grier1996">
        <w:r>
          <w:rPr>
            <w:rStyle w:val="Hyperlink"/>
          </w:rPr>
          <w:t xml:space="preserve">1996</w:t>
        </w:r>
      </w:hyperlink>
      <w:r>
        <w:t xml:space="preserve">)</w:t>
      </w:r>
      <w:r>
        <w:t xml:space="preserve"> </w:t>
      </w:r>
      <w:r>
        <w:t xml:space="preserve">Lach and Tsiddon (</w:t>
      </w:r>
      <w:hyperlink w:anchor="ref-lach1992">
        <w:r>
          <w:rPr>
            <w:rStyle w:val="Hyperlink"/>
          </w:rPr>
          <w:t xml:space="preserve">1992</w:t>
        </w:r>
      </w:hyperlink>
      <w:r>
        <w:t xml:space="preserve">)</w:t>
      </w:r>
      <w:r>
        <w:t xml:space="preserve"> </w:t>
      </w:r>
      <w:r>
        <w:t xml:space="preserve">Nakamura et al. (</w:t>
      </w:r>
      <w:hyperlink w:anchor="ref-nakamura2018">
        <w:r>
          <w:rPr>
            <w:rStyle w:val="Hyperlink"/>
          </w:rPr>
          <w:t xml:space="preserve">2018</w:t>
        </w:r>
      </w:hyperlink>
      <w:r>
        <w:t xml:space="preserve">)</w:t>
      </w:r>
      <w:r>
        <w:t xml:space="preserve"> </w:t>
      </w:r>
      <w:r>
        <w:t xml:space="preserve">Ndou and Redford (</w:t>
      </w:r>
      <w:hyperlink w:anchor="ref-ndou2014">
        <w:r>
          <w:rPr>
            <w:rStyle w:val="Hyperlink"/>
          </w:rPr>
          <w:t xml:space="preserve">2014</w:t>
        </w:r>
      </w:hyperlink>
      <w:r>
        <w:t xml:space="preserve">)</w:t>
      </w:r>
      <w:r>
        <w:t xml:space="preserve"> </w:t>
      </w:r>
      <w:r>
        <w:t xml:space="preserve">Ndou and Gumata (</w:t>
      </w:r>
      <w:hyperlink w:anchor="ref-ndou2017">
        <w:r>
          <w:rPr>
            <w:rStyle w:val="Hyperlink"/>
          </w:rPr>
          <w:t xml:space="preserve">2017</w:t>
        </w:r>
      </w:hyperlink>
      <w:r>
        <w:t xml:space="preserve">)</w:t>
      </w:r>
      <w:r>
        <w:t xml:space="preserve"> </w:t>
      </w:r>
      <w:r>
        <w:t xml:space="preserve">Parks (</w:t>
      </w:r>
      <w:hyperlink w:anchor="ref-parks1978">
        <w:r>
          <w:rPr>
            <w:rStyle w:val="Hyperlink"/>
          </w:rPr>
          <w:t xml:space="preserve">1978</w:t>
        </w:r>
      </w:hyperlink>
      <w:r>
        <w:t xml:space="preserve">)</w:t>
      </w:r>
      <w:r>
        <w:t xml:space="preserve"> </w:t>
      </w:r>
      <w:r>
        <w:t xml:space="preserve">Parsley (</w:t>
      </w:r>
      <w:hyperlink w:anchor="ref-parsley1996">
        <w:r>
          <w:rPr>
            <w:rStyle w:val="Hyperlink"/>
          </w:rPr>
          <w:t xml:space="preserve">1996</w:t>
        </w:r>
      </w:hyperlink>
      <w:r>
        <w:t xml:space="preserve">)</w:t>
      </w:r>
      <w:r>
        <w:t xml:space="preserve"> </w:t>
      </w:r>
      <w:r>
        <w:t xml:space="preserve">Rather, Durai, and Ramachandran (</w:t>
      </w:r>
      <w:hyperlink w:anchor="ref-rather2018">
        <w:r>
          <w:rPr>
            <w:rStyle w:val="Hyperlink"/>
          </w:rPr>
          <w:t xml:space="preserve">2018</w:t>
        </w:r>
      </w:hyperlink>
      <w:r>
        <w:t xml:space="preserve">)</w:t>
      </w:r>
    </w:p>
    <w:bookmarkEnd w:id="21"/>
    <w:bookmarkStart w:id="22" w:name="literature-review"/>
    <w:p>
      <w:pPr>
        <w:pStyle w:val="Heading1"/>
      </w:pPr>
      <w:r>
        <w:t xml:space="preserve">Literature review</w:t>
      </w:r>
    </w:p>
    <w:bookmarkEnd w:id="22"/>
    <w:bookmarkStart w:id="34" w:name="data-and-methodology"/>
    <w:p>
      <w:pPr>
        <w:pStyle w:val="Heading1"/>
      </w:pPr>
      <w:r>
        <w:t xml:space="preserve">Data and methodology</w:t>
      </w:r>
    </w:p>
    <w:p>
      <w:pPr>
        <w:pStyle w:val="FirstParagraph"/>
      </w:pPr>
      <w:r>
        <w:t xml:space="preserve">Our analysis uses monthly inflation data on 45 goods categories from January 2009 to March 2025 obtained from Statistics South Africa (Stats SA).</w:t>
      </w:r>
      <w:r>
        <w:rPr>
          <w:rStyle w:val="FootnoteReference"/>
        </w:rPr>
        <w:footnoteReference w:id="23"/>
      </w:r>
      <w:r>
        <w:t xml:space="preserve"> </w:t>
      </w:r>
      <w:r>
        <w:rPr>
          <w:bCs/>
          <w:b/>
        </w:rPr>
        <w:t xml:space="preserve">The data is seasonally adjusted using ???.</w:t>
      </w:r>
      <w:r>
        <w:t xml:space="preserve"> </w:t>
      </w:r>
      <w:hyperlink w:anchor="fig-headline_inflation">
        <w:r>
          <w:rPr>
            <w:rStyle w:val="Hyperlink"/>
          </w:rPr>
          <w:t xml:space="preserve">Figure 2</w:t>
        </w:r>
      </w:hyperlink>
      <w:r>
        <w:t xml:space="preserve"> </w:t>
      </w:r>
      <w:r>
        <w:t xml:space="preserve">below shows the long term inflation rate in South Africa, and</w:t>
      </w:r>
      <w:r>
        <w:t xml:space="preserve"> </w:t>
      </w:r>
      <w:hyperlink w:anchor="fig-price_data">
        <w:r>
          <w:rPr>
            <w:rStyle w:val="Hyperlink"/>
          </w:rPr>
          <w:t xml:space="preserve">Figure 7</w:t>
        </w:r>
      </w:hyperlink>
      <w:r>
        <w:t xml:space="preserve"> </w:t>
      </w:r>
      <w:r>
        <w:t xml:space="preserve">in the appendix shows the various price categories used in the analysis.</w:t>
      </w:r>
      <w:r>
        <w:t xml:space="preserve"> </w:t>
      </w:r>
      <w:hyperlink w:anchor="tbl-descriptive_stats">
        <w:r>
          <w:rPr>
            <w:rStyle w:val="Hyperlink"/>
          </w:rPr>
          <w:t xml:space="preserve">Table 2</w:t>
        </w:r>
      </w:hyperlink>
      <w:r>
        <w:t xml:space="preserve"> </w:t>
      </w:r>
      <w:r>
        <w:t xml:space="preserve">provides the descriptive statistics of the inflation rates for the various price categories used in the analysis.</w:t>
      </w:r>
    </w:p>
    <w:p>
      <w:pPr>
        <w:pStyle w:val="BodyText"/>
      </w:pPr>
      <w:r>
        <w:t xml:space="preserve">The relative price variance (RPV) is calculated in line with</w:t>
      </w:r>
      <w:r>
        <w:t xml:space="preserve"> </w:t>
      </w:r>
      <w:r>
        <w:t xml:space="preserve">Lach and Tsiddon (</w:t>
      </w:r>
      <w:hyperlink w:anchor="ref-lach1992">
        <w:r>
          <w:rPr>
            <w:rStyle w:val="Hyperlink"/>
          </w:rPr>
          <w:t xml:space="preserve">1992</w:t>
        </w:r>
      </w:hyperlink>
      <w:r>
        <w:t xml:space="preserve">)</w:t>
      </w:r>
      <w:r>
        <w:t xml:space="preserve"> </w:t>
      </w:r>
      <w:r>
        <w:t xml:space="preserve">as the weighted standard deviation of individual price inflation rates from the aggregate inflation rate. The RPV is essentially the variability of relative prices of a given product. We first calculate the monthly inflation rate as follows:</w:t>
      </w:r>
    </w:p>
    <w:p>
      <w:pPr>
        <w:pStyle w:val="BodyText"/>
      </w:pPr>
      <w:bookmarkStart w:id="24" w:name="eq-inflation_rate"/>
      <m:oMathPara>
        <m:oMathParaPr>
          <m:jc m:val="center"/>
        </m:oMathParaPr>
        <m:oMath>
          <m:sSub>
            <m:e>
              <m:r>
                <m:t>π</m:t>
              </m:r>
            </m:e>
            <m:sub>
              <m:r>
                <m:t>i</m:t>
              </m:r>
              <m:r>
                <m:rPr>
                  <m:sty m:val="p"/>
                </m:rPr>
                <m:t>,</m:t>
              </m:r>
              <m:r>
                <m:t>t</m:t>
              </m:r>
            </m:sub>
          </m:sSub>
          <m:r>
            <m:rPr>
              <m:sty m:val="p"/>
            </m:rPr>
            <m:t>=</m:t>
          </m:r>
          <m:r>
            <m:t>l</m:t>
          </m:r>
          <m:r>
            <m:t>n</m:t>
          </m:r>
          <m:d>
            <m:dPr>
              <m:begChr m:val="("/>
              <m:endChr m:val=")"/>
              <m:sepChr m:val=""/>
              <m:grow/>
            </m:dPr>
            <m:e>
              <m:f>
                <m:fPr>
                  <m:type m:val="bar"/>
                </m:fPr>
                <m:num>
                  <m:sSub>
                    <m:e>
                      <m:r>
                        <m:t>P</m:t>
                      </m:r>
                    </m:e>
                    <m:sub>
                      <m:r>
                        <m:t>i</m:t>
                      </m:r>
                      <m:r>
                        <m:rPr>
                          <m:sty m:val="p"/>
                        </m:rPr>
                        <m:t>,</m:t>
                      </m:r>
                      <m:r>
                        <m:t>t</m:t>
                      </m:r>
                    </m:sub>
                  </m:sSub>
                </m:num>
                <m:den>
                  <m:sSub>
                    <m:e>
                      <m:r>
                        <m:t>P</m:t>
                      </m:r>
                    </m:e>
                    <m:sub>
                      <m:r>
                        <m:t>i</m:t>
                      </m:r>
                      <m:r>
                        <m:rPr>
                          <m:sty m:val="p"/>
                        </m:rPr>
                        <m:t>,</m:t>
                      </m:r>
                      <m:r>
                        <m:t>t</m:t>
                      </m:r>
                      <m:r>
                        <m:rPr>
                          <m:sty m:val="p"/>
                        </m:rPr>
                        <m:t>−</m:t>
                      </m:r>
                      <m:r>
                        <m:t>1</m:t>
                      </m:r>
                    </m:sub>
                  </m:sSub>
                </m:den>
              </m:f>
            </m:e>
          </m:d>
          <m:r>
            <m:rPr>
              <m:sty m:val="p"/>
            </m:rPr>
            <m:t>*</m:t>
          </m:r>
          <m:r>
            <m:t>100</m:t>
          </m:r>
          <m:r>
            <m:rPr>
              <m:sty m:val="p"/>
            </m:rPr>
            <m:t>,</m:t>
          </m:r>
          <m:r>
            <m:t>  </m:t>
          </m:r>
          <m:d>
            <m:dPr>
              <m:begChr m:val="("/>
              <m:endChr m:val=")"/>
              <m:sepChr m:val=""/>
              <m:grow/>
            </m:dPr>
            <m:e>
              <m:r>
                <m:t>1</m:t>
              </m:r>
            </m:e>
          </m:d>
        </m:oMath>
      </m:oMathPara>
      <w:bookmarkEnd w:id="24"/>
    </w:p>
    <w:p>
      <w:pPr>
        <w:pStyle w:val="FirstParagraph"/>
      </w:pPr>
      <w:r>
        <w:t xml:space="preserve">where</w:t>
      </w:r>
      <w:r>
        <w:t xml:space="preserve"> </w:t>
      </w:r>
      <m:oMath>
        <m:sSub>
          <m:e>
            <m:r>
              <m:t>π</m:t>
            </m:r>
          </m:e>
          <m:sub>
            <m:r>
              <m:t>i</m:t>
            </m:r>
            <m:r>
              <m:rPr>
                <m:sty m:val="p"/>
              </m:rPr>
              <m:t>,</m:t>
            </m:r>
            <m:r>
              <m:t>t</m:t>
            </m:r>
          </m:sub>
        </m:sSub>
      </m:oMath>
      <w:r>
        <w:t xml:space="preserve"> </w:t>
      </w:r>
      <w:r>
        <w:t xml:space="preserve">is the inflation rate of good</w:t>
      </w:r>
      <w:r>
        <w:t xml:space="preserve"> </w:t>
      </w:r>
      <m:oMath>
        <m:r>
          <m:t>i</m:t>
        </m:r>
      </m:oMath>
      <w:r>
        <w:t xml:space="preserve"> </w:t>
      </w:r>
      <w:r>
        <w:t xml:space="preserve">at time</w:t>
      </w:r>
      <w:r>
        <w:t xml:space="preserve"> </w:t>
      </w:r>
      <m:oMath>
        <m:r>
          <m:t>t</m:t>
        </m:r>
      </m:oMath>
      <w:r>
        <w:t xml:space="preserve">,</w:t>
      </w:r>
      <w:r>
        <w:t xml:space="preserve"> </w:t>
      </w:r>
      <m:oMath>
        <m:sSub>
          <m:e>
            <m:r>
              <m:t>P</m:t>
            </m:r>
          </m:e>
          <m:sub>
            <m:r>
              <m:t>i</m:t>
            </m:r>
            <m:r>
              <m:rPr>
                <m:sty m:val="p"/>
              </m:rPr>
              <m:t>,</m:t>
            </m:r>
            <m:r>
              <m:t>t</m:t>
            </m:r>
          </m:sub>
        </m:sSub>
      </m:oMath>
      <w:r>
        <w:t xml:space="preserve"> </w:t>
      </w:r>
      <w:r>
        <w:t xml:space="preserve">is the price of good</w:t>
      </w:r>
      <w:r>
        <w:t xml:space="preserve"> </w:t>
      </w:r>
      <m:oMath>
        <m:r>
          <m:t>i</m:t>
        </m:r>
      </m:oMath>
      <w:r>
        <w:t xml:space="preserve"> </w:t>
      </w:r>
      <w:r>
        <w:t xml:space="preserve">at time</w:t>
      </w:r>
      <w:r>
        <w:t xml:space="preserve"> </w:t>
      </w:r>
      <m:oMath>
        <m:r>
          <m:t>t</m:t>
        </m:r>
      </m:oMath>
      <w:r>
        <w:t xml:space="preserve">, and</w:t>
      </w:r>
      <w:r>
        <w:t xml:space="preserve"> </w:t>
      </w:r>
      <m:oMath>
        <m:sSub>
          <m:e>
            <m:r>
              <m:t>P</m:t>
            </m:r>
          </m:e>
          <m:sub>
            <m:r>
              <m:t>i</m:t>
            </m:r>
            <m:r>
              <m:rPr>
                <m:sty m:val="p"/>
              </m:rPr>
              <m:t>,</m:t>
            </m:r>
            <m:r>
              <m:t>t</m:t>
            </m:r>
            <m:r>
              <m:rPr>
                <m:sty m:val="p"/>
              </m:rPr>
              <m:t>−</m:t>
            </m:r>
            <m:r>
              <m:t>1</m:t>
            </m:r>
          </m:sub>
        </m:sSub>
      </m:oMath>
      <w:r>
        <w:t xml:space="preserve"> </w:t>
      </w:r>
      <w:r>
        <w:t xml:space="preserve">is the price of good</w:t>
      </w:r>
      <w:r>
        <w:t xml:space="preserve"> </w:t>
      </w:r>
      <m:oMath>
        <m:r>
          <m:t>i</m:t>
        </m:r>
      </m:oMath>
      <w:r>
        <w:t xml:space="preserve"> </w:t>
      </w:r>
      <w:r>
        <w:t xml:space="preserve">at time</w:t>
      </w:r>
      <w:r>
        <w:t xml:space="preserve"> </w:t>
      </w:r>
      <m:oMath>
        <m:r>
          <m:t>t</m:t>
        </m:r>
        <m:r>
          <m:rPr>
            <m:sty m:val="p"/>
          </m:rPr>
          <m:t>−</m:t>
        </m:r>
        <m:r>
          <m:t>1</m:t>
        </m:r>
      </m:oMath>
      <w:r>
        <w:t xml:space="preserve">. Then, the RPV is calculated as:</w:t>
      </w:r>
    </w:p>
    <w:p>
      <w:pPr>
        <w:pStyle w:val="BodyText"/>
      </w:pPr>
      <w:bookmarkStart w:id="25" w:name="eq-rpv"/>
      <m:oMathPara>
        <m:oMathParaPr>
          <m:jc m:val="center"/>
        </m:oMathParaPr>
        <m:oMath>
          <m:r>
            <m:t>R</m:t>
          </m:r>
          <m:r>
            <m:t>P</m:t>
          </m:r>
          <m:sSub>
            <m:e>
              <m:r>
                <m:t>V</m:t>
              </m:r>
            </m:e>
            <m:sub>
              <m:r>
                <m:t>t</m:t>
              </m:r>
            </m:sub>
          </m:sSub>
          <m:r>
            <m:rPr>
              <m:sty m:val="p"/>
            </m:rPr>
            <m:t>=</m:t>
          </m:r>
          <m:rad>
            <m:radPr>
              <m:degHide m:val="on"/>
            </m:radPr>
            <m:deg/>
            <m:e>
              <m:nary>
                <m:naryPr>
                  <m:chr m:val="∑"/>
                  <m:limLoc m:val="undOvr"/>
                  <m:subHide m:val="off"/>
                  <m:supHide m:val="off"/>
                </m:naryPr>
                <m:sub>
                  <m:r>
                    <m:t>i</m:t>
                  </m:r>
                  <m:r>
                    <m:rPr>
                      <m:sty m:val="p"/>
                    </m:rPr>
                    <m:t>=</m:t>
                  </m:r>
                  <m:r>
                    <m:t>1</m:t>
                  </m:r>
                </m:sub>
                <m:sup>
                  <m:r>
                    <m:t>n</m:t>
                  </m:r>
                </m:sup>
                <m:e>
                  <m:sSub>
                    <m:e>
                      <m:r>
                        <m:t>ω</m:t>
                      </m:r>
                    </m:e>
                    <m:sub>
                      <m:r>
                        <m:t>i</m:t>
                      </m:r>
                    </m:sub>
                  </m:sSub>
                </m:e>
              </m:nary>
              <m:sSup>
                <m:e>
                  <m:d>
                    <m:dPr>
                      <m:begChr m:val="("/>
                      <m:endChr m:val=")"/>
                      <m:sepChr m:val=""/>
                      <m:grow/>
                    </m:dPr>
                    <m:e>
                      <m:sSub>
                        <m:e>
                          <m:r>
                            <m:t>π</m:t>
                          </m:r>
                        </m:e>
                        <m:sub>
                          <m:r>
                            <m:t>i</m:t>
                          </m:r>
                          <m:r>
                            <m:rPr>
                              <m:sty m:val="p"/>
                            </m:rPr>
                            <m:t>,</m:t>
                          </m:r>
                          <m:r>
                            <m:t>t</m:t>
                          </m:r>
                        </m:sub>
                      </m:sSub>
                      <m:r>
                        <m:rPr>
                          <m:sty m:val="p"/>
                        </m:rPr>
                        <m:t>−</m:t>
                      </m:r>
                      <m:sSub>
                        <m:e>
                          <m:r>
                            <m:t>π</m:t>
                          </m:r>
                        </m:e>
                        <m:sub>
                          <m:r>
                            <m:t>t</m:t>
                          </m:r>
                        </m:sub>
                      </m:sSub>
                    </m:e>
                  </m:d>
                </m:e>
                <m:sup>
                  <m:r>
                    <m:t>2</m:t>
                  </m:r>
                </m:sup>
              </m:sSup>
            </m:e>
          </m:rad>
          <m:r>
            <m:rPr>
              <m:sty m:val="p"/>
            </m:rPr>
            <m:t>,</m:t>
          </m:r>
          <m:r>
            <m:t>  </m:t>
          </m:r>
          <m:d>
            <m:dPr>
              <m:begChr m:val="("/>
              <m:endChr m:val=")"/>
              <m:sepChr m:val=""/>
              <m:grow/>
            </m:dPr>
            <m:e>
              <m:r>
                <m:t>2</m:t>
              </m:r>
            </m:e>
          </m:d>
        </m:oMath>
      </m:oMathPara>
      <w:bookmarkEnd w:id="25"/>
    </w:p>
    <w:p>
      <w:pPr>
        <w:pStyle w:val="FirstParagraph"/>
      </w:pPr>
      <w:r>
        <w:t xml:space="preserve">where</w:t>
      </w:r>
      <w:r>
        <w:t xml:space="preserve"> </w:t>
      </w:r>
      <m:oMath>
        <m:sSub>
          <m:e>
            <m:r>
              <m:t>ω</m:t>
            </m:r>
          </m:e>
          <m:sub>
            <m:r>
              <m:t>j</m:t>
            </m:r>
          </m:sub>
        </m:sSub>
      </m:oMath>
      <w:r>
        <w:t xml:space="preserve"> </w:t>
      </w:r>
      <w:r>
        <w:t xml:space="preserve">is the expenditure share of the</w:t>
      </w:r>
      <w:r>
        <w:t xml:space="preserve"> </w:t>
      </w:r>
      <m:oMath>
        <m:sSup>
          <m:e>
            <m:r>
              <m:t>j</m:t>
            </m:r>
          </m:e>
          <m:sup>
            <m:r>
              <m:t>t</m:t>
            </m:r>
            <m:r>
              <m:t>h</m:t>
            </m:r>
          </m:sup>
        </m:sSup>
      </m:oMath>
      <w:r>
        <w:t xml:space="preserve"> </w:t>
      </w:r>
      <w:r>
        <w:t xml:space="preserve">good,</w:t>
      </w:r>
      <w:r>
        <w:t xml:space="preserve"> </w:t>
      </w:r>
      <m:oMath>
        <m:sSub>
          <m:e>
            <m:r>
              <m:t>π</m:t>
            </m:r>
          </m:e>
          <m:sub>
            <m:r>
              <m:t>t</m:t>
            </m:r>
          </m:sub>
        </m:sSub>
      </m:oMath>
      <w:r>
        <w:t xml:space="preserve"> </w:t>
      </w:r>
      <w:r>
        <w:t xml:space="preserve">is the headline or aggregate inflation rate at time</w:t>
      </w:r>
      <w:r>
        <w:t xml:space="preserve"> </w:t>
      </w:r>
      <m:oMath>
        <m:r>
          <m:t>t</m:t>
        </m:r>
      </m:oMath>
      <w:r>
        <w:t xml:space="preserve">, and</w:t>
      </w:r>
      <w:r>
        <w:t xml:space="preserve"> </w:t>
      </w:r>
      <m:oMath>
        <m:nary>
          <m:naryPr>
            <m:chr m:val="∑"/>
            <m:limLoc m:val="undOvr"/>
            <m:subHide m:val="off"/>
            <m:supHide m:val="off"/>
          </m:naryPr>
          <m:sub>
            <m:r>
              <m:t>i</m:t>
            </m:r>
            <m:r>
              <m:rPr>
                <m:sty m:val="p"/>
              </m:rPr>
              <m:t>=</m:t>
            </m:r>
            <m:r>
              <m:t>1</m:t>
            </m:r>
          </m:sub>
          <m:sup>
            <m:r>
              <m:t>n</m:t>
            </m:r>
          </m:sup>
          <m:e>
            <m:sSub>
              <m:e>
                <m:r>
                  <m:t>ω</m:t>
                </m:r>
              </m:e>
              <m:sub>
                <m:r>
                  <m:t>i</m:t>
                </m:r>
              </m:sub>
            </m:sSub>
          </m:e>
        </m:nary>
        <m:r>
          <m:rPr>
            <m:sty m:val="p"/>
          </m:rPr>
          <m:t>=</m:t>
        </m:r>
        <m:r>
          <m:t>1</m:t>
        </m:r>
      </m:oMath>
      <w:r>
        <w:t xml:space="preserve">. The expenditure weights (</w:t>
      </w:r>
      <m:oMath>
        <m:sSub>
          <m:e>
            <m:r>
              <m:t>ω</m:t>
            </m:r>
          </m:e>
          <m:sub>
            <m:r>
              <m:t>i</m:t>
            </m:r>
          </m:sub>
        </m:sSub>
      </m:oMath>
      <w:r>
        <w:t xml:space="preserve">) used are derived from the Consumer Price Index (CPI) basket provided by Stats SA.</w:t>
      </w:r>
      <w:r>
        <w:t xml:space="preserve"> </w:t>
      </w:r>
      <w:hyperlink w:anchor="fig-rvp">
        <w:r>
          <w:rPr>
            <w:rStyle w:val="Hyperlink"/>
          </w:rPr>
          <w:t xml:space="preserve">Figure 1</w:t>
        </w:r>
      </w:hyperlink>
      <w:r>
        <w:t xml:space="preserve"> </w:t>
      </w:r>
      <w:r>
        <w:t xml:space="preserve">shows the RPV calculated using the above formula.</w:t>
      </w:r>
      <w:r>
        <w:rPr>
          <w:bCs/>
          <w:b/>
        </w:rPr>
        <w:t xml:space="preserve">When where these weigths constructed???</w:t>
      </w:r>
      <w:r>
        <w:t xml:space="preserve">. The weights are shown in</w:t>
      </w:r>
      <w:r>
        <w:t xml:space="preserve"> </w:t>
      </w:r>
      <w:hyperlink w:anchor="fig-weights">
        <w:r>
          <w:rPr>
            <w:rStyle w:val="Hyperlink"/>
          </w:rPr>
          <w:t xml:space="preserve">Figure 8</w:t>
        </w:r>
      </w:hyperlink>
      <w:r>
        <w:t xml:space="preserve"> </w:t>
      </w:r>
      <w:r>
        <w:t xml:space="preserve">in the appendix.</w:t>
      </w:r>
    </w:p>
    <w:p>
      <w:pPr>
        <w:pStyle w:val="BodyText"/>
      </w:pPr>
      <w:r>
        <w:t xml:space="preserve">To examine the relationship between inflation and RPV, we estimate the following econometric model:</w:t>
      </w:r>
    </w:p>
    <w:p>
      <w:pPr>
        <w:pStyle w:val="BodyText"/>
      </w:pPr>
      <w:bookmarkStart w:id="26" w:name="eq-rpv_reg"/>
      <m:oMathPara>
        <m:oMathParaPr>
          <m:jc m:val="center"/>
        </m:oMathParaPr>
        <m:oMath>
          <m:r>
            <m:t>R</m:t>
          </m:r>
          <m:r>
            <m:t>P</m:t>
          </m:r>
          <m:sSub>
            <m:e>
              <m:r>
                <m:t>V</m:t>
              </m:r>
            </m:e>
            <m:sub>
              <m:r>
                <m:t>t</m:t>
              </m:r>
            </m:sub>
          </m:sSub>
          <m:r>
            <m:rPr>
              <m:sty m:val="p"/>
            </m:rPr>
            <m:t>=</m:t>
          </m:r>
          <m:sSub>
            <m:e>
              <m:r>
                <m:t>β</m:t>
              </m:r>
            </m:e>
            <m:sub>
              <m:r>
                <m:t>0</m:t>
              </m:r>
            </m:sub>
          </m:sSub>
          <m:r>
            <m:rPr>
              <m:sty m:val="p"/>
            </m:rPr>
            <m:t>+</m:t>
          </m:r>
          <m:sSub>
            <m:e>
              <m:r>
                <m:t>β</m:t>
              </m:r>
            </m:e>
            <m:sub>
              <m:r>
                <m:t>1</m:t>
              </m:r>
            </m:sub>
          </m:sSub>
          <m:r>
            <m:rPr>
              <m:sty m:val="p"/>
            </m:rPr>
            <m:t>,</m:t>
          </m:r>
          <m:sSub>
            <m:e>
              <m:r>
                <m:t>π</m:t>
              </m:r>
            </m:e>
            <m:sub>
              <m:r>
                <m:t>t</m:t>
              </m:r>
            </m:sub>
          </m:sSub>
          <m:r>
            <m:rPr>
              <m:sty m:val="p"/>
            </m:rPr>
            <m:t>+</m:t>
          </m:r>
          <m:nary>
            <m:naryPr>
              <m:chr m:val="∑"/>
              <m:limLoc m:val="undOvr"/>
              <m:subHide m:val="off"/>
              <m:supHide m:val="off"/>
            </m:naryPr>
            <m:sub>
              <m:r>
                <m:t>h</m:t>
              </m:r>
              <m:r>
                <m:rPr>
                  <m:sty m:val="p"/>
                </m:rPr>
                <m:t>=</m:t>
              </m:r>
              <m:r>
                <m:t>1</m:t>
              </m:r>
            </m:sub>
            <m:sup>
              <m:r>
                <m:t>3</m:t>
              </m:r>
            </m:sup>
            <m:e>
              <m:sSub>
                <m:e>
                  <m:r>
                    <m:t>ω</m:t>
                  </m:r>
                </m:e>
                <m:sub>
                  <m:r>
                    <m:t>h</m:t>
                  </m:r>
                </m:sub>
              </m:sSub>
            </m:e>
          </m:nary>
          <m:r>
            <m:t>R</m:t>
          </m:r>
          <m:r>
            <m:t>V</m:t>
          </m:r>
          <m:sSub>
            <m:e>
              <m:r>
                <m:t>P</m:t>
              </m:r>
            </m:e>
            <m:sub>
              <m:r>
                <m:t>t</m:t>
              </m:r>
              <m:r>
                <m:rPr>
                  <m:sty m:val="p"/>
                </m:rPr>
                <m:t>−</m:t>
              </m:r>
              <m:r>
                <m:t>h</m:t>
              </m:r>
            </m:sub>
          </m:sSub>
          <m:r>
            <m:rPr>
              <m:sty m:val="p"/>
            </m:rPr>
            <m:t>+</m:t>
          </m:r>
          <m:sSub>
            <m:e>
              <m:r>
                <m:t>μ</m:t>
              </m:r>
            </m:e>
            <m:sub>
              <m:r>
                <m:t>t</m:t>
              </m:r>
            </m:sub>
          </m:sSub>
          <m:r>
            <m:rPr>
              <m:sty m:val="p"/>
            </m:rPr>
            <m:t>,</m:t>
          </m:r>
          <m:r>
            <m:t>  </m:t>
          </m:r>
          <m:d>
            <m:dPr>
              <m:begChr m:val="("/>
              <m:endChr m:val=")"/>
              <m:sepChr m:val=""/>
              <m:grow/>
            </m:dPr>
            <m:e>
              <m:r>
                <m:t>3</m:t>
              </m:r>
            </m:e>
          </m:d>
        </m:oMath>
      </m:oMathPara>
      <w:bookmarkEnd w:id="26"/>
    </w:p>
    <w:p>
      <w:pPr>
        <w:pStyle w:val="FirstParagraph"/>
      </w:pPr>
      <w:r>
        <w:t xml:space="preserve">where</w:t>
      </w:r>
      <w:r>
        <w:t xml:space="preserve"> </w:t>
      </w:r>
      <m:oMath>
        <m:r>
          <m:t>R</m:t>
        </m:r>
        <m:r>
          <m:t>P</m:t>
        </m:r>
        <m:sSub>
          <m:e>
            <m:r>
              <m:t>V</m:t>
            </m:r>
          </m:e>
          <m:sub>
            <m:r>
              <m:t>t</m:t>
            </m:r>
          </m:sub>
        </m:sSub>
      </m:oMath>
      <w:r>
        <w:t xml:space="preserve"> </w:t>
      </w:r>
      <w:r>
        <w:t xml:space="preserve">is the relative price variance at time</w:t>
      </w:r>
      <w:r>
        <w:t xml:space="preserve"> </w:t>
      </w:r>
      <m:oMath>
        <m:r>
          <m:t>t</m:t>
        </m:r>
      </m:oMath>
      <w:r>
        <w:t xml:space="preserve">,</w:t>
      </w:r>
      <w:r>
        <w:t xml:space="preserve"> </w:t>
      </w:r>
      <m:oMath>
        <m:sSub>
          <m:e>
            <m:r>
              <m:t>π</m:t>
            </m:r>
          </m:e>
          <m:sub>
            <m:r>
              <m:t>t</m:t>
            </m:r>
          </m:sub>
        </m:sSub>
      </m:oMath>
      <w:r>
        <w:t xml:space="preserve"> </w:t>
      </w:r>
      <w:r>
        <w:t xml:space="preserve">is the absolute value of the inflation rate at time</w:t>
      </w:r>
      <w:r>
        <w:t xml:space="preserve"> </w:t>
      </w:r>
      <m:oMath>
        <m:r>
          <m:t>t</m:t>
        </m:r>
      </m:oMath>
      <w:r>
        <w:t xml:space="preserve">,</w:t>
      </w:r>
      <w:r>
        <w:t xml:space="preserve"> </w:t>
      </w:r>
      <m:oMath>
        <m:r>
          <m:t>R</m:t>
        </m:r>
        <m:r>
          <m:t>V</m:t>
        </m:r>
        <m:sSub>
          <m:e>
            <m:r>
              <m:t>P</m:t>
            </m:r>
          </m:e>
          <m:sub>
            <m:r>
              <m:t>t</m:t>
            </m:r>
            <m:r>
              <m:rPr>
                <m:sty m:val="p"/>
              </m:rPr>
              <m:t>−</m:t>
            </m:r>
            <m:r>
              <m:t>h</m:t>
            </m:r>
          </m:sub>
        </m:sSub>
      </m:oMath>
      <w:r>
        <w:t xml:space="preserve"> </w:t>
      </w:r>
      <w:r>
        <w:t xml:space="preserve">are lagged values of RPV to account for its dynamic nature, and</w:t>
      </w:r>
      <w:r>
        <w:t xml:space="preserve"> </w:t>
      </w:r>
      <m:oMath>
        <m:sSub>
          <m:e>
            <m:r>
              <m:t>μ</m:t>
            </m:r>
          </m:e>
          <m:sub>
            <m:r>
              <m:t>t</m:t>
            </m:r>
          </m:sub>
        </m:sSub>
      </m:oMath>
      <w:r>
        <w:t xml:space="preserve"> </w:t>
      </w:r>
      <w:r>
        <w:t xml:space="preserve">is the error term. The coefficient</w:t>
      </w:r>
      <w:r>
        <w:t xml:space="preserve"> </w:t>
      </w:r>
      <m:oMath>
        <m:sSub>
          <m:e>
            <m:r>
              <m:t>β</m:t>
            </m:r>
          </m:e>
          <m:sub>
            <m:r>
              <m:t>1</m:t>
            </m:r>
          </m:sub>
        </m:sSub>
      </m:oMath>
      <w:r>
        <w:t xml:space="preserve"> </w:t>
      </w:r>
      <w:r>
        <w:t xml:space="preserve">captures the effect of inflation on RPV. We include up to four lags of RPV based on Akaike Information Criterion (AIC) (and other tests, see</w:t>
      </w:r>
      <w:r>
        <w:t xml:space="preserve"> </w:t>
      </w:r>
      <w:hyperlink w:anchor="tbl-lag_selection">
        <w:r>
          <w:rPr>
            <w:rStyle w:val="Hyperlink"/>
          </w:rPr>
          <w:t xml:space="preserve">Table 4</w:t>
        </w:r>
      </w:hyperlink>
      <w:r>
        <w:t xml:space="preserve">) and to capture potential persistence in relative price variability.</w:t>
      </w:r>
    </w:p>
    <w:p>
      <w:pPr>
        <w:pStyle w:val="BodyText"/>
      </w:pPr>
      <w:r>
        <w:t xml:space="preserve">The literature on RVP emphasises the that the relationship between inflation and RPV may be time-varying due to structural changes in the economy, monetary policy regimes, and other factors. To capture potential time variation in the relationship between inflation and RPV, we also estimate a rolling regression model with a</w:t>
      </w:r>
      <w:r>
        <w:t xml:space="preserve"> </w:t>
      </w:r>
      <w:r>
        <w:rPr>
          <w:bCs/>
          <w:b/>
        </w:rPr>
        <w:t xml:space="preserve">24-month and 60-month windows</w:t>
      </w:r>
      <w:r>
        <w:t xml:space="preserve"> </w:t>
      </w:r>
      <w:r>
        <w:t xml:space="preserve">as follows:</w:t>
      </w:r>
    </w:p>
    <w:p>
      <w:pPr>
        <w:pStyle w:val="BodyText"/>
      </w:pPr>
      <w:bookmarkStart w:id="27" w:name="eq-rpv_rolling_reg"/>
      <m:oMathPara>
        <m:oMathParaPr>
          <m:jc m:val="center"/>
        </m:oMathParaPr>
        <m:oMath>
          <m:r>
            <m:t>R</m:t>
          </m:r>
          <m:r>
            <m:t>P</m:t>
          </m:r>
          <m:sSub>
            <m:e>
              <m:r>
                <m:t>V</m:t>
              </m:r>
            </m:e>
            <m:sub>
              <m:r>
                <m:t>t</m:t>
              </m:r>
            </m:sub>
          </m:sSub>
          <m:r>
            <m:rPr>
              <m:sty m:val="p"/>
            </m:rPr>
            <m:t>=</m:t>
          </m:r>
          <m:sSub>
            <m:e>
              <m:r>
                <m:t>α</m:t>
              </m:r>
            </m:e>
            <m:sub>
              <m:r>
                <m:t>t</m:t>
              </m:r>
            </m:sub>
          </m:sSub>
          <m:r>
            <m:rPr>
              <m:sty m:val="p"/>
            </m:rPr>
            <m:t>+</m:t>
          </m:r>
          <m:sSub>
            <m:e>
              <m:r>
                <m:t>β</m:t>
              </m:r>
            </m:e>
            <m:sub>
              <m:r>
                <m:t>1</m:t>
              </m:r>
              <m:r>
                <m:rPr>
                  <m:sty m:val="p"/>
                </m:rPr>
                <m:t>,</m:t>
              </m:r>
              <m:r>
                <m:t>t</m:t>
              </m:r>
            </m:sub>
          </m:sSub>
          <m:sSub>
            <m:e>
              <m:r>
                <m:t>π</m:t>
              </m:r>
            </m:e>
            <m:sub>
              <m:r>
                <m:t>t</m:t>
              </m:r>
            </m:sub>
          </m:sSub>
          <m:r>
            <m:rPr>
              <m:sty m:val="p"/>
            </m:rPr>
            <m:t>+</m:t>
          </m:r>
          <m:nary>
            <m:naryPr>
              <m:chr m:val="∑"/>
              <m:limLoc m:val="undOvr"/>
              <m:subHide m:val="off"/>
              <m:supHide m:val="off"/>
            </m:naryPr>
            <m:sub>
              <m:r>
                <m:t>h</m:t>
              </m:r>
              <m:r>
                <m:rPr>
                  <m:sty m:val="p"/>
                </m:rPr>
                <m:t>=</m:t>
              </m:r>
              <m:r>
                <m:t>1</m:t>
              </m:r>
            </m:sub>
            <m:sup>
              <m:r>
                <m:t>3</m:t>
              </m:r>
            </m:sup>
            <m:e>
              <m:sSub>
                <m:e>
                  <m:r>
                    <m:t>ω</m:t>
                  </m:r>
                </m:e>
                <m:sub>
                  <m:r>
                    <m:t>h</m:t>
                  </m:r>
                  <m:r>
                    <m:rPr>
                      <m:sty m:val="p"/>
                    </m:rPr>
                    <m:t>,</m:t>
                  </m:r>
                  <m:r>
                    <m:t>t</m:t>
                  </m:r>
                </m:sub>
              </m:sSub>
            </m:e>
          </m:nary>
          <m:r>
            <m:t>R</m:t>
          </m:r>
          <m:r>
            <m:t>V</m:t>
          </m:r>
          <m:sSub>
            <m:e>
              <m:r>
                <m:t>P</m:t>
              </m:r>
            </m:e>
            <m:sub>
              <m:r>
                <m:t>t</m:t>
              </m:r>
              <m:r>
                <m:rPr>
                  <m:sty m:val="p"/>
                </m:rPr>
                <m:t>−</m:t>
              </m:r>
              <m:r>
                <m:t>h</m:t>
              </m:r>
            </m:sub>
          </m:sSub>
          <m:r>
            <m:rPr>
              <m:sty m:val="p"/>
            </m:rPr>
            <m:t>+</m:t>
          </m:r>
          <m:sSub>
            <m:e>
              <m:r>
                <m:t>μ</m:t>
              </m:r>
            </m:e>
            <m:sub>
              <m:r>
                <m:t>t</m:t>
              </m:r>
            </m:sub>
          </m:sSub>
          <m:r>
            <m:rPr>
              <m:sty m:val="p"/>
            </m:rPr>
            <m:t>,</m:t>
          </m:r>
          <m:r>
            <m:t>  </m:t>
          </m:r>
          <m:d>
            <m:dPr>
              <m:begChr m:val="("/>
              <m:endChr m:val=")"/>
              <m:sepChr m:val=""/>
              <m:grow/>
            </m:dPr>
            <m:e>
              <m:r>
                <m:t>4</m:t>
              </m:r>
            </m:e>
          </m:d>
        </m:oMath>
      </m:oMathPara>
      <w:bookmarkEnd w:id="27"/>
    </w:p>
    <w:p>
      <w:pPr>
        <w:pStyle w:val="FirstParagraph"/>
      </w:pPr>
      <w:r>
        <w:t xml:space="preserve">where the coefficients</w:t>
      </w:r>
      <w:r>
        <w:t xml:space="preserve"> </w:t>
      </w:r>
      <m:oMath>
        <m:sSub>
          <m:e>
            <m:r>
              <m:t>α</m:t>
            </m:r>
          </m:e>
          <m:sub>
            <m:r>
              <m:t>t</m:t>
            </m:r>
          </m:sub>
        </m:sSub>
      </m:oMath>
      <w:r>
        <w:t xml:space="preserve">,</w:t>
      </w:r>
      <w:r>
        <w:t xml:space="preserve"> </w:t>
      </w:r>
      <m:oMath>
        <m:sSub>
          <m:e>
            <m:r>
              <m:t>β</m:t>
            </m:r>
          </m:e>
          <m:sub>
            <m:r>
              <m:t>1</m:t>
            </m:r>
            <m:r>
              <m:rPr>
                <m:sty m:val="p"/>
              </m:rPr>
              <m:t>,</m:t>
            </m:r>
            <m:r>
              <m:t>t</m:t>
            </m:r>
          </m:sub>
        </m:sSub>
      </m:oMath>
      <w:r>
        <w:t xml:space="preserve">, and</w:t>
      </w:r>
      <w:r>
        <w:t xml:space="preserve"> </w:t>
      </w:r>
      <m:oMath>
        <m:sSub>
          <m:e>
            <m:r>
              <m:t>ω</m:t>
            </m:r>
          </m:e>
          <m:sub>
            <m:r>
              <m:t>h</m:t>
            </m:r>
            <m:r>
              <m:rPr>
                <m:sty m:val="p"/>
              </m:rPr>
              <m:t>,</m:t>
            </m:r>
            <m:r>
              <m:t>t</m:t>
            </m:r>
          </m:sub>
        </m:sSub>
      </m:oMath>
      <w:r>
        <w:t xml:space="preserve"> </w:t>
      </w:r>
      <w:r>
        <w:t xml:space="preserve">are allowed to vary over time. This approach allows us to observe the stability of the coefficients over time, which is an indicator of non-linearities in the relationship between RPV and inflation. Furthermore, we employ a quantile regression approach, which is robust to outliers and allows us to examine the relationship between inflation and RPV across different points of the RPV distribution. The quantile regression model is specified as follows:</w:t>
      </w:r>
    </w:p>
    <w:p>
      <w:pPr>
        <w:pStyle w:val="BodyText"/>
      </w:pPr>
      <w:bookmarkStart w:id="28" w:name="eq-rpv_quantile_reg"/>
      <m:oMathPara>
        <m:oMathParaPr>
          <m:jc m:val="center"/>
        </m:oMathParaPr>
        <m:oMath>
          <m:sSub>
            <m:e>
              <m:r>
                <m:t>Q</m:t>
              </m:r>
            </m:e>
            <m:sub>
              <m:r>
                <m:t>τ</m:t>
              </m:r>
            </m:sub>
          </m:sSub>
          <m:d>
            <m:dPr>
              <m:begChr m:val="("/>
              <m:endChr m:val=")"/>
              <m:sepChr m:val=""/>
              <m:grow/>
            </m:dPr>
            <m:e>
              <m:r>
                <m:t>R</m:t>
              </m:r>
              <m:r>
                <m:t>P</m:t>
              </m:r>
              <m:sSub>
                <m:e>
                  <m:r>
                    <m:t>V</m:t>
                  </m:r>
                </m:e>
                <m:sub>
                  <m:r>
                    <m:t>t</m:t>
                  </m:r>
                </m:sub>
              </m:sSub>
              <m:r>
                <m:rPr>
                  <m:sty m:val="p"/>
                </m:rPr>
                <m:t>|</m:t>
              </m:r>
              <m:sSub>
                <m:e>
                  <m:r>
                    <m:t>π</m:t>
                  </m:r>
                </m:e>
                <m:sub>
                  <m:r>
                    <m:t>t</m:t>
                  </m:r>
                </m:sub>
              </m:sSub>
              <m:r>
                <m:rPr>
                  <m:sty m:val="p"/>
                </m:rPr>
                <m:t>,</m:t>
              </m:r>
              <m:r>
                <m:t>R</m:t>
              </m:r>
              <m:r>
                <m:t>P</m:t>
              </m:r>
              <m:sSub>
                <m:e>
                  <m:r>
                    <m:t>V</m:t>
                  </m:r>
                </m:e>
                <m:sub>
                  <m:r>
                    <m:t>t</m:t>
                  </m:r>
                  <m:r>
                    <m:rPr>
                      <m:sty m:val="p"/>
                    </m:rPr>
                    <m:t>−</m:t>
                  </m:r>
                  <m:r>
                    <m:t>1</m:t>
                  </m:r>
                </m:sub>
              </m:sSub>
              <m:r>
                <m:rPr>
                  <m:sty m:val="p"/>
                </m:rPr>
                <m:t>,</m:t>
              </m:r>
              <m:r>
                <m:rPr>
                  <m:sty m:val="p"/>
                </m:rPr>
                <m:t>.</m:t>
              </m:r>
              <m:r>
                <m:rPr>
                  <m:sty m:val="p"/>
                </m:rPr>
                <m:t>.</m:t>
              </m:r>
              <m:r>
                <m:rPr>
                  <m:sty m:val="p"/>
                </m:rPr>
                <m:t>.</m:t>
              </m:r>
              <m:r>
                <m:rPr>
                  <m:sty m:val="p"/>
                </m:rPr>
                <m:t>,</m:t>
              </m:r>
              <m:r>
                <m:t>R</m:t>
              </m:r>
              <m:r>
                <m:t>P</m:t>
              </m:r>
              <m:sSub>
                <m:e>
                  <m:r>
                    <m:t>V</m:t>
                  </m:r>
                </m:e>
                <m:sub>
                  <m:r>
                    <m:t>t</m:t>
                  </m:r>
                  <m:r>
                    <m:rPr>
                      <m:sty m:val="p"/>
                    </m:rPr>
                    <m:t>−</m:t>
                  </m:r>
                  <m:r>
                    <m:t>3</m:t>
                  </m:r>
                </m:sub>
              </m:sSub>
            </m:e>
          </m:d>
          <m:r>
            <m:rPr>
              <m:sty m:val="p"/>
            </m:rPr>
            <m:t>=</m:t>
          </m:r>
          <m:sSub>
            <m:e>
              <m:r>
                <m:t>γ</m:t>
              </m:r>
            </m:e>
            <m:sub>
              <m:r>
                <m:t>0</m:t>
              </m:r>
            </m:sub>
          </m:sSub>
          <m:r>
            <m:rPr>
              <m:sty m:val="p"/>
            </m:rPr>
            <m:t>+</m:t>
          </m:r>
          <m:sSub>
            <m:e>
              <m:r>
                <m:t>γ</m:t>
              </m:r>
            </m:e>
            <m:sub>
              <m:r>
                <m:t>1</m:t>
              </m:r>
            </m:sub>
          </m:sSub>
          <m:sSub>
            <m:e>
              <m:r>
                <m:t>π</m:t>
              </m:r>
            </m:e>
            <m:sub>
              <m:r>
                <m:t>t</m:t>
              </m:r>
            </m:sub>
          </m:sSub>
          <m:r>
            <m:rPr>
              <m:sty m:val="p"/>
            </m:rPr>
            <m:t>+</m:t>
          </m:r>
          <m:nary>
            <m:naryPr>
              <m:chr m:val="∑"/>
              <m:limLoc m:val="undOvr"/>
              <m:subHide m:val="off"/>
              <m:supHide m:val="off"/>
            </m:naryPr>
            <m:sub>
              <m:r>
                <m:t>h</m:t>
              </m:r>
              <m:r>
                <m:rPr>
                  <m:sty m:val="p"/>
                </m:rPr>
                <m:t>=</m:t>
              </m:r>
              <m:r>
                <m:t>1</m:t>
              </m:r>
            </m:sub>
            <m:sup>
              <m:r>
                <m:t>3</m:t>
              </m:r>
            </m:sup>
            <m:e>
              <m:sSub>
                <m:e>
                  <m:r>
                    <m:t>δ</m:t>
                  </m:r>
                </m:e>
                <m:sub>
                  <m:r>
                    <m:t>h</m:t>
                  </m:r>
                </m:sub>
              </m:sSub>
            </m:e>
          </m:nary>
          <m:r>
            <m:t>R</m:t>
          </m:r>
          <m:r>
            <m:t>V</m:t>
          </m:r>
          <m:sSub>
            <m:e>
              <m:r>
                <m:t>P</m:t>
              </m:r>
            </m:e>
            <m:sub>
              <m:r>
                <m:t>t</m:t>
              </m:r>
              <m:r>
                <m:rPr>
                  <m:sty m:val="p"/>
                </m:rPr>
                <m:t>−</m:t>
              </m:r>
              <m:r>
                <m:t>h</m:t>
              </m:r>
            </m:sub>
          </m:sSub>
          <m:r>
            <m:rPr>
              <m:sty m:val="p"/>
            </m:rPr>
            <m:t>,</m:t>
          </m:r>
          <m:r>
            <m:t>  </m:t>
          </m:r>
          <m:d>
            <m:dPr>
              <m:begChr m:val="("/>
              <m:endChr m:val=")"/>
              <m:sepChr m:val=""/>
              <m:grow/>
            </m:dPr>
            <m:e>
              <m:r>
                <m:t>5</m:t>
              </m:r>
            </m:e>
          </m:d>
        </m:oMath>
      </m:oMathPara>
      <w:bookmarkEnd w:id="28"/>
    </w:p>
    <w:p>
      <w:pPr>
        <w:pStyle w:val="FirstParagraph"/>
      </w:pPr>
      <w:r>
        <w:t xml:space="preserve">where</w:t>
      </w:r>
      <w:r>
        <w:t xml:space="preserve"> </w:t>
      </w:r>
      <m:oMath>
        <m:sSub>
          <m:e>
            <m:r>
              <m:t>Q</m:t>
            </m:r>
          </m:e>
          <m:sub>
            <m:r>
              <m:t>τ</m:t>
            </m:r>
          </m:sub>
        </m:sSub>
        <m:d>
          <m:dPr>
            <m:begChr m:val="("/>
            <m:endChr m:val=")"/>
            <m:sepChr m:val=""/>
            <m:grow/>
          </m:dPr>
          <m:e>
            <m:r>
              <m:t>R</m:t>
            </m:r>
            <m:r>
              <m:t>P</m:t>
            </m:r>
            <m:sSub>
              <m:e>
                <m:r>
                  <m:t>V</m:t>
                </m:r>
              </m:e>
              <m:sub>
                <m:r>
                  <m:t>t</m:t>
                </m:r>
              </m:sub>
            </m:sSub>
            <m:r>
              <m:rPr>
                <m:sty m:val="p"/>
              </m:rPr>
              <m:t>|</m:t>
            </m:r>
            <m:sSub>
              <m:e>
                <m:r>
                  <m:t>π</m:t>
                </m:r>
              </m:e>
              <m:sub>
                <m:r>
                  <m:t>t</m:t>
                </m:r>
              </m:sub>
            </m:sSub>
            <m:r>
              <m:rPr>
                <m:sty m:val="p"/>
              </m:rPr>
              <m:t>,</m:t>
            </m:r>
            <m:r>
              <m:t>R</m:t>
            </m:r>
            <m:r>
              <m:t>P</m:t>
            </m:r>
            <m:sSub>
              <m:e>
                <m:r>
                  <m:t>V</m:t>
                </m:r>
              </m:e>
              <m:sub>
                <m:r>
                  <m:t>t</m:t>
                </m:r>
                <m:r>
                  <m:rPr>
                    <m:sty m:val="p"/>
                  </m:rPr>
                  <m:t>−</m:t>
                </m:r>
                <m:r>
                  <m:t>1</m:t>
                </m:r>
              </m:sub>
            </m:sSub>
            <m:r>
              <m:rPr>
                <m:sty m:val="p"/>
              </m:rPr>
              <m:t>,</m:t>
            </m:r>
            <m:r>
              <m:rPr>
                <m:sty m:val="p"/>
              </m:rPr>
              <m:t>.</m:t>
            </m:r>
            <m:r>
              <m:rPr>
                <m:sty m:val="p"/>
              </m:rPr>
              <m:t>.</m:t>
            </m:r>
            <m:r>
              <m:rPr>
                <m:sty m:val="p"/>
              </m:rPr>
              <m:t>.</m:t>
            </m:r>
            <m:r>
              <m:rPr>
                <m:sty m:val="p"/>
              </m:rPr>
              <m:t>,</m:t>
            </m:r>
            <m:r>
              <m:t>R</m:t>
            </m:r>
            <m:r>
              <m:t>P</m:t>
            </m:r>
            <m:sSub>
              <m:e>
                <m:r>
                  <m:t>V</m:t>
                </m:r>
              </m:e>
              <m:sub>
                <m:r>
                  <m:t>t</m:t>
                </m:r>
                <m:r>
                  <m:rPr>
                    <m:sty m:val="p"/>
                  </m:rPr>
                  <m:t>−</m:t>
                </m:r>
                <m:r>
                  <m:t>3</m:t>
                </m:r>
              </m:sub>
            </m:sSub>
          </m:e>
        </m:d>
      </m:oMath>
      <w:r>
        <w:t xml:space="preserve"> </w:t>
      </w:r>
      <w:r>
        <w:t xml:space="preserve">represents the</w:t>
      </w:r>
      <w:r>
        <w:t xml:space="preserve"> </w:t>
      </w:r>
      <m:oMath>
        <m:sSup>
          <m:e>
            <m:r>
              <m:t>τ</m:t>
            </m:r>
          </m:e>
          <m:sup>
            <m:r>
              <m:t>t</m:t>
            </m:r>
            <m:r>
              <m:t>h</m:t>
            </m:r>
          </m:sup>
        </m:sSup>
      </m:oMath>
      <w:r>
        <w:t xml:space="preserve"> </w:t>
      </w:r>
      <w:r>
        <w:t xml:space="preserve">quantile of RPV conditional on inflation and its lagged values. The coefficients</w:t>
      </w:r>
      <w:r>
        <w:t xml:space="preserve"> </w:t>
      </w:r>
      <m:oMath>
        <m:sSub>
          <m:e>
            <m:r>
              <m:t>γ</m:t>
            </m:r>
          </m:e>
          <m:sub>
            <m:r>
              <m:t>0</m:t>
            </m:r>
          </m:sub>
        </m:sSub>
      </m:oMath>
      <w:r>
        <w:t xml:space="preserve">,</w:t>
      </w:r>
      <w:r>
        <w:t xml:space="preserve"> </w:t>
      </w:r>
      <m:oMath>
        <m:sSub>
          <m:e>
            <m:r>
              <m:t>γ</m:t>
            </m:r>
          </m:e>
          <m:sub>
            <m:r>
              <m:t>1</m:t>
            </m:r>
          </m:sub>
        </m:sSub>
      </m:oMath>
      <w:r>
        <w:t xml:space="preserve">, and</w:t>
      </w:r>
      <w:r>
        <w:t xml:space="preserve"> </w:t>
      </w:r>
      <m:oMath>
        <m:sSub>
          <m:e>
            <m:r>
              <m:t>δ</m:t>
            </m:r>
          </m:e>
          <m:sub>
            <m:r>
              <m:t>h</m:t>
            </m:r>
          </m:sub>
        </m:sSub>
      </m:oMath>
      <w:r>
        <w:t xml:space="preserve"> </w:t>
      </w:r>
      <w:r>
        <w:t xml:space="preserve">capture the effects at different quantiles of the RPV distribution.</w:t>
      </w:r>
    </w:p>
    <w:p>
      <w:pPr>
        <w:pStyle w:val="BodyText"/>
      </w:pPr>
      <w:r>
        <w:t xml:space="preserve">Lastly, we utilise a semi-parametric or partially linear approach to estimate the optimal level of inflation given the RVP. This approach allows us to model the relationship between inflation and RPV without imposing a strict functional form. Following the literature, we first specify a quadratic (U-shaped) relationship between inflation and RPV as follows:</w:t>
      </w:r>
    </w:p>
    <w:p>
      <w:pPr>
        <w:pStyle w:val="BodyText"/>
      </w:pPr>
      <w:bookmarkStart w:id="29" w:name="eq-rpv_semi_parametric"/>
      <m:oMathPara>
        <m:oMathParaPr>
          <m:jc m:val="center"/>
        </m:oMathParaPr>
        <m:oMath>
          <m:r>
            <m:t>R</m:t>
          </m:r>
          <m:r>
            <m:t>V</m:t>
          </m:r>
          <m:sSub>
            <m:e>
              <m:r>
                <m:t>P</m:t>
              </m:r>
            </m:e>
            <m:sub>
              <m:r>
                <m:t>t</m:t>
              </m:r>
            </m:sub>
          </m:sSub>
          <m:r>
            <m:rPr>
              <m:sty m:val="p"/>
            </m:rPr>
            <m:t>=</m:t>
          </m:r>
          <m:r>
            <m:t>α</m:t>
          </m:r>
          <m:r>
            <m:rPr>
              <m:sty m:val="p"/>
            </m:rPr>
            <m:t>+</m:t>
          </m:r>
          <m:sSub>
            <m:e>
              <m:r>
                <m:t>π</m:t>
              </m:r>
            </m:e>
            <m:sub>
              <m:r>
                <m:t>t</m:t>
              </m:r>
            </m:sub>
          </m:sSub>
          <m:r>
            <m:rPr>
              <m:sty m:val="p"/>
            </m:rPr>
            <m:t>+</m:t>
          </m:r>
          <m:sSub>
            <m:e>
              <m:r>
                <m:t>β</m:t>
              </m:r>
            </m:e>
            <m:sub>
              <m:r>
                <m:t>2</m:t>
              </m:r>
            </m:sub>
          </m:sSub>
          <m:sSubSup>
            <m:e>
              <m:r>
                <m:t>π</m:t>
              </m:r>
            </m:e>
            <m:sub>
              <m:r>
                <m:t>t</m:t>
              </m:r>
            </m:sub>
            <m:sup>
              <m:r>
                <m:t>2</m:t>
              </m:r>
            </m:sup>
          </m:sSubSup>
          <m:r>
            <m:rPr>
              <m:sty m:val="p"/>
            </m:rPr>
            <m:t>+</m:t>
          </m:r>
          <m:nary>
            <m:naryPr>
              <m:chr m:val="∑"/>
              <m:limLoc m:val="undOvr"/>
              <m:subHide m:val="off"/>
              <m:supHide m:val="off"/>
            </m:naryPr>
            <m:sub>
              <m:r>
                <m:t>h</m:t>
              </m:r>
              <m:r>
                <m:rPr>
                  <m:sty m:val="p"/>
                </m:rPr>
                <m:t>=</m:t>
              </m:r>
              <m:r>
                <m:t>1</m:t>
              </m:r>
            </m:sub>
            <m:sup>
              <m:r>
                <m:t>3</m:t>
              </m:r>
            </m:sup>
            <m:e>
              <m:sSub>
                <m:e>
                  <m:r>
                    <m:t>ϕ</m:t>
                  </m:r>
                </m:e>
                <m:sub>
                  <m:r>
                    <m:t>h</m:t>
                  </m:r>
                </m:sub>
              </m:sSub>
            </m:e>
          </m:nary>
          <m:r>
            <m:t>R</m:t>
          </m:r>
          <m:r>
            <m:t>V</m:t>
          </m:r>
          <m:sSub>
            <m:e>
              <m:r>
                <m:t>P</m:t>
              </m:r>
            </m:e>
            <m:sub>
              <m:r>
                <m:t>t</m:t>
              </m:r>
              <m:r>
                <m:rPr>
                  <m:sty m:val="p"/>
                </m:rPr>
                <m:t>−</m:t>
              </m:r>
              <m:r>
                <m:t>h</m:t>
              </m:r>
            </m:sub>
          </m:sSub>
          <m:r>
            <m:rPr>
              <m:sty m:val="p"/>
            </m:rPr>
            <m:t>+</m:t>
          </m:r>
          <m:sSub>
            <m:e>
              <m:r>
                <m:t>ϵ</m:t>
              </m:r>
            </m:e>
            <m:sub>
              <m:r>
                <m:t>t</m:t>
              </m:r>
            </m:sub>
          </m:sSub>
          <m:r>
            <m:rPr>
              <m:sty m:val="p"/>
            </m:rPr>
            <m:t>,</m:t>
          </m:r>
          <m:r>
            <m:t>  </m:t>
          </m:r>
          <m:d>
            <m:dPr>
              <m:begChr m:val="("/>
              <m:endChr m:val=")"/>
              <m:sepChr m:val=""/>
              <m:grow/>
            </m:dPr>
            <m:e>
              <m:r>
                <m:t>6</m:t>
              </m:r>
            </m:e>
          </m:d>
        </m:oMath>
      </m:oMathPara>
      <w:bookmarkEnd w:id="29"/>
    </w:p>
    <w:p>
      <w:pPr>
        <w:pStyle w:val="FirstParagraph"/>
      </w:pPr>
      <w:r>
        <w:t xml:space="preserve">where</w:t>
      </w:r>
      <w:r>
        <w:t xml:space="preserve"> </w:t>
      </w:r>
      <m:oMath>
        <m:sSub>
          <m:e>
            <m:r>
              <m:t>β</m:t>
            </m:r>
          </m:e>
          <m:sub>
            <m:r>
              <m:t>2</m:t>
            </m:r>
          </m:sub>
        </m:sSub>
      </m:oMath>
      <w:r>
        <w:t xml:space="preserve"> </w:t>
      </w:r>
      <w:r>
        <w:t xml:space="preserve">captures the curvature of the relationship between inflation and RPV. The optimal inflation rate that minimizes RPV can be derived by taking the first derivative of the equation with respect to</w:t>
      </w:r>
      <w:r>
        <w:t xml:space="preserve"> </w:t>
      </w:r>
      <m:oMath>
        <m:d>
          <m:dPr>
            <m:begChr m:val="|"/>
            <m:endChr m:val="|"/>
            <m:sepChr m:val=""/>
            <m:grow/>
          </m:dPr>
          <m:e>
            <m:sSub>
              <m:e>
                <m:r>
                  <m:t>π</m:t>
                </m:r>
              </m:e>
              <m:sub>
                <m:r>
                  <m:t>t</m:t>
                </m:r>
              </m:sub>
            </m:sSub>
          </m:e>
        </m:d>
      </m:oMath>
      <w:r>
        <w:t xml:space="preserve"> </w:t>
      </w:r>
      <w:r>
        <w:t xml:space="preserve">and setting it to zero, yielding:</w:t>
      </w:r>
    </w:p>
    <w:p>
      <w:pPr>
        <w:pStyle w:val="BodyText"/>
      </w:pPr>
      <w:bookmarkStart w:id="30" w:name="eq-optimal_inflation"/>
      <m:oMathPara>
        <m:oMathParaPr>
          <m:jc m:val="center"/>
        </m:oMathParaPr>
        <m:oMath>
          <m:sSubSup>
            <m:e>
              <m:r>
                <m:t>π</m:t>
              </m:r>
            </m:e>
            <m:sub>
              <m:r>
                <m:t>t</m:t>
              </m:r>
            </m:sub>
            <m:sup>
              <m:r>
                <m:rPr>
                  <m:sty m:val="p"/>
                </m:rPr>
                <m:t>*</m:t>
              </m:r>
            </m:sup>
          </m:sSubSup>
          <m:r>
            <m:rPr>
              <m:sty m:val="p"/>
            </m:rPr>
            <m:t>=</m:t>
          </m:r>
          <m:r>
            <m:rPr>
              <m:sty m:val="p"/>
            </m:rPr>
            <m:t>−</m:t>
          </m:r>
          <m:f>
            <m:fPr>
              <m:type m:val="bar"/>
            </m:fPr>
            <m:num>
              <m:r>
                <m:t>1</m:t>
              </m:r>
            </m:num>
            <m:den>
              <m:r>
                <m:t>2</m:t>
              </m:r>
              <m:sSub>
                <m:e>
                  <m:r>
                    <m:t>β</m:t>
                  </m:r>
                </m:e>
                <m:sub>
                  <m:r>
                    <m:t>2</m:t>
                  </m:r>
                </m:sub>
              </m:sSub>
            </m:den>
          </m:f>
          <m:r>
            <m:rPr>
              <m:sty m:val="p"/>
            </m:rPr>
            <m:t>.</m:t>
          </m:r>
          <m:r>
            <m:t>  </m:t>
          </m:r>
          <m:d>
            <m:dPr>
              <m:begChr m:val="("/>
              <m:endChr m:val=")"/>
              <m:sepChr m:val=""/>
              <m:grow/>
            </m:dPr>
            <m:e>
              <m:r>
                <m:t>7</m:t>
              </m:r>
            </m:e>
          </m:d>
        </m:oMath>
      </m:oMathPara>
      <w:bookmarkEnd w:id="30"/>
    </w:p>
    <w:p>
      <w:pPr>
        <w:pStyle w:val="FirstParagraph"/>
      </w:pPr>
      <w:r>
        <w:t xml:space="preserve">To estimate this optional inflation we implement a semi parametric approach as follows:</w:t>
      </w:r>
    </w:p>
    <w:p>
      <w:pPr>
        <w:pStyle w:val="BodyText"/>
      </w:pPr>
      <w:bookmarkStart w:id="31" w:name="eq-rpv_semi_parametric_f"/>
      <m:oMathPara>
        <m:oMathParaPr>
          <m:jc m:val="center"/>
        </m:oMathParaPr>
        <m:oMath>
          <m:r>
            <m:t>R</m:t>
          </m:r>
          <m:r>
            <m:t>V</m:t>
          </m:r>
          <m:sSub>
            <m:e>
              <m:r>
                <m:t>P</m:t>
              </m:r>
            </m:e>
            <m:sub>
              <m:r>
                <m:t>t</m:t>
              </m:r>
            </m:sub>
          </m:sSub>
          <m:r>
            <m:rPr>
              <m:sty m:val="p"/>
            </m:rPr>
            <m:t>=</m:t>
          </m:r>
          <m:r>
            <m:t>f</m:t>
          </m:r>
          <m:d>
            <m:dPr>
              <m:begChr m:val="("/>
              <m:endChr m:val=")"/>
              <m:sepChr m:val=""/>
              <m:grow/>
            </m:dPr>
            <m:e>
              <m:sSub>
                <m:e>
                  <m:r>
                    <m:t>π</m:t>
                  </m:r>
                </m:e>
                <m:sub>
                  <m:r>
                    <m:t>t</m:t>
                  </m:r>
                </m:sub>
              </m:sSub>
            </m:e>
          </m:d>
          <m:r>
            <m:rPr>
              <m:sty m:val="p"/>
            </m:rPr>
            <m:t>+</m:t>
          </m:r>
          <m:nary>
            <m:naryPr>
              <m:chr m:val="∑"/>
              <m:limLoc m:val="undOvr"/>
              <m:subHide m:val="off"/>
              <m:supHide m:val="off"/>
            </m:naryPr>
            <m:sub>
              <m:r>
                <m:t>h</m:t>
              </m:r>
              <m:r>
                <m:rPr>
                  <m:sty m:val="p"/>
                </m:rPr>
                <m:t>=</m:t>
              </m:r>
              <m:r>
                <m:t>1</m:t>
              </m:r>
            </m:sub>
            <m:sup>
              <m:r>
                <m:t>3</m:t>
              </m:r>
            </m:sup>
            <m:e>
              <m:sSub>
                <m:e>
                  <m:r>
                    <m:t>ϕ</m:t>
                  </m:r>
                </m:e>
                <m:sub>
                  <m:r>
                    <m:t>h</m:t>
                  </m:r>
                </m:sub>
              </m:sSub>
            </m:e>
          </m:nary>
          <m:r>
            <m:t>R</m:t>
          </m:r>
          <m:r>
            <m:t>V</m:t>
          </m:r>
          <m:sSub>
            <m:e>
              <m:r>
                <m:t>P</m:t>
              </m:r>
            </m:e>
            <m:sub>
              <m:r>
                <m:t>t</m:t>
              </m:r>
              <m:r>
                <m:rPr>
                  <m:sty m:val="p"/>
                </m:rPr>
                <m:t>−</m:t>
              </m:r>
              <m:r>
                <m:t>h</m:t>
              </m:r>
            </m:sub>
          </m:sSub>
          <m:r>
            <m:rPr>
              <m:sty m:val="p"/>
            </m:rPr>
            <m:t>+</m:t>
          </m:r>
          <m:sSub>
            <m:e>
              <m:r>
                <m:t>ϵ</m:t>
              </m:r>
            </m:e>
            <m:sub>
              <m:r>
                <m:t>t</m:t>
              </m:r>
            </m:sub>
          </m:sSub>
          <m:r>
            <m:rPr>
              <m:sty m:val="p"/>
            </m:rPr>
            <m:t>,</m:t>
          </m:r>
          <m:r>
            <m:t>  </m:t>
          </m:r>
          <m:d>
            <m:dPr>
              <m:begChr m:val="("/>
              <m:endChr m:val=")"/>
              <m:sepChr m:val=""/>
              <m:grow/>
            </m:dPr>
            <m:e>
              <m:r>
                <m:t>8</m:t>
              </m:r>
            </m:e>
          </m:d>
        </m:oMath>
      </m:oMathPara>
      <w:bookmarkEnd w:id="31"/>
    </w:p>
    <w:p>
      <w:pPr>
        <w:pStyle w:val="FirstParagraph"/>
      </w:pPr>
      <w:r>
        <w:t xml:space="preserve">where</w:t>
      </w:r>
      <w:r>
        <w:t xml:space="preserve"> </w:t>
      </w:r>
      <m:oMath>
        <m:r>
          <m:t>f</m:t>
        </m:r>
        <m:d>
          <m:dPr>
            <m:begChr m:val="("/>
            <m:endChr m:val=")"/>
            <m:sepChr m:val=""/>
            <m:grow/>
          </m:dPr>
          <m:e>
            <m:sSub>
              <m:e>
                <m:r>
                  <m:t>π</m:t>
                </m:r>
              </m:e>
              <m:sub>
                <m:r>
                  <m:t>t</m:t>
                </m:r>
              </m:sub>
            </m:sSub>
          </m:e>
        </m:d>
      </m:oMath>
      <w:r>
        <w:t xml:space="preserve"> </w:t>
      </w:r>
      <w:r>
        <w:t xml:space="preserve">is a non-linear smooth differentiable function of inflation and the RVP. Therefore, the optimal inflation rate can be obtained by finding the minimum of the estimated</w:t>
      </w:r>
      <w:r>
        <w:t xml:space="preserve"> </w:t>
      </w:r>
      <m:oMath>
        <m:r>
          <m:t>f</m:t>
        </m:r>
        <m:d>
          <m:dPr>
            <m:begChr m:val="("/>
            <m:endChr m:val=")"/>
            <m:sepChr m:val=""/>
            <m:grow/>
          </m:dPr>
          <m:e>
            <m:sSub>
              <m:e>
                <m:r>
                  <m:t>π</m:t>
                </m:r>
              </m:e>
              <m:sub>
                <m:r>
                  <m:t>t</m:t>
                </m:r>
              </m:sub>
            </m:sSub>
          </m:e>
        </m:d>
      </m:oMath>
      <w:r>
        <w:t xml:space="preserve"> </w:t>
      </w:r>
      <w:r>
        <w:t xml:space="preserve">function.</w:t>
      </w:r>
      <w:r>
        <w:t xml:space="preserve"> </w:t>
      </w:r>
      <m:oMath>
        <m:r>
          <m:t>f</m:t>
        </m:r>
        <m:d>
          <m:dPr>
            <m:begChr m:val="("/>
            <m:endChr m:val=")"/>
            <m:sepChr m:val=""/>
            <m:grow/>
          </m:dPr>
          <m:e>
            <m:sSub>
              <m:e>
                <m:r>
                  <m:t>π</m:t>
                </m:r>
              </m:e>
              <m:sub>
                <m:r>
                  <m:t>t</m:t>
                </m:r>
              </m:sub>
            </m:sSub>
          </m:e>
        </m:d>
      </m:oMath>
      <w:r>
        <w:t xml:space="preserve"> </w:t>
      </w:r>
      <w:r>
        <w:t xml:space="preserve">is estimated in two stages. First we estimate</w:t>
      </w:r>
      <w:r>
        <w:t xml:space="preserve"> </w:t>
      </w:r>
      <m:oMath>
        <m:sSub>
          <m:e>
            <m:r>
              <m:t>λ</m:t>
            </m:r>
          </m:e>
          <m:sub>
            <m:r>
              <m:t>h</m:t>
            </m:r>
          </m:sub>
        </m:sSub>
      </m:oMath>
      <w:r>
        <w:t xml:space="preserve"> </w:t>
      </w:r>
      <w:r>
        <w:t xml:space="preserve">as follows:</w:t>
      </w:r>
    </w:p>
    <w:p>
      <w:pPr>
        <w:pStyle w:val="BodyText"/>
      </w:pPr>
      <w:bookmarkStart w:id="32" w:name="eq-rpv_semi_parametric_stage1"/>
      <m:oMathPara>
        <m:oMathParaPr>
          <m:jc m:val="center"/>
        </m:oMathParaPr>
        <m:oMath>
          <m:r>
            <m:t>R</m:t>
          </m:r>
          <m:r>
            <m:t>V</m:t>
          </m:r>
          <m:sSub>
            <m:e>
              <m:r>
                <m:t>P</m:t>
              </m:r>
            </m:e>
            <m:sub>
              <m:r>
                <m:t>t</m:t>
              </m:r>
            </m:sub>
          </m:sSub>
          <m:r>
            <m:rPr>
              <m:sty m:val="p"/>
            </m:rPr>
            <m:t>=</m:t>
          </m:r>
          <m:nary>
            <m:naryPr>
              <m:chr m:val="∑"/>
              <m:limLoc m:val="undOvr"/>
              <m:subHide m:val="off"/>
              <m:supHide m:val="off"/>
            </m:naryPr>
            <m:sub>
              <m:r>
                <m:t>h</m:t>
              </m:r>
              <m:r>
                <m:rPr>
                  <m:sty m:val="p"/>
                </m:rPr>
                <m:t>=</m:t>
              </m:r>
              <m:r>
                <m:t>1</m:t>
              </m:r>
            </m:sub>
            <m:sup>
              <m:r>
                <m:t>3</m:t>
              </m:r>
            </m:sup>
            <m:e>
              <m:sSub>
                <m:e>
                  <m:r>
                    <m:t>λ</m:t>
                  </m:r>
                </m:e>
                <m:sub>
                  <m:r>
                    <m:t>h</m:t>
                  </m:r>
                </m:sub>
              </m:sSub>
            </m:e>
          </m:nary>
          <m:sSub>
            <m:e>
              <m:bar>
                <m:barPr>
                  <m:pos m:val="top"/>
                </m:barPr>
                <m:e>
                  <m:r>
                    <m:t>R</m:t>
                  </m:r>
                  <m:r>
                    <m:t>V</m:t>
                  </m:r>
                  <m:r>
                    <m:t>P</m:t>
                  </m:r>
                </m:e>
              </m:bar>
            </m:e>
            <m:sub>
              <m:r>
                <m:t>t</m:t>
              </m:r>
              <m:r>
                <m:rPr>
                  <m:sty m:val="p"/>
                </m:rPr>
                <m:t>−</m:t>
              </m:r>
              <m:r>
                <m:t>h</m:t>
              </m:r>
            </m:sub>
          </m:sSub>
          <m:r>
            <m:rPr>
              <m:sty m:val="p"/>
            </m:rPr>
            <m:t>+</m:t>
          </m:r>
          <m:sSub>
            <m:e>
              <m:r>
                <m:t>η</m:t>
              </m:r>
            </m:e>
            <m:sub>
              <m:r>
                <m:t>t</m:t>
              </m:r>
            </m:sub>
          </m:sSub>
          <m:r>
            <m:rPr>
              <m:sty m:val="p"/>
            </m:rPr>
            <m:t>,</m:t>
          </m:r>
          <m:r>
            <m:t>  </m:t>
          </m:r>
          <m:d>
            <m:dPr>
              <m:begChr m:val="("/>
              <m:endChr m:val=")"/>
              <m:sepChr m:val=""/>
              <m:grow/>
            </m:dPr>
            <m:e>
              <m:r>
                <m:t>9</m:t>
              </m:r>
            </m:e>
          </m:d>
        </m:oMath>
      </m:oMathPara>
      <w:bookmarkEnd w:id="32"/>
    </w:p>
    <w:p>
      <w:pPr>
        <w:pStyle w:val="FirstParagraph"/>
      </w:pPr>
      <w:r>
        <w:t xml:space="preserve">where</w:t>
      </w:r>
      <w:r>
        <w:t xml:space="preserve"> </w:t>
      </w:r>
      <m:oMath>
        <m:sSub>
          <m:e>
            <m:bar>
              <m:barPr>
                <m:pos m:val="top"/>
              </m:barPr>
              <m:e>
                <m:r>
                  <m:t>R</m:t>
                </m:r>
                <m:r>
                  <m:t>V</m:t>
                </m:r>
                <m:r>
                  <m:t>P</m:t>
                </m:r>
              </m:e>
            </m:bar>
          </m:e>
          <m:sub>
            <m:r>
              <m:t>t</m:t>
            </m:r>
            <m:r>
              <m:rPr>
                <m:sty m:val="p"/>
              </m:rPr>
              <m:t>−</m:t>
            </m:r>
            <m:r>
              <m:t>h</m:t>
            </m:r>
          </m:sub>
        </m:sSub>
      </m:oMath>
      <w:r>
        <w:t xml:space="preserve"> </w:t>
      </w:r>
      <w:r>
        <w:t xml:space="preserve">are the residuals from a non-parametric regression of each lag of</w:t>
      </w:r>
      <w:r>
        <w:t xml:space="preserve"> </w:t>
      </w:r>
      <m:oMath>
        <m:r>
          <m:t>R</m:t>
        </m:r>
        <m:r>
          <m:t>V</m:t>
        </m:r>
        <m:sSub>
          <m:e>
            <m:r>
              <m:t>P</m:t>
            </m:r>
          </m:e>
          <m:sub>
            <m:r>
              <m:t>t</m:t>
            </m:r>
          </m:sub>
        </m:sSub>
      </m:oMath>
      <w:r>
        <w:t xml:space="preserve"> </w:t>
      </w:r>
      <w:r>
        <w:t xml:space="preserve">on</w:t>
      </w:r>
      <w:r>
        <w:t xml:space="preserve"> </w:t>
      </w:r>
      <m:oMath>
        <m:sSub>
          <m:e>
            <m:r>
              <m:t>π</m:t>
            </m:r>
          </m:e>
          <m:sub>
            <m:r>
              <m:t>t</m:t>
            </m:r>
          </m:sub>
        </m:sSub>
      </m:oMath>
      <w:r>
        <w:t xml:space="preserve"> </w:t>
      </w:r>
      <w:r>
        <w:t xml:space="preserve">. In the second stage, we estimate</w:t>
      </w:r>
      <w:r>
        <w:t xml:space="preserve"> </w:t>
      </w:r>
      <m:oMath>
        <m:r>
          <m:t>f</m:t>
        </m:r>
        <m:d>
          <m:dPr>
            <m:begChr m:val="("/>
            <m:endChr m:val=")"/>
            <m:sepChr m:val=""/>
            <m:grow/>
          </m:dPr>
          <m:e>
            <m:sSub>
              <m:e>
                <m:r>
                  <m:t>π</m:t>
                </m:r>
              </m:e>
              <m:sub>
                <m:r>
                  <m:t>t</m:t>
                </m:r>
              </m:sub>
            </m:sSub>
          </m:e>
        </m:d>
      </m:oMath>
      <w:r>
        <w:t xml:space="preserve"> </w:t>
      </w:r>
      <w:r>
        <w:t xml:space="preserve">non-parametrically as follows:</w:t>
      </w:r>
    </w:p>
    <w:p>
      <w:pPr>
        <w:pStyle w:val="BodyText"/>
      </w:pPr>
      <w:bookmarkStart w:id="33" w:name="eq-rpv_semi_parametric_stage2"/>
      <m:oMathPara>
        <m:oMathParaPr>
          <m:jc m:val="center"/>
        </m:oMathParaPr>
        <m:oMath>
          <m:sSub>
            <m:e>
              <m:acc>
                <m:accPr>
                  <m:chr m:val="̂"/>
                </m:accPr>
                <m:e>
                  <m:r>
                    <m:t>η</m:t>
                  </m:r>
                </m:e>
              </m:acc>
            </m:e>
            <m:sub>
              <m:r>
                <m:t>t</m:t>
              </m:r>
            </m:sub>
          </m:sSub>
          <m:r>
            <m:rPr>
              <m:sty m:val="p"/>
            </m:rPr>
            <m:t>=</m:t>
          </m:r>
          <m:r>
            <m:t>f</m:t>
          </m:r>
          <m:d>
            <m:dPr>
              <m:begChr m:val="("/>
              <m:endChr m:val=")"/>
              <m:sepChr m:val=""/>
              <m:grow/>
            </m:dPr>
            <m:e>
              <m:sSub>
                <m:e>
                  <m:r>
                    <m:t>π</m:t>
                  </m:r>
                </m:e>
                <m:sub>
                  <m:r>
                    <m:t>t</m:t>
                  </m:r>
                </m:sub>
              </m:sSub>
            </m:e>
          </m:d>
          <m:r>
            <m:rPr>
              <m:sty m:val="p"/>
            </m:rPr>
            <m:t>+</m:t>
          </m:r>
          <m:sSub>
            <m:e>
              <m:r>
                <m:t>v</m:t>
              </m:r>
            </m:e>
            <m:sub>
              <m:r>
                <m:t>t</m:t>
              </m:r>
            </m:sub>
          </m:sSub>
          <m:r>
            <m:rPr>
              <m:sty m:val="p"/>
            </m:rPr>
            <m:t>,</m:t>
          </m:r>
          <m:r>
            <m:t>  </m:t>
          </m:r>
          <m:d>
            <m:dPr>
              <m:begChr m:val="("/>
              <m:endChr m:val=")"/>
              <m:sepChr m:val=""/>
              <m:grow/>
            </m:dPr>
            <m:e>
              <m:r>
                <m:t>10</m:t>
              </m:r>
            </m:e>
          </m:d>
        </m:oMath>
      </m:oMathPara>
      <w:bookmarkEnd w:id="33"/>
    </w:p>
    <w:p>
      <w:pPr>
        <w:pStyle w:val="FirstParagraph"/>
      </w:pPr>
      <w:r>
        <w:t xml:space="preserve">where</w:t>
      </w:r>
      <w:r>
        <w:t xml:space="preserve"> </w:t>
      </w:r>
      <m:oMath>
        <m:sSub>
          <m:e>
            <m:acc>
              <m:accPr>
                <m:chr m:val="̂"/>
              </m:accPr>
              <m:e>
                <m:r>
                  <m:t>η</m:t>
                </m:r>
              </m:e>
            </m:acc>
          </m:e>
          <m:sub>
            <m:r>
              <m:t>t</m:t>
            </m:r>
          </m:sub>
        </m:sSub>
      </m:oMath>
      <w:r>
        <w:t xml:space="preserve"> </w:t>
      </w:r>
      <w:r>
        <w:t xml:space="preserve">are the residuals from</w:t>
      </w:r>
      <w:r>
        <w:t xml:space="preserve"> </w:t>
      </w:r>
      <w:hyperlink w:anchor="eq-rpv_semi_parametric_stage1">
        <w:r>
          <w:rPr>
            <w:rStyle w:val="Hyperlink"/>
          </w:rPr>
          <w:t xml:space="preserve">Equation 9</w:t>
        </w:r>
      </w:hyperlink>
      <w:r>
        <w:t xml:space="preserve">, and</w:t>
      </w:r>
      <w:r>
        <w:t xml:space="preserve"> </w:t>
      </w:r>
      <m:oMath>
        <m:r>
          <m:t>f</m:t>
        </m:r>
        <m:d>
          <m:dPr>
            <m:begChr m:val="("/>
            <m:endChr m:val=")"/>
            <m:sepChr m:val=""/>
            <m:grow/>
          </m:dPr>
          <m:e>
            <m:sSub>
              <m:e>
                <m:r>
                  <m:t>π</m:t>
                </m:r>
              </m:e>
              <m:sub>
                <m:r>
                  <m:t>t</m:t>
                </m:r>
              </m:sub>
            </m:sSub>
          </m:e>
        </m:d>
      </m:oMath>
      <w:r>
        <w:t xml:space="preserve"> </w:t>
      </w:r>
      <w:r>
        <w:t xml:space="preserve">is estimated using a kernel regression method. In both stages we use the Nadaraya-Watson kernel estimator. The bandwidth (</w:t>
      </w:r>
      <m:oMath>
        <m:r>
          <m:t>h</m:t>
        </m:r>
      </m:oMath>
      <w:r>
        <w:t xml:space="preserve">) for the kernel estimator is selected using cross-validation to minimize the mean squared error. As a treatment for extreme values of inflation, we further implement the unbounded Gaussian kernel and the outlier-robust Epanechnikov kernel. In essence, the semi-parametric approach captures the sensitivity of RPV to marginal increases in inflation. In that case, the optimal inflation rate can be obtained by finding the point where the first derivative of</w:t>
      </w:r>
      <w:r>
        <w:t xml:space="preserve"> </w:t>
      </w:r>
      <m:oMath>
        <m:r>
          <m:t>f</m:t>
        </m:r>
        <m:d>
          <m:dPr>
            <m:begChr m:val="("/>
            <m:endChr m:val=")"/>
            <m:sepChr m:val=""/>
            <m:grow/>
          </m:dPr>
          <m:e>
            <m:sSub>
              <m:e>
                <m:r>
                  <m:t>π</m:t>
                </m:r>
              </m:e>
              <m:sub>
                <m:r>
                  <m:t>t</m:t>
                </m:r>
              </m:sub>
            </m:sSub>
          </m:e>
        </m:d>
      </m:oMath>
      <w:r>
        <w:t xml:space="preserve"> </w:t>
      </w:r>
      <w:r>
        <w:t xml:space="preserve">(</w:t>
      </w:r>
      <m:oMath>
        <m:r>
          <m:t>f</m:t>
        </m:r>
        <m:r>
          <m:rPr>
            <m:sty m:val="p"/>
          </m:rPr>
          <m:t>′</m:t>
        </m:r>
        <m:d>
          <m:dPr>
            <m:begChr m:val="("/>
            <m:endChr m:val=")"/>
            <m:sepChr m:val=""/>
            <m:grow/>
          </m:dPr>
          <m:e>
            <m:sSub>
              <m:e>
                <m:r>
                  <m:t>π</m:t>
                </m:r>
              </m:e>
              <m:sub>
                <m:r>
                  <m:t>t</m:t>
                </m:r>
              </m:sub>
            </m:sSub>
          </m:e>
        </m:d>
      </m:oMath>
      <w:r>
        <w:t xml:space="preserve">) is equal to zero. Therefore, if</w:t>
      </w:r>
      <w:r>
        <w:t xml:space="preserve"> </w:t>
      </w:r>
      <m:oMath>
        <m:r>
          <m:t>f</m:t>
        </m:r>
        <m:r>
          <m:rPr>
            <m:sty m:val="p"/>
          </m:rPr>
          <m:t>′</m:t>
        </m:r>
        <m:d>
          <m:dPr>
            <m:begChr m:val="("/>
            <m:endChr m:val=")"/>
            <m:sepChr m:val=""/>
            <m:grow/>
          </m:dPr>
          <m:e>
            <m:sSub>
              <m:e>
                <m:r>
                  <m:t>π</m:t>
                </m:r>
              </m:e>
              <m:sub>
                <m:r>
                  <m:t>t</m:t>
                </m:r>
              </m:sub>
            </m:sSub>
          </m:e>
        </m:d>
        <m:r>
          <m:rPr>
            <m:sty m:val="p"/>
          </m:rPr>
          <m:t>&gt;</m:t>
        </m:r>
        <m:r>
          <m:t>0</m:t>
        </m:r>
      </m:oMath>
      <w:r>
        <w:t xml:space="preserve"> </w:t>
      </w:r>
      <w:r>
        <w:t xml:space="preserve">(</w:t>
      </w:r>
      <m:oMath>
        <m:r>
          <m:t>f</m:t>
        </m:r>
        <m:r>
          <m:rPr>
            <m:sty m:val="p"/>
          </m:rPr>
          <m:t>′</m:t>
        </m:r>
        <m:d>
          <m:dPr>
            <m:begChr m:val="("/>
            <m:endChr m:val=")"/>
            <m:sepChr m:val=""/>
            <m:grow/>
          </m:dPr>
          <m:e>
            <m:sSub>
              <m:e>
                <m:r>
                  <m:t>π</m:t>
                </m:r>
              </m:e>
              <m:sub>
                <m:r>
                  <m:t>t</m:t>
                </m:r>
              </m:sub>
            </m:sSub>
          </m:e>
        </m:d>
        <m:r>
          <m:rPr>
            <m:sty m:val="p"/>
          </m:rPr>
          <m:t>&lt;</m:t>
        </m:r>
        <m:r>
          <m:t>0</m:t>
        </m:r>
      </m:oMath>
      <w:r>
        <w:t xml:space="preserve">), then an increase in inflation (decrease) leads to an increase (decrease) in RPV.</w:t>
      </w:r>
    </w:p>
    <w:bookmarkEnd w:id="34"/>
    <w:bookmarkStart w:id="63" w:name="results"/>
    <w:p>
      <w:pPr>
        <w:pStyle w:val="Heading1"/>
      </w:pPr>
      <w:r>
        <w:t xml:space="preserve">Results</w:t>
      </w:r>
    </w:p>
    <w:tbl>
      <w:tblPr>
        <w:tblStyle w:val="Table"/>
        <w:tblW w:type="pct" w:w="5000"/>
        <w:tblLook w:firstRow="0" w:lastRow="0" w:firstColumn="0" w:lastColumn="0" w:noHBand="0" w:noVBand="0" w:val="0000"/>
        <w:jc w:val="start"/>
        <w:tblLayout w:type="fixed"/>
      </w:tblPr>
      <w:tblGrid>
        <w:gridCol w:w="7920"/>
      </w:tblGrid>
      <w:tr>
        <w:tc>
          <w:tcPr/>
          <w:bookmarkStart w:id="38" w:name="fig-rvp"/>
          <w:p>
            <w:pPr>
              <w:pStyle w:val="Compact"/>
              <w:jc w:val="center"/>
            </w:pPr>
            <w:r>
              <w:drawing>
                <wp:inline>
                  <wp:extent cx="5753100" cy="2157412"/>
                  <wp:effectExtent b="0" l="0" r="0" t="0"/>
                  <wp:docPr descr="" title="" id="36" name="Picture"/>
                  <a:graphic>
                    <a:graphicData uri="http://schemas.openxmlformats.org/drawingml/2006/picture">
                      <pic:pic>
                        <pic:nvPicPr>
                          <pic:cNvPr descr="inflation_relative_price_variance_files/figure-docx/fig-rvp-1.png" id="37" name="Picture"/>
                          <pic:cNvPicPr>
                            <a:picLocks noChangeArrowheads="1" noChangeAspect="1"/>
                          </pic:cNvPicPr>
                        </pic:nvPicPr>
                        <pic:blipFill>
                          <a:blip r:embed="rId35"/>
                          <a:stretch>
                            <a:fillRect/>
                          </a:stretch>
                        </pic:blipFill>
                        <pic:spPr bwMode="auto">
                          <a:xfrm>
                            <a:off x="0" y="0"/>
                            <a:ext cx="5753100" cy="215741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Relative price variability over-time</w:t>
            </w:r>
          </w:p>
          <w:bookmarkEnd w:id="38"/>
        </w:tc>
      </w:tr>
    </w:tbl>
    <w:tbl>
      <w:tblPr>
        <w:tblStyle w:val="Table"/>
        <w:tblW w:type="pct" w:w="5000"/>
        <w:tblLook w:firstRow="0" w:lastRow="0" w:firstColumn="0" w:lastColumn="0" w:noHBand="0" w:noVBand="0" w:val="0000"/>
        <w:jc w:val="start"/>
        <w:tblLayout w:type="fixed"/>
      </w:tblPr>
      <w:tblGrid>
        <w:gridCol w:w="7920"/>
      </w:tblGrid>
      <w:tr>
        <w:tc>
          <w:tcPr/>
          <w:bookmarkStart w:id="42" w:name="fig-headline_inflation"/>
          <w:p>
            <w:pPr>
              <w:pStyle w:val="Compact"/>
              <w:jc w:val="center"/>
            </w:pPr>
            <w:r>
              <w:drawing>
                <wp:inline>
                  <wp:extent cx="5753100" cy="2157412"/>
                  <wp:effectExtent b="0" l="0" r="0" t="0"/>
                  <wp:docPr descr="" title="" id="40" name="Picture"/>
                  <a:graphic>
                    <a:graphicData uri="http://schemas.openxmlformats.org/drawingml/2006/picture">
                      <pic:pic>
                        <pic:nvPicPr>
                          <pic:cNvPr descr="inflation_relative_price_variance_files/figure-docx/fig-headline_inflation-1.png" id="41" name="Picture"/>
                          <pic:cNvPicPr>
                            <a:picLocks noChangeArrowheads="1" noChangeAspect="1"/>
                          </pic:cNvPicPr>
                        </pic:nvPicPr>
                        <pic:blipFill>
                          <a:blip r:embed="rId39"/>
                          <a:stretch>
                            <a:fillRect/>
                          </a:stretch>
                        </pic:blipFill>
                        <pic:spPr bwMode="auto">
                          <a:xfrm>
                            <a:off x="0" y="0"/>
                            <a:ext cx="5753100" cy="215741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Headline inflation (%). Note: The dashed red line represents the implementation of the mid-point target of 4.5% in 2017.</w:t>
            </w:r>
          </w:p>
          <w:bookmarkEnd w:id="42"/>
        </w:tc>
      </w:tr>
    </w:tbl>
    <w:p>
      <w:pPr>
        <w:pStyle w:val="CaptionedFigure"/>
      </w:pPr>
      <w:r>
        <w:drawing>
          <wp:inline>
            <wp:extent cx="5753100" cy="2157412"/>
            <wp:effectExtent b="0" l="0" r="0" t="0"/>
            <wp:docPr descr="Relative price variability vs headline Inflation" title="" id="44" name="Picture"/>
            <a:graphic>
              <a:graphicData uri="http://schemas.openxmlformats.org/drawingml/2006/picture">
                <pic:pic>
                  <pic:nvPicPr>
                    <pic:cNvPr descr="inflation_relative_price_variance_files/figure-docx/fig_rvp_inflation-1.png" id="45" name="Picture"/>
                    <pic:cNvPicPr>
                      <a:picLocks noChangeArrowheads="1" noChangeAspect="1"/>
                    </pic:cNvPicPr>
                  </pic:nvPicPr>
                  <pic:blipFill>
                    <a:blip r:embed="rId43"/>
                    <a:stretch>
                      <a:fillRect/>
                    </a:stretch>
                  </pic:blipFill>
                  <pic:spPr bwMode="auto">
                    <a:xfrm>
                      <a:off x="0" y="0"/>
                      <a:ext cx="5753100" cy="2157412"/>
                    </a:xfrm>
                    <a:prstGeom prst="rect">
                      <a:avLst/>
                    </a:prstGeom>
                    <a:noFill/>
                    <a:ln w="9525">
                      <a:noFill/>
                      <a:headEnd/>
                      <a:tailEnd/>
                    </a:ln>
                  </pic:spPr>
                </pic:pic>
              </a:graphicData>
            </a:graphic>
          </wp:inline>
        </w:drawing>
      </w:r>
    </w:p>
    <w:p>
      <w:pPr>
        <w:pStyle w:val="ImageCaption"/>
      </w:pPr>
      <w:r>
        <w:t xml:space="preserve">Relative price variability vs headline Inflation</w:t>
      </w:r>
    </w:p>
    <w:p>
      <w:r>
        <w:br w:type="page"/>
      </w:r>
    </w:p>
    <w:tbl>
      <w:tblPr>
        <w:tblStyle w:val="Table"/>
        <w:tblW w:type="pct" w:w="5000"/>
        <w:tblLook w:firstRow="0" w:lastRow="0" w:firstColumn="0" w:lastColumn="0" w:noHBand="0" w:noVBand="0" w:val="0000"/>
        <w:jc w:val="start"/>
        <w:tblLayout w:type="fixed"/>
      </w:tblPr>
      <w:tblGrid>
        <w:gridCol w:w="7920"/>
      </w:tblGrid>
      <w:tr>
        <w:tc>
          <w:tcPr/>
          <w:bookmarkStart w:id="46" w:name="tbl-base_regression"/>
          <w:p>
            <w:pPr>
              <w:jc w:val="center"/>
            </w:pPr>
            <w:pPr>
              <w:jc w:val="start"/>
              <w:spacing w:before="200"/>
              <w:pStyle w:val="ImageCaption"/>
            </w:pPr>
            <w:r>
              <w:t xml:space="preserve">Table 1: Baseline regressions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4731"/>
              <w:gridCol w:w="3851"/>
            </w:tblGrid>
            <w:tr>
              <w:trPr>
                <w:trHeight w:val="513"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 </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Estimate</w:t>
                  </w:r>
                </w:p>
              </w:tc>
            </w:tr>
            <w:tr>
              <w:trPr>
                <w:trHeight w:val="540" w:hRule="auto"/>
              </w:trPr>
              body 1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RVP Full Sample</w:t>
                  </w:r>
                </w:p>
              </w:tc>
            </w:tr>
            <w:tr>
              <w:trPr>
                <w:trHeight w:val="69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0.097**</w:t>
                  </w:r>
                </w:p>
              </w:tc>
            </w:tr>
            <w:tr>
              <w:trPr>
                <w:trHeight w:val="69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0.009*</w:t>
                  </w:r>
                </w:p>
              </w:tc>
            </w:tr>
            <w:tr>
              <w:trPr>
                <w:trHeight w:val="69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1.039***</w:t>
                  </w:r>
                </w:p>
              </w:tc>
            </w:tr>
            <w:tr>
              <w:trPr>
                <w:trHeight w:val="69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-0.386***</w:t>
                  </w:r>
                </w:p>
              </w:tc>
            </w:tr>
            <w:tr>
              <w:trPr>
                <w:trHeight w:val="69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0.247***</w:t>
                  </w:r>
                </w:p>
              </w:tc>
            </w:tr>
            <w:tr>
              <w:trPr>
                <w:trHeight w:val="69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0.042***</w:t>
                  </w:r>
                </w:p>
              </w:tc>
            </w:tr>
            <w:tr>
              <w:trPr>
                <w:trHeight w:val="69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-0.097***</w:t>
                  </w:r>
                </w:p>
              </w:tc>
            </w:tr>
            <w:tr>
              <w:trPr>
                <w:trHeight w:val="69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0.156***</w:t>
                  </w:r>
                </w:p>
              </w:tc>
            </w:tr>
            <w:tr>
              <w:trPr>
                <w:trHeight w:val="69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-0.116***</w:t>
                  </w:r>
                </w:p>
              </w:tc>
            </w:tr>
            <w:tr>
              <w:trPr>
                <w:trHeight w:val="69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0.027 </w:t>
                  </w:r>
                </w:p>
              </w:tc>
            </w:tr>
            <w:tr>
              <w:trPr>
                <w:trHeight w:val="513" w:hRule="auto"/>
              </w:trPr>
              body12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RVP Pre 2017</w:t>
                  </w:r>
                </w:p>
              </w:tc>
            </w:tr>
            <w:tr>
              <w:trPr>
                <w:trHeight w:val="69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0.049 </w:t>
                  </w:r>
                </w:p>
              </w:tc>
            </w:tr>
            <w:tr>
              <w:trPr>
                <w:trHeight w:val="69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0.009 </w:t>
                  </w:r>
                </w:p>
              </w:tc>
            </w:tr>
            <w:tr>
              <w:trPr>
                <w:trHeight w:val="69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0.896***</w:t>
                  </w:r>
                </w:p>
              </w:tc>
            </w:tr>
            <w:tr>
              <w:trPr>
                <w:trHeight w:val="69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-0.14 </w:t>
                  </w:r>
                </w:p>
              </w:tc>
            </w:tr>
            <w:tr>
              <w:trPr>
                <w:trHeight w:val="69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0.173**</w:t>
                  </w:r>
                </w:p>
              </w:tc>
            </w:tr>
            <w:tr>
              <w:trPr>
                <w:trHeight w:val="69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0.027**</w:t>
                  </w:r>
                </w:p>
              </w:tc>
            </w:tr>
            <w:tr>
              <w:trPr>
                <w:trHeight w:val="69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-0.087***</w:t>
                  </w:r>
                </w:p>
              </w:tc>
            </w:tr>
            <w:tr>
              <w:trPr>
                <w:trHeight w:val="513" w:hRule="auto"/>
              </w:trPr>
              body20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RVP Post 2017</w:t>
                  </w:r>
                </w:p>
              </w:tc>
            </w:tr>
            <w:tr>
              <w:trPr>
                <w:trHeight w:val="69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0.265***</w:t>
                  </w:r>
                </w:p>
              </w:tc>
            </w:tr>
            <w:tr>
              <w:trPr>
                <w:trHeight w:val="699"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0.032***</w:t>
                  </w:r>
                </w:p>
              </w:tc>
            </w:tr>
            <w:tr>
              <w:trPr>
                <w:trHeight w:val="699"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1.12***</w:t>
                  </w:r>
                </w:p>
              </w:tc>
            </w:tr>
            <w:tr>
              <w:trPr>
                <w:trHeight w:val="699"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-0.66***</w:t>
                  </w:r>
                </w:p>
              </w:tc>
            </w:tr>
            <w:tr>
              <w:trPr>
                <w:trHeight w:val="699"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0.259***</w:t>
                  </w:r>
                </w:p>
              </w:tc>
            </w:tr>
            <w:tr>
              <w:trPr>
                <w:trHeight w:val="699"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-0.215***</w:t>
                  </w:r>
                </w:p>
              </w:tc>
            </w:tr>
            <w:tr>
              <w:trPr>
                <w:trHeight w:val="699"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0.026 </w:t>
                  </w:r>
                </w:p>
              </w:tc>
            </w:tr>
            <w:tr>
              <w:trPr>
                <w:trHeight w:val="540" w:hRule="auto"/>
              </w:trPr>
              body28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RVP Full Sample with Squared Inflation</w:t>
                  </w:r>
                </w:p>
              </w:tc>
            </w:tr>
            <w:tr>
              <w:trPr>
                <w:trHeight w:val="699"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0.248***</w:t>
                  </w:r>
                </w:p>
              </w:tc>
            </w:tr>
            <w:tr>
              <w:trPr>
                <w:trHeight w:val="699"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-0.047***</w:t>
                  </w:r>
                </w:p>
              </w:tc>
            </w:tr>
            <w:tr>
              <w:trPr>
                <w:trHeight w:val="699"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1.017***</w:t>
                  </w:r>
                </w:p>
              </w:tc>
            </w:tr>
            <w:tr>
              <w:trPr>
                <w:trHeight w:val="699"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-0.367***</w:t>
                  </w:r>
                </w:p>
              </w:tc>
            </w:tr>
            <w:tr>
              <w:trPr>
                <w:trHeight w:val="699"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0.237***</w:t>
                  </w:r>
                </w:p>
              </w:tc>
            </w:tr>
            <w:tr>
              <w:trPr>
                <w:trHeight w:val="699"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0.047***</w:t>
                  </w:r>
                </w:p>
              </w:tc>
            </w:tr>
            <w:tr>
              <w:trPr>
                <w:trHeight w:val="699"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-0.104***</w:t>
                  </w:r>
                </w:p>
              </w:tc>
            </w:tr>
            <w:tr>
              <w:trPr>
                <w:trHeight w:val="699"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0.161***</w:t>
                  </w:r>
                </w:p>
              </w:tc>
            </w:tr>
            <w:tr>
              <w:trPr>
                <w:trHeight w:val="699"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-0.107***</w:t>
                  </w:r>
                </w:p>
              </w:tc>
            </w:tr>
            <w:tr>
              <w:trPr>
                <w:trHeight w:val="699"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0.001 </w:t>
                  </w:r>
                </w:p>
              </w:tc>
            </w:tr>
            <w:tr>
              <w:trPr>
                <w:trHeight w:val="540" w:hRule="auto"/>
              </w:trPr>
              body39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RVP Pre 2017 with Squared Inflation</w:t>
                  </w:r>
                </w:p>
              </w:tc>
            </w:tr>
            <w:tr>
              <w:trPr>
                <w:trHeight w:val="699"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0.049 </w:t>
                  </w:r>
                </w:p>
              </w:tc>
            </w:tr>
            <w:tr>
              <w:trPr>
                <w:trHeight w:val="699"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0.009 </w:t>
                  </w:r>
                </w:p>
              </w:tc>
            </w:tr>
            <w:tr>
              <w:trPr>
                <w:trHeight w:val="699"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0.896***</w:t>
                  </w:r>
                </w:p>
              </w:tc>
            </w:tr>
            <w:tr>
              <w:trPr>
                <w:trHeight w:val="699"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-0.14 </w:t>
                  </w:r>
                </w:p>
              </w:tc>
            </w:tr>
            <w:tr>
              <w:trPr>
                <w:trHeight w:val="699"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0.173**</w:t>
                  </w:r>
                </w:p>
              </w:tc>
            </w:tr>
            <w:tr>
              <w:trPr>
                <w:trHeight w:val="699"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0.027**</w:t>
                  </w:r>
                </w:p>
              </w:tc>
            </w:tr>
            <w:tr>
              <w:trPr>
                <w:trHeight w:val="699"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-0.087***</w:t>
                  </w:r>
                </w:p>
              </w:tc>
            </w:tr>
            <w:tr>
              <w:trPr>
                <w:trHeight w:val="540" w:hRule="auto"/>
              </w:trPr>
              body47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RVP Post 2017 with Squared Inflation</w:t>
                  </w:r>
                </w:p>
              </w:tc>
            </w:tr>
            <w:tr>
              <w:trPr>
                <w:trHeight w:val="699"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0.265***</w:t>
                  </w:r>
                </w:p>
              </w:tc>
            </w:tr>
            <w:tr>
              <w:trPr>
                <w:trHeight w:val="699"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0.032***</w:t>
                  </w:r>
                </w:p>
              </w:tc>
            </w:tr>
            <w:tr>
              <w:trPr>
                <w:trHeight w:val="699"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1.12***</w:t>
                  </w:r>
                </w:p>
              </w:tc>
            </w:tr>
            <w:tr>
              <w:trPr>
                <w:trHeight w:val="699"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-0.66***</w:t>
                  </w:r>
                </w:p>
              </w:tc>
            </w:tr>
            <w:tr>
              <w:trPr>
                <w:trHeight w:val="699"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0.259***</w:t>
                  </w:r>
                </w:p>
              </w:tc>
            </w:tr>
            <w:tr>
              <w:trPr>
                <w:trHeight w:val="699"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-0.215***</w:t>
                  </w:r>
                </w:p>
              </w:tc>
            </w:tr>
            <w:tr>
              <w:trPr>
                <w:trHeight w:val="699" w:hRule="auto"/>
              </w:trPr>
              body54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NA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0.026 </w:t>
                  </w:r>
                </w:p>
              </w:tc>
            </w:tr>
            <w:tr>
              <w:trPr>
                <w:trHeight w:val="360" w:hRule="auto"/>
              </w:trPr>
              footer 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Note: *** = p value &lt; 0.01, ** = 0.01 &lt; p value &lt; 0.05, * = 0.05 &lt; p value &lt; 0.1.</w:t>
                  </w:r>
                </w:p>
              </w:tc>
            </w:tr>
          </w:tbl>
          <w:bookmarkEnd w:id="46"/>
        </w:tc>
      </w:tr>
    </w:tbl>
    <w:tbl>
      <w:tblPr>
        <w:tblStyle w:val="Table"/>
        <w:tblW w:type="pct" w:w="5000"/>
        <w:tblLook w:firstRow="0" w:lastRow="0" w:firstColumn="0" w:lastColumn="0" w:noHBand="0" w:noVBand="0" w:val="0000"/>
        <w:jc w:val="start"/>
        <w:tblLayout w:type="fixed"/>
      </w:tblPr>
      <w:tblGrid>
        <w:gridCol w:w="7920"/>
      </w:tblGrid>
      <w:tr>
        <w:tc>
          <w:tcPr/>
          <w:bookmarkStart w:id="50" w:name="fig-rolling_coefficients"/>
          <w:p>
            <w:pPr>
              <w:pStyle w:val="Compact"/>
              <w:jc w:val="center"/>
            </w:pPr>
            <w:r>
              <w:drawing>
                <wp:inline>
                  <wp:extent cx="5753100" cy="4314825"/>
                  <wp:effectExtent b="0" l="0" r="0" t="0"/>
                  <wp:docPr descr="" title="" id="48" name="Picture"/>
                  <a:graphic>
                    <a:graphicData uri="http://schemas.openxmlformats.org/drawingml/2006/picture">
                      <pic:pic>
                        <pic:nvPicPr>
                          <pic:cNvPr descr="inflation_relative_price_variance_files/figure-docx/fig-rolling_coefficients-1.png" id="49" name="Picture"/>
                          <pic:cNvPicPr>
                            <a:picLocks noChangeArrowheads="1" noChangeAspect="1"/>
                          </pic:cNvPicPr>
                        </pic:nvPicPr>
                        <pic:blipFill>
                          <a:blip r:embed="rId47"/>
                          <a:stretch>
                            <a:fillRect/>
                          </a:stretch>
                        </pic:blipFill>
                        <pic:spPr bwMode="auto">
                          <a:xfrm>
                            <a:off x="0" y="0"/>
                            <a:ext cx="5753100" cy="43148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Rolling regression</w:t>
            </w:r>
          </w:p>
          <w:bookmarkEnd w:id="50"/>
        </w:tc>
      </w:tr>
    </w:tbl>
    <w:p>
      <w:r>
        <w:br w:type="page"/>
      </w:r>
    </w:p>
    <w:tbl>
      <w:tblPr>
        <w:tblStyle w:val="Table"/>
        <w:tblW w:type="pct" w:w="5000"/>
        <w:tblLook w:firstRow="0" w:lastRow="0" w:firstColumn="0" w:lastColumn="0" w:noHBand="0" w:noVBand="0" w:val="0000"/>
        <w:jc w:val="start"/>
        <w:tblLayout w:type="fixed"/>
      </w:tblPr>
      <w:tblGrid>
        <w:gridCol w:w="7920"/>
      </w:tblGrid>
      <w:tr>
        <w:tc>
          <w:tcPr/>
          <w:bookmarkStart w:id="54" w:name="fig-recursive"/>
          <w:p>
            <w:pPr>
              <w:pStyle w:val="Compact"/>
              <w:jc w:val="center"/>
            </w:pPr>
            <w:r>
              <w:drawing>
                <wp:inline>
                  <wp:extent cx="5753100" cy="2157412"/>
                  <wp:effectExtent b="0" l="0" r="0" t="0"/>
                  <wp:docPr descr="" title="" id="52" name="Picture"/>
                  <a:graphic>
                    <a:graphicData uri="http://schemas.openxmlformats.org/drawingml/2006/picture">
                      <pic:pic>
                        <pic:nvPicPr>
                          <pic:cNvPr descr="inflation_relative_price_variance_files/figure-docx/fig-recursive-1.png" id="53" name="Picture"/>
                          <pic:cNvPicPr>
                            <a:picLocks noChangeArrowheads="1" noChangeAspect="1"/>
                          </pic:cNvPicPr>
                        </pic:nvPicPr>
                        <pic:blipFill>
                          <a:blip r:embed="rId51"/>
                          <a:stretch>
                            <a:fillRect/>
                          </a:stretch>
                        </pic:blipFill>
                        <pic:spPr bwMode="auto">
                          <a:xfrm>
                            <a:off x="0" y="0"/>
                            <a:ext cx="5753100" cy="215741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Recursive regression results of RPV on absolute inflation</w:t>
            </w:r>
          </w:p>
          <w:bookmarkEnd w:id="54"/>
        </w:tc>
      </w:tr>
    </w:tbl>
    <w:tbl>
      <w:tblPr>
        <w:tblStyle w:val="Table"/>
        <w:tblW w:type="pct" w:w="5000"/>
        <w:tblLook w:firstRow="0" w:lastRow="0" w:firstColumn="0" w:lastColumn="0" w:noHBand="0" w:noVBand="0" w:val="0000"/>
        <w:jc w:val="start"/>
        <w:tblLayout w:type="fixed"/>
      </w:tblPr>
      <w:tblGrid>
        <w:gridCol w:w="7920"/>
      </w:tblGrid>
      <w:tr>
        <w:tc>
          <w:tcPr/>
          <w:bookmarkStart w:id="58" w:name="fig-quant_reg"/>
          <w:p>
            <w:pPr>
              <w:pStyle w:val="Compact"/>
              <w:jc w:val="center"/>
            </w:pPr>
            <w:r>
              <w:drawing>
                <wp:inline>
                  <wp:extent cx="5753100" cy="2157412"/>
                  <wp:effectExtent b="0" l="0" r="0" t="0"/>
                  <wp:docPr descr="" title="" id="56" name="Picture"/>
                  <a:graphic>
                    <a:graphicData uri="http://schemas.openxmlformats.org/drawingml/2006/picture">
                      <pic:pic>
                        <pic:nvPicPr>
                          <pic:cNvPr descr="inflation_relative_price_variance_files/figure-docx/fig-quant_reg-1.png" id="57" name="Picture"/>
                          <pic:cNvPicPr>
                            <a:picLocks noChangeArrowheads="1" noChangeAspect="1"/>
                          </pic:cNvPicPr>
                        </pic:nvPicPr>
                        <pic:blipFill>
                          <a:blip r:embed="rId55"/>
                          <a:stretch>
                            <a:fillRect/>
                          </a:stretch>
                        </pic:blipFill>
                        <pic:spPr bwMode="auto">
                          <a:xfrm>
                            <a:off x="0" y="0"/>
                            <a:ext cx="5753100" cy="2157412"/>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RVP quantile regressions</w:t>
            </w:r>
          </w:p>
          <w:bookmarkEnd w:id="58"/>
        </w:tc>
      </w:tr>
    </w:tbl>
    <w:p>
      <w:r>
        <w:br w:type="page"/>
      </w:r>
    </w:p>
    <w:tbl>
      <w:tblPr>
        <w:tblStyle w:val="Table"/>
        <w:tblW w:type="pct" w:w="5000"/>
        <w:tblLook w:firstRow="0" w:lastRow="0" w:firstColumn="0" w:lastColumn="0" w:noHBand="0" w:noVBand="0" w:val="0000"/>
        <w:jc w:val="start"/>
        <w:tblLayout w:type="fixed"/>
      </w:tblPr>
      <w:tblGrid>
        <w:gridCol w:w="7920"/>
      </w:tblGrid>
      <w:tr>
        <w:tc>
          <w:tcPr/>
          <w:bookmarkStart w:id="62" w:name="fig-semi_parametric"/>
          <w:p>
            <w:pPr>
              <w:pStyle w:val="Compact"/>
              <w:jc w:val="center"/>
            </w:pPr>
            <w:r>
              <w:drawing>
                <wp:inline>
                  <wp:extent cx="5753100" cy="5753100"/>
                  <wp:effectExtent b="0" l="0" r="0" t="0"/>
                  <wp:docPr descr="" title="" id="60" name="Picture"/>
                  <a:graphic>
                    <a:graphicData uri="http://schemas.openxmlformats.org/drawingml/2006/picture">
                      <pic:pic>
                        <pic:nvPicPr>
                          <pic:cNvPr descr="inflation_relative_price_variance_files/figure-docx/fig-semi_parametric-1.png" id="61" name="Picture"/>
                          <pic:cNvPicPr>
                            <a:picLocks noChangeArrowheads="1" noChangeAspect="1"/>
                          </pic:cNvPicPr>
                        </pic:nvPicPr>
                        <pic:blipFill>
                          <a:blip r:embed="rId59"/>
                          <a:stretch>
                            <a:fillRect/>
                          </a:stretch>
                        </pic:blipFill>
                        <pic:spPr bwMode="auto">
                          <a:xfrm>
                            <a:off x="0" y="0"/>
                            <a:ext cx="5753100" cy="57531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Semi-parametric estimation of the relationship between RPV and inflation</w:t>
            </w:r>
          </w:p>
          <w:bookmarkEnd w:id="62"/>
        </w:tc>
      </w:tr>
    </w:tbl>
    <w:bookmarkEnd w:id="63"/>
    <w:bookmarkStart w:id="64" w:name="conclusion"/>
    <w:p>
      <w:pPr>
        <w:pStyle w:val="Heading1"/>
      </w:pPr>
      <w:r>
        <w:t xml:space="preserve">Conclusion</w:t>
      </w:r>
    </w:p>
    <w:p>
      <w:r>
        <w:br w:type="page"/>
      </w:r>
    </w:p>
    <w:bookmarkEnd w:id="64"/>
    <w:bookmarkStart w:id="90" w:name="references"/>
    <w:p>
      <w:pPr>
        <w:pStyle w:val="Heading1"/>
      </w:pPr>
      <w:r>
        <w:t xml:space="preserve">References</w:t>
      </w:r>
    </w:p>
    <w:bookmarkStart w:id="89" w:name="refs"/>
    <w:bookmarkStart w:id="65" w:name="ref-adam2024"/>
    <w:p>
      <w:pPr>
        <w:pStyle w:val="Bibliography"/>
      </w:pPr>
      <w:r>
        <w:t xml:space="preserve">Adam, Klaus, Andrey Alexandrov, and Henning Weber. 2024.</w:t>
      </w:r>
      <w:r>
        <w:t xml:space="preserve"> </w:t>
      </w:r>
      <w:r>
        <w:rPr>
          <w:iCs/>
          <w:i/>
        </w:rPr>
        <w:t xml:space="preserve">Inflation Distorts Relative Prices:</w:t>
      </w:r>
      <w:r>
        <w:rPr>
          <w:iCs/>
          <w:i/>
        </w:rPr>
        <w:t xml:space="preserve"> </w:t>
      </w:r>
      <w:r>
        <w:rPr>
          <w:iCs/>
          <w:i/>
        </w:rPr>
        <w:t xml:space="preserve">Theory</w:t>
      </w:r>
      <w:r>
        <w:rPr>
          <w:iCs/>
          <w:i/>
        </w:rPr>
        <w:t xml:space="preserve"> </w:t>
      </w:r>
      <w:r>
        <w:rPr>
          <w:iCs/>
          <w:i/>
        </w:rPr>
        <w:t xml:space="preserve">and Evidence</w:t>
      </w:r>
      <w:r>
        <w:t xml:space="preserve">. 23/2024. Deutsche Bundesbank Discussion Paper.</w:t>
      </w:r>
    </w:p>
    <w:bookmarkEnd w:id="65"/>
    <w:bookmarkStart w:id="66" w:name="ref-baglan2016"/>
    <w:p>
      <w:pPr>
        <w:pStyle w:val="Bibliography"/>
      </w:pPr>
      <w:r>
        <w:t xml:space="preserve">Baglan, Deniz, M. Ege Yazgan, and Hakan Yilmazkuday. 2016.</w:t>
      </w:r>
      <w:r>
        <w:t xml:space="preserve"> </w:t>
      </w:r>
      <w:r>
        <w:t xml:space="preserve">“Relative Price Variability and Inflation:</w:t>
      </w:r>
      <w:r>
        <w:t xml:space="preserve"> </w:t>
      </w:r>
      <w:r>
        <w:t xml:space="preserve">New</w:t>
      </w:r>
      <w:r>
        <w:t xml:space="preserve"> </w:t>
      </w:r>
      <w:r>
        <w:t xml:space="preserve">Evidence.”</w:t>
      </w:r>
      <w:r>
        <w:t xml:space="preserve"> </w:t>
      </w:r>
      <w:r>
        <w:rPr>
          <w:iCs/>
          <w:i/>
        </w:rPr>
        <w:t xml:space="preserve">Journal of Macroeconomics</w:t>
      </w:r>
      <w:r>
        <w:t xml:space="preserve"> </w:t>
      </w:r>
      <w:r>
        <w:t xml:space="preserve">48: 263–82.</w:t>
      </w:r>
    </w:p>
    <w:bookmarkEnd w:id="66"/>
    <w:bookmarkStart w:id="67" w:name="ref-ball1993"/>
    <w:p>
      <w:pPr>
        <w:pStyle w:val="Bibliography"/>
      </w:pPr>
      <w:r>
        <w:t xml:space="preserve">Ball, Laurence M., and David H. Romer. 1993.</w:t>
      </w:r>
      <w:r>
        <w:t xml:space="preserve"> </w:t>
      </w:r>
      <w:r>
        <w:t xml:space="preserve">“Inflation and the</w:t>
      </w:r>
      <w:r>
        <w:t xml:space="preserve"> </w:t>
      </w:r>
      <w:r>
        <w:t xml:space="preserve">Informativeness</w:t>
      </w:r>
      <w:r>
        <w:t xml:space="preserve"> </w:t>
      </w:r>
      <w:r>
        <w:t xml:space="preserve">of</w:t>
      </w:r>
      <w:r>
        <w:t xml:space="preserve"> </w:t>
      </w:r>
      <w:r>
        <w:t xml:space="preserve">Prices</w:t>
      </w:r>
      <w:r>
        <w:t xml:space="preserve">.”</w:t>
      </w:r>
      <w:r>
        <w:t xml:space="preserve"> </w:t>
      </w:r>
      <w:r>
        <w:t xml:space="preserve">National Bureau of Economic Research Cambridge, Mass., USA.</w:t>
      </w:r>
    </w:p>
    <w:bookmarkEnd w:id="67"/>
    <w:bookmarkStart w:id="68" w:name="ref-benabou1993"/>
    <w:p>
      <w:pPr>
        <w:pStyle w:val="Bibliography"/>
      </w:pPr>
      <w:r>
        <w:t xml:space="preserve">Benabou, Roland, and Robert Gertner. 1993.</w:t>
      </w:r>
      <w:r>
        <w:t xml:space="preserve"> </w:t>
      </w:r>
      <w:r>
        <w:t xml:space="preserve">“Search with Learning from Prices: Does Increased Inflationary Uncertainty Lead to Higher Markups?”</w:t>
      </w:r>
      <w:r>
        <w:t xml:space="preserve"> </w:t>
      </w:r>
      <w:r>
        <w:rPr>
          <w:iCs/>
          <w:i/>
        </w:rPr>
        <w:t xml:space="preserve">The Review of Economic Studies</w:t>
      </w:r>
      <w:r>
        <w:t xml:space="preserve"> </w:t>
      </w:r>
      <w:r>
        <w:t xml:space="preserve">60 (1): 69–93.</w:t>
      </w:r>
    </w:p>
    <w:bookmarkEnd w:id="68"/>
    <w:bookmarkStart w:id="69" w:name="ref-caglayan2003"/>
    <w:p>
      <w:pPr>
        <w:pStyle w:val="Bibliography"/>
      </w:pPr>
      <w:r>
        <w:t xml:space="preserve">Caglayan, Mustafa, and Alpay Filiztekin. 2003.</w:t>
      </w:r>
      <w:r>
        <w:t xml:space="preserve"> </w:t>
      </w:r>
      <w:r>
        <w:t xml:space="preserve">“Nonlinear Impact of Inflation on Relative Price Variability.”</w:t>
      </w:r>
      <w:r>
        <w:t xml:space="preserve"> </w:t>
      </w:r>
      <w:r>
        <w:rPr>
          <w:iCs/>
          <w:i/>
        </w:rPr>
        <w:t xml:space="preserve">Economics Letters</w:t>
      </w:r>
      <w:r>
        <w:t xml:space="preserve"> </w:t>
      </w:r>
      <w:r>
        <w:t xml:space="preserve">79 (2): 213–18.</w:t>
      </w:r>
    </w:p>
    <w:bookmarkEnd w:id="69"/>
    <w:bookmarkStart w:id="70" w:name="ref-caglayan2008"/>
    <w:p>
      <w:pPr>
        <w:pStyle w:val="Bibliography"/>
      </w:pPr>
      <w:r>
        <w:t xml:space="preserve">Caglayan, Mustafa, Alpay Filiztekin, and Michael T. Rauh. 2008.</w:t>
      </w:r>
      <w:r>
        <w:t xml:space="preserve"> </w:t>
      </w:r>
      <w:r>
        <w:t xml:space="preserve">“Inflation, Price Dispersion, and Market Structure.”</w:t>
      </w:r>
      <w:r>
        <w:t xml:space="preserve"> </w:t>
      </w:r>
      <w:r>
        <w:rPr>
          <w:iCs/>
          <w:i/>
        </w:rPr>
        <w:t xml:space="preserve">European Economic Review</w:t>
      </w:r>
      <w:r>
        <w:t xml:space="preserve"> </w:t>
      </w:r>
      <w:r>
        <w:t xml:space="preserve">52 (7): 1187–1208.</w:t>
      </w:r>
    </w:p>
    <w:bookmarkEnd w:id="70"/>
    <w:bookmarkStart w:id="72" w:name="ref-choi2010"/>
    <w:p>
      <w:pPr>
        <w:pStyle w:val="Bibliography"/>
      </w:pPr>
      <w:r>
        <w:t xml:space="preserve">Choi, Chi-Young. 2010.</w:t>
      </w:r>
      <w:r>
        <w:t xml:space="preserve"> </w:t>
      </w:r>
      <w:r>
        <w:t xml:space="preserve">“Reconsidering the</w:t>
      </w:r>
      <w:r>
        <w:t xml:space="preserve"> </w:t>
      </w:r>
      <w:r>
        <w:t xml:space="preserve">Relationship</w:t>
      </w:r>
      <w:r>
        <w:t xml:space="preserve"> </w:t>
      </w:r>
      <w:r>
        <w:t xml:space="preserve">Between</w:t>
      </w:r>
      <w:r>
        <w:t xml:space="preserve"> </w:t>
      </w:r>
      <w:r>
        <w:t xml:space="preserve">Inflation</w:t>
      </w:r>
      <w:r>
        <w:t xml:space="preserve"> </w:t>
      </w:r>
      <w:r>
        <w:t xml:space="preserve">and</w:t>
      </w:r>
      <w:r>
        <w:t xml:space="preserve"> </w:t>
      </w:r>
      <w:r>
        <w:t xml:space="preserve">Relative Price Variability</w:t>
      </w:r>
      <w:r>
        <w:t xml:space="preserve">.”</w:t>
      </w:r>
      <w:r>
        <w:t xml:space="preserve"> </w:t>
      </w:r>
      <w:r>
        <w:rPr>
          <w:iCs/>
          <w:i/>
        </w:rPr>
        <w:t xml:space="preserve">Journal of Money, Credit and Banking</w:t>
      </w:r>
      <w:r>
        <w:t xml:space="preserve"> </w:t>
      </w:r>
      <w:r>
        <w:t xml:space="preserve">42 (5): 769–98.</w:t>
      </w:r>
      <w:r>
        <w:t xml:space="preserve"> </w:t>
      </w:r>
      <w:hyperlink r:id="rId71">
        <w:r>
          <w:rPr>
            <w:rStyle w:val="Hyperlink"/>
          </w:rPr>
          <w:t xml:space="preserve">https://doi.org/10.1111/j.1538-4616.2010.00307.x</w:t>
        </w:r>
      </w:hyperlink>
      <w:r>
        <w:t xml:space="preserve">.</w:t>
      </w:r>
    </w:p>
    <w:bookmarkEnd w:id="72"/>
    <w:bookmarkStart w:id="74" w:name="ref-fielding2000"/>
    <w:p>
      <w:pPr>
        <w:pStyle w:val="Bibliography"/>
      </w:pPr>
      <w:r>
        <w:t xml:space="preserve">Fielding, David, and Paul Mizen. 2000.</w:t>
      </w:r>
      <w:r>
        <w:t xml:space="preserve"> </w:t>
      </w:r>
      <w:r>
        <w:t xml:space="preserve">“Relative</w:t>
      </w:r>
      <w:r>
        <w:t xml:space="preserve"> </w:t>
      </w:r>
      <w:r>
        <w:t xml:space="preserve">Price Variability</w:t>
      </w:r>
      <w:r>
        <w:t xml:space="preserve"> </w:t>
      </w:r>
      <w:r>
        <w:t xml:space="preserve">and</w:t>
      </w:r>
      <w:r>
        <w:t xml:space="preserve"> </w:t>
      </w:r>
      <w:r>
        <w:t xml:space="preserve">Inflation</w:t>
      </w:r>
      <w:r>
        <w:t xml:space="preserve"> </w:t>
      </w:r>
      <w:r>
        <w:t xml:space="preserve">in</w:t>
      </w:r>
      <w:r>
        <w:t xml:space="preserve"> </w:t>
      </w:r>
      <w:r>
        <w:t xml:space="preserve">Europe</w:t>
      </w:r>
      <w:r>
        <w:t xml:space="preserve">.”</w:t>
      </w:r>
      <w:r>
        <w:t xml:space="preserve"> </w:t>
      </w:r>
      <w:r>
        <w:rPr>
          <w:iCs/>
          <w:i/>
        </w:rPr>
        <w:t xml:space="preserve">Economica</w:t>
      </w:r>
      <w:r>
        <w:t xml:space="preserve"> </w:t>
      </w:r>
      <w:r>
        <w:t xml:space="preserve">67 (265): 57–78.</w:t>
      </w:r>
      <w:r>
        <w:t xml:space="preserve"> </w:t>
      </w:r>
      <w:hyperlink r:id="rId73">
        <w:r>
          <w:rPr>
            <w:rStyle w:val="Hyperlink"/>
          </w:rPr>
          <w:t xml:space="preserve">https://doi.org/10.1111/1468-0335.00195</w:t>
        </w:r>
      </w:hyperlink>
      <w:r>
        <w:t xml:space="preserve">.</w:t>
      </w:r>
    </w:p>
    <w:bookmarkEnd w:id="74"/>
    <w:bookmarkStart w:id="75" w:name="ref-grier1996"/>
    <w:p>
      <w:pPr>
        <w:pStyle w:val="Bibliography"/>
      </w:pPr>
      <w:r>
        <w:t xml:space="preserve">Grier, Kevin B., and Mark J. Perry. 1996.</w:t>
      </w:r>
      <w:r>
        <w:t xml:space="preserve"> </w:t>
      </w:r>
      <w:r>
        <w:t xml:space="preserve">“Inflation, Inflation Uncertainty, and Relative Price Dispersion:</w:t>
      </w:r>
      <w:r>
        <w:t xml:space="preserve"> </w:t>
      </w:r>
      <w:r>
        <w:t xml:space="preserve">Evidence</w:t>
      </w:r>
      <w:r>
        <w:t xml:space="preserve"> </w:t>
      </w:r>
      <w:r>
        <w:t xml:space="preserve">from Bivariate</w:t>
      </w:r>
      <w:r>
        <w:t xml:space="preserve"> </w:t>
      </w:r>
      <w:r>
        <w:t xml:space="preserve">GARCH-M</w:t>
      </w:r>
      <w:r>
        <w:t xml:space="preserve"> </w:t>
      </w:r>
      <w:r>
        <w:t xml:space="preserve">Models.”</w:t>
      </w:r>
      <w:r>
        <w:t xml:space="preserve"> </w:t>
      </w:r>
      <w:r>
        <w:rPr>
          <w:iCs/>
          <w:i/>
        </w:rPr>
        <w:t xml:space="preserve">Journal of Monetary Economics</w:t>
      </w:r>
      <w:r>
        <w:t xml:space="preserve"> </w:t>
      </w:r>
      <w:r>
        <w:t xml:space="preserve">38 (2): 391–405.</w:t>
      </w:r>
    </w:p>
    <w:bookmarkEnd w:id="75"/>
    <w:bookmarkStart w:id="77" w:name="ref-head2005"/>
    <w:p>
      <w:pPr>
        <w:pStyle w:val="Bibliography"/>
      </w:pPr>
      <w:r>
        <w:t xml:space="preserve">Head, Allen, and Alok Kumar. 2005.</w:t>
      </w:r>
      <w:r>
        <w:t xml:space="preserve"> </w:t>
      </w:r>
      <w:r>
        <w:t xml:space="preserve">“Price</w:t>
      </w:r>
      <w:r>
        <w:t xml:space="preserve"> </w:t>
      </w:r>
      <w:r>
        <w:t xml:space="preserve">Dispersion</w:t>
      </w:r>
      <w:r>
        <w:t xml:space="preserve">,</w:t>
      </w:r>
      <w:r>
        <w:t xml:space="preserve"> </w:t>
      </w:r>
      <w:r>
        <w:t xml:space="preserve">Inflation</w:t>
      </w:r>
      <w:r>
        <w:t xml:space="preserve">, and</w:t>
      </w:r>
      <w:r>
        <w:t xml:space="preserve"> </w:t>
      </w:r>
      <w:r>
        <w:t xml:space="preserve">Welfare</w:t>
      </w:r>
      <w:r>
        <w:t xml:space="preserve">.”</w:t>
      </w:r>
      <w:r>
        <w:t xml:space="preserve"> </w:t>
      </w:r>
      <w:r>
        <w:rPr>
          <w:iCs/>
          <w:i/>
        </w:rPr>
        <w:t xml:space="preserve">International Economic Review</w:t>
      </w:r>
      <w:r>
        <w:t xml:space="preserve"> </w:t>
      </w:r>
      <w:r>
        <w:t xml:space="preserve">46 (2): 533–72.</w:t>
      </w:r>
      <w:r>
        <w:t xml:space="preserve"> </w:t>
      </w:r>
      <w:hyperlink r:id="rId76">
        <w:r>
          <w:rPr>
            <w:rStyle w:val="Hyperlink"/>
          </w:rPr>
          <w:t xml:space="preserve">https://doi.org/10.1111/j.1468-2354.2005.00333.x</w:t>
        </w:r>
      </w:hyperlink>
      <w:r>
        <w:t xml:space="preserve">.</w:t>
      </w:r>
    </w:p>
    <w:bookmarkEnd w:id="77"/>
    <w:bookmarkStart w:id="79" w:name="ref-lach1992"/>
    <w:p>
      <w:pPr>
        <w:pStyle w:val="Bibliography"/>
      </w:pPr>
      <w:r>
        <w:t xml:space="preserve">Lach, Saul, and Daniel Tsiddon. 1992.</w:t>
      </w:r>
      <w:r>
        <w:t xml:space="preserve"> </w:t>
      </w:r>
      <w:r>
        <w:t xml:space="preserve">“The</w:t>
      </w:r>
      <w:r>
        <w:t xml:space="preserve"> </w:t>
      </w:r>
      <w:r>
        <w:t xml:space="preserve">Behavior</w:t>
      </w:r>
      <w:r>
        <w:t xml:space="preserve"> </w:t>
      </w:r>
      <w:r>
        <w:t xml:space="preserve">of</w:t>
      </w:r>
      <w:r>
        <w:t xml:space="preserve"> </w:t>
      </w:r>
      <w:r>
        <w:t xml:space="preserve">Prices</w:t>
      </w:r>
      <w:r>
        <w:t xml:space="preserve"> </w:t>
      </w:r>
      <w:r>
        <w:t xml:space="preserve">and</w:t>
      </w:r>
      <w:r>
        <w:t xml:space="preserve"> </w:t>
      </w:r>
      <w:r>
        <w:t xml:space="preserve">Inflation</w:t>
      </w:r>
      <w:r>
        <w:t xml:space="preserve">:</w:t>
      </w:r>
      <w:r>
        <w:t xml:space="preserve"> </w:t>
      </w:r>
      <w:r>
        <w:t xml:space="preserve">An Empirical Analysis</w:t>
      </w:r>
      <w:r>
        <w:t xml:space="preserve"> </w:t>
      </w:r>
      <w:r>
        <w:t xml:space="preserve">of</w:t>
      </w:r>
      <w:r>
        <w:t xml:space="preserve"> </w:t>
      </w:r>
      <w:r>
        <w:t xml:space="preserve">Disaggregat Price Data</w:t>
      </w:r>
      <w:r>
        <w:t xml:space="preserve">.”</w:t>
      </w:r>
      <w:r>
        <w:t xml:space="preserve"> </w:t>
      </w:r>
      <w:r>
        <w:rPr>
          <w:iCs/>
          <w:i/>
        </w:rPr>
        <w:t xml:space="preserve">Journal of Political Economy</w:t>
      </w:r>
      <w:r>
        <w:t xml:space="preserve"> </w:t>
      </w:r>
      <w:r>
        <w:t xml:space="preserve">100 (2): 349–89.</w:t>
      </w:r>
      <w:r>
        <w:t xml:space="preserve"> </w:t>
      </w:r>
      <w:hyperlink r:id="rId78">
        <w:r>
          <w:rPr>
            <w:rStyle w:val="Hyperlink"/>
          </w:rPr>
          <w:t xml:space="preserve">https://doi.org/10.1086/261821</w:t>
        </w:r>
      </w:hyperlink>
      <w:r>
        <w:t xml:space="preserve">.</w:t>
      </w:r>
    </w:p>
    <w:bookmarkEnd w:id="79"/>
    <w:bookmarkStart w:id="80" w:name="ref-nakamura2018"/>
    <w:p>
      <w:pPr>
        <w:pStyle w:val="Bibliography"/>
      </w:pPr>
      <w:r>
        <w:t xml:space="preserve">Nakamura, Emi, Jón Steinsson, Patrick Sun, and Daniel Villar. 2018.</w:t>
      </w:r>
      <w:r>
        <w:t xml:space="preserve"> </w:t>
      </w:r>
      <w:r>
        <w:t xml:space="preserve">“The Elusive Costs of Inflation:</w:t>
      </w:r>
      <w:r>
        <w:t xml:space="preserve"> </w:t>
      </w:r>
      <w:r>
        <w:t xml:space="preserve">Price</w:t>
      </w:r>
      <w:r>
        <w:t xml:space="preserve"> </w:t>
      </w:r>
      <w:r>
        <w:t xml:space="preserve">Dispersion During the</w:t>
      </w:r>
      <w:r>
        <w:t xml:space="preserve"> </w:t>
      </w:r>
      <w:r>
        <w:t xml:space="preserve">US</w:t>
      </w:r>
      <w:r>
        <w:t xml:space="preserve"> </w:t>
      </w:r>
      <w:r>
        <w:t xml:space="preserve">Great Inflation.”</w:t>
      </w:r>
      <w:r>
        <w:t xml:space="preserve"> </w:t>
      </w:r>
      <w:r>
        <w:rPr>
          <w:iCs/>
          <w:i/>
        </w:rPr>
        <w:t xml:space="preserve">The Quarterly Journal of Economics</w:t>
      </w:r>
      <w:r>
        <w:t xml:space="preserve"> </w:t>
      </w:r>
      <w:r>
        <w:t xml:space="preserve">133 (4): 1933–80.</w:t>
      </w:r>
    </w:p>
    <w:bookmarkEnd w:id="80"/>
    <w:bookmarkStart w:id="81" w:name="ref-ndou2017"/>
    <w:p>
      <w:pPr>
        <w:pStyle w:val="Bibliography"/>
      </w:pPr>
      <w:r>
        <w:t xml:space="preserve">Ndou, Eliphas, and Nombulelo Gumata. 2017.</w:t>
      </w:r>
      <w:r>
        <w:t xml:space="preserve"> </w:t>
      </w:r>
      <w:r>
        <w:rPr>
          <w:iCs/>
          <w:i/>
        </w:rPr>
        <w:t xml:space="preserve">Inflation Dynamics in</w:t>
      </w:r>
      <w:r>
        <w:rPr>
          <w:iCs/>
          <w:i/>
        </w:rPr>
        <w:t xml:space="preserve"> </w:t>
      </w:r>
      <w:r>
        <w:rPr>
          <w:iCs/>
          <w:i/>
        </w:rPr>
        <w:t xml:space="preserve">South Africa</w:t>
      </w:r>
      <w:r>
        <w:rPr>
          <w:iCs/>
          <w:i/>
        </w:rPr>
        <w:t xml:space="preserve">:</w:t>
      </w:r>
      <w:r>
        <w:rPr>
          <w:iCs/>
          <w:i/>
        </w:rPr>
        <w:t xml:space="preserve"> </w:t>
      </w:r>
      <w:r>
        <w:rPr>
          <w:iCs/>
          <w:i/>
        </w:rPr>
        <w:t xml:space="preserve">The</w:t>
      </w:r>
      <w:r>
        <w:rPr>
          <w:iCs/>
          <w:i/>
        </w:rPr>
        <w:t xml:space="preserve"> </w:t>
      </w:r>
      <w:r>
        <w:rPr>
          <w:iCs/>
          <w:i/>
        </w:rPr>
        <w:t xml:space="preserve">Role of Thresholds, Exchange Rate Pass-Through and Inflation Expectations on Policy Trade-Offs</w:t>
      </w:r>
      <w:r>
        <w:t xml:space="preserve">. Springer.</w:t>
      </w:r>
    </w:p>
    <w:bookmarkEnd w:id="81"/>
    <w:bookmarkStart w:id="82" w:name="ref-ndou2014"/>
    <w:p>
      <w:pPr>
        <w:pStyle w:val="Bibliography"/>
      </w:pPr>
      <w:r>
        <w:t xml:space="preserve">Ndou, Eliphas, and Siobhan Redford. 2014.</w:t>
      </w:r>
      <w:r>
        <w:t xml:space="preserve"> </w:t>
      </w:r>
      <w:r>
        <w:t xml:space="preserve">“Relative Price Variability:</w:t>
      </w:r>
      <w:r>
        <w:t xml:space="preserve"> </w:t>
      </w:r>
      <w:r>
        <w:t xml:space="preserve">Which</w:t>
      </w:r>
      <w:r>
        <w:t xml:space="preserve"> </w:t>
      </w:r>
      <w:r>
        <w:t xml:space="preserve">Components of the Consumer Price Index Contribute Towards Its Variability?”</w:t>
      </w:r>
      <w:r>
        <w:t xml:space="preserve"> </w:t>
      </w:r>
      <w:r>
        <w:rPr>
          <w:iCs/>
          <w:i/>
        </w:rPr>
        <w:t xml:space="preserve">South African Reserve Bank Working Paper Series</w:t>
      </w:r>
      <w:r>
        <w:t xml:space="preserve">.</w:t>
      </w:r>
    </w:p>
    <w:bookmarkEnd w:id="82"/>
    <w:bookmarkStart w:id="84" w:name="ref-parks1978"/>
    <w:p>
      <w:pPr>
        <w:pStyle w:val="Bibliography"/>
      </w:pPr>
      <w:r>
        <w:t xml:space="preserve">Parks, Richard W. 1978.</w:t>
      </w:r>
      <w:r>
        <w:t xml:space="preserve"> </w:t>
      </w:r>
      <w:r>
        <w:t xml:space="preserve">“Inflation and</w:t>
      </w:r>
      <w:r>
        <w:t xml:space="preserve"> </w:t>
      </w:r>
      <w:r>
        <w:t xml:space="preserve">Relative Price Variability</w:t>
      </w:r>
      <w:r>
        <w:t xml:space="preserve">.”</w:t>
      </w:r>
      <w:r>
        <w:t xml:space="preserve"> </w:t>
      </w:r>
      <w:r>
        <w:rPr>
          <w:iCs/>
          <w:i/>
        </w:rPr>
        <w:t xml:space="preserve">Journal of Political Economy</w:t>
      </w:r>
      <w:r>
        <w:t xml:space="preserve"> </w:t>
      </w:r>
      <w:r>
        <w:t xml:space="preserve">86 (1): 79–95.</w:t>
      </w:r>
      <w:r>
        <w:t xml:space="preserve"> </w:t>
      </w:r>
      <w:hyperlink r:id="rId83">
        <w:r>
          <w:rPr>
            <w:rStyle w:val="Hyperlink"/>
          </w:rPr>
          <w:t xml:space="preserve">https://doi.org/10.1086/260648</w:t>
        </w:r>
      </w:hyperlink>
      <w:r>
        <w:t xml:space="preserve">.</w:t>
      </w:r>
    </w:p>
    <w:bookmarkEnd w:id="84"/>
    <w:bookmarkStart w:id="86" w:name="ref-parsley1996"/>
    <w:p>
      <w:pPr>
        <w:pStyle w:val="Bibliography"/>
      </w:pPr>
      <w:r>
        <w:t xml:space="preserve">Parsley, David C. 1996.</w:t>
      </w:r>
      <w:r>
        <w:t xml:space="preserve"> </w:t>
      </w:r>
      <w:r>
        <w:t xml:space="preserve">“Inflation and Relative Price Variability in the Short and Long Run: New Evidence from the</w:t>
      </w:r>
      <w:r>
        <w:t xml:space="preserve"> </w:t>
      </w:r>
      <w:r>
        <w:t xml:space="preserve">United States</w:t>
      </w:r>
      <w:r>
        <w:t xml:space="preserve">.”</w:t>
      </w:r>
      <w:r>
        <w:t xml:space="preserve"> </w:t>
      </w:r>
      <w:r>
        <w:rPr>
          <w:iCs/>
          <w:i/>
        </w:rPr>
        <w:t xml:space="preserve">Journal of Money, Credit and Banking</w:t>
      </w:r>
      <w:r>
        <w:t xml:space="preserve"> </w:t>
      </w:r>
      <w:r>
        <w:t xml:space="preserve">28 (3): 323–41.</w:t>
      </w:r>
      <w:r>
        <w:t xml:space="preserve"> </w:t>
      </w:r>
      <w:hyperlink r:id="rId85">
        <w:r>
          <w:rPr>
            <w:rStyle w:val="Hyperlink"/>
          </w:rPr>
          <w:t xml:space="preserve">https://www.jstor.org/stable/2077978</w:t>
        </w:r>
      </w:hyperlink>
      <w:r>
        <w:t xml:space="preserve">.</w:t>
      </w:r>
    </w:p>
    <w:bookmarkEnd w:id="86"/>
    <w:bookmarkStart w:id="88" w:name="ref-rather2018"/>
    <w:p>
      <w:pPr>
        <w:pStyle w:val="Bibliography"/>
      </w:pPr>
      <w:r>
        <w:t xml:space="preserve">Rather, Sartaj Rasool, Raja Sethu Durai, and Muthia Ramachandran. 2018.</w:t>
      </w:r>
      <w:r>
        <w:t xml:space="preserve"> </w:t>
      </w:r>
      <w:r>
        <w:t xml:space="preserve">“Inflation and the</w:t>
      </w:r>
      <w:r>
        <w:t xml:space="preserve"> </w:t>
      </w:r>
      <w:r>
        <w:t xml:space="preserve">Dispersion</w:t>
      </w:r>
      <w:r>
        <w:t xml:space="preserve"> </w:t>
      </w:r>
      <w:r>
        <w:t xml:space="preserve">of</w:t>
      </w:r>
      <w:r>
        <w:t xml:space="preserve"> </w:t>
      </w:r>
      <w:r>
        <w:t xml:space="preserve">Relative Prices</w:t>
      </w:r>
      <w:r>
        <w:t xml:space="preserve">:</w:t>
      </w:r>
      <w:r>
        <w:t xml:space="preserve"> </w:t>
      </w:r>
      <w:r>
        <w:t xml:space="preserve">A Case</w:t>
      </w:r>
      <w:r>
        <w:t xml:space="preserve"> </w:t>
      </w:r>
      <w:r>
        <w:t xml:space="preserve">for 4 %</w:t>
      </w:r>
      <w:r>
        <w:t xml:space="preserve"> </w:t>
      </w:r>
      <w:r>
        <w:t xml:space="preserve">Solution</w:t>
      </w:r>
      <w:r>
        <w:t xml:space="preserve">.”</w:t>
      </w:r>
      <w:r>
        <w:t xml:space="preserve"> </w:t>
      </w:r>
      <w:r>
        <w:rPr>
          <w:iCs/>
          <w:i/>
        </w:rPr>
        <w:t xml:space="preserve">Australian Economic Papers</w:t>
      </w:r>
      <w:r>
        <w:t xml:space="preserve"> </w:t>
      </w:r>
      <w:r>
        <w:t xml:space="preserve">57 (1): 81–91.</w:t>
      </w:r>
      <w:r>
        <w:t xml:space="preserve"> </w:t>
      </w:r>
      <w:hyperlink r:id="rId87">
        <w:r>
          <w:rPr>
            <w:rStyle w:val="Hyperlink"/>
          </w:rPr>
          <w:t xml:space="preserve">https://doi.org/10.1111/1467-8454.12103</w:t>
        </w:r>
      </w:hyperlink>
      <w:r>
        <w:t xml:space="preserve">.</w:t>
      </w:r>
    </w:p>
    <w:bookmarkEnd w:id="88"/>
    <w:bookmarkEnd w:id="89"/>
    <w:p>
      <w:r>
        <w:br w:type="page"/>
      </w:r>
    </w:p>
    <w:bookmarkEnd w:id="90"/>
    <w:bookmarkStart w:id="106" w:name="appendix-data-and-descriptive-statistics"/>
    <w:p>
      <w:pPr>
        <w:pStyle w:val="Heading1"/>
      </w:pPr>
      <w:r>
        <w:t xml:space="preserve">Appendix: Data and descriptive statistics</w:t>
      </w:r>
    </w:p>
    <w:bookmarkStart w:id="99" w:name="data"/>
    <w:p>
      <w:pPr>
        <w:pStyle w:val="Heading2"/>
      </w:pPr>
      <w:r>
        <w:t xml:space="preserve">Data</w:t>
      </w:r>
    </w:p>
    <w:tbl>
      <w:tblPr>
        <w:tblStyle w:val="Table"/>
        <w:tblW w:type="pct" w:w="5000"/>
        <w:tblLook w:firstRow="0" w:lastRow="0" w:firstColumn="0" w:lastColumn="0" w:noHBand="0" w:noVBand="0" w:val="0000"/>
        <w:jc w:val="start"/>
        <w:tblLayout w:type="fixed"/>
      </w:tblPr>
      <w:tblGrid>
        <w:gridCol w:w="7920"/>
      </w:tblGrid>
      <w:tr>
        <w:tc>
          <w:tcPr/>
          <w:bookmarkStart w:id="94" w:name="fig-price_data"/>
          <w:p>
            <w:pPr>
              <w:pStyle w:val="Compact"/>
              <w:jc w:val="center"/>
            </w:pPr>
            <w:r>
              <w:drawing>
                <wp:inline>
                  <wp:extent cx="5753100" cy="6472237"/>
                  <wp:effectExtent b="0" l="0" r="0" t="0"/>
                  <wp:docPr descr="" title="" id="92" name="Picture"/>
                  <a:graphic>
                    <a:graphicData uri="http://schemas.openxmlformats.org/drawingml/2006/picture">
                      <pic:pic>
                        <pic:nvPicPr>
                          <pic:cNvPr descr="inflation_relative_price_variance_files/figure-docx/fig-price_data-1.png" id="93" name="Picture"/>
                          <pic:cNvPicPr>
                            <a:picLocks noChangeArrowheads="1" noChangeAspect="1"/>
                          </pic:cNvPicPr>
                        </pic:nvPicPr>
                        <pic:blipFill>
                          <a:blip r:embed="rId91"/>
                          <a:stretch>
                            <a:fillRect/>
                          </a:stretch>
                        </pic:blipFill>
                        <pic:spPr bwMode="auto">
                          <a:xfrm>
                            <a:off x="0" y="0"/>
                            <a:ext cx="5753100" cy="6472237"/>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Inflation categories (%)</w:t>
            </w:r>
          </w:p>
          <w:bookmarkEnd w:id="94"/>
        </w:tc>
      </w:tr>
    </w:tbl>
    <w:tbl>
      <w:tblPr>
        <w:tblStyle w:val="Table"/>
        <w:tblW w:type="pct" w:w="5000"/>
        <w:tblLook w:firstRow="0" w:lastRow="0" w:firstColumn="0" w:lastColumn="0" w:noHBand="0" w:noVBand="0" w:val="0000"/>
        <w:jc w:val="start"/>
        <w:tblLayout w:type="fixed"/>
      </w:tblPr>
      <w:tblGrid>
        <w:gridCol w:w="7920"/>
      </w:tblGrid>
      <w:tr>
        <w:tc>
          <w:tcPr/>
          <w:bookmarkStart w:id="98" w:name="fig-weights"/>
          <w:p>
            <w:pPr>
              <w:pStyle w:val="Compact"/>
              <w:jc w:val="center"/>
            </w:pPr>
            <w:r>
              <w:drawing>
                <wp:inline>
                  <wp:extent cx="5753100" cy="3595687"/>
                  <wp:effectExtent b="0" l="0" r="0" t="0"/>
                  <wp:docPr descr="" title="" id="96" name="Picture"/>
                  <a:graphic>
                    <a:graphicData uri="http://schemas.openxmlformats.org/drawingml/2006/picture">
                      <pic:pic>
                        <pic:nvPicPr>
                          <pic:cNvPr descr="inflation_relative_price_variance_files/figure-docx/fig-weights-1.png" id="97" name="Picture"/>
                          <pic:cNvPicPr>
                            <a:picLocks noChangeArrowheads="1" noChangeAspect="1"/>
                          </pic:cNvPicPr>
                        </pic:nvPicPr>
                        <pic:blipFill>
                          <a:blip r:embed="rId95"/>
                          <a:stretch>
                            <a:fillRect/>
                          </a:stretch>
                        </pic:blipFill>
                        <pic:spPr bwMode="auto">
                          <a:xfrm>
                            <a:off x="0" y="0"/>
                            <a:ext cx="5753100" cy="3595687"/>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CPI Weights. Note: Due to a lack of data, some categories (no spitirits; transport services of goods; household textiles; glassware,tableware, and house utensils; and Tools and equipment for house and garden) have been excluded.</w:t>
            </w:r>
          </w:p>
          <w:bookmarkEnd w:id="98"/>
        </w:tc>
      </w:tr>
    </w:tbl>
    <w:p>
      <w:r>
        <w:br w:type="page"/>
      </w:r>
    </w:p>
    <w:bookmarkEnd w:id="99"/>
    <w:bookmarkStart w:id="101" w:name="descriptive-statistics"/>
    <w:p>
      <w:pPr>
        <w:pStyle w:val="Heading2"/>
      </w:pPr>
      <w:r>
        <w:t xml:space="preserve">Descriptive statistics</w:t>
      </w:r>
    </w:p>
    <w:tbl>
      <w:tblPr>
        <w:tblStyle w:val="Table"/>
        <w:tblW w:type="pct" w:w="5000"/>
        <w:tblLook w:firstRow="0" w:lastRow="0" w:firstColumn="0" w:lastColumn="0" w:noHBand="0" w:noVBand="0" w:val="0000"/>
        <w:jc w:val="start"/>
        <w:tblLayout w:type="fixed"/>
      </w:tblPr>
      <w:tblGrid>
        <w:gridCol w:w="7920"/>
      </w:tblGrid>
      <w:tr>
        <w:tc>
          <w:tcPr/>
          <w:bookmarkStart w:id="100" w:name="tbl-descriptive_stats"/>
          <w:p>
            <w:pPr>
              <w:jc w:val="center"/>
            </w:pPr>
            <w:pPr>
              <w:jc w:val="start"/>
              <w:spacing w:before="200"/>
              <w:pStyle w:val="ImageCaption"/>
            </w:pPr>
            <w:r>
              <w:t xml:space="preserve">Table 2: Descriptive statistics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3699"/>
              <w:gridCol w:w="617"/>
              <w:gridCol w:w="726"/>
              <w:gridCol w:w="617"/>
              <w:gridCol w:w="539"/>
              <w:gridCol w:w="617"/>
              <w:gridCol w:w="1091"/>
            </w:tblGrid>
            <w:tr>
              <w:trPr>
                <w:trHeight w:val="542" w:hRule="auto"/>
                <w:tblHeader/>
              </w:trPr>
              header 1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Goods category</w:t>
                  </w:r>
                </w:p>
              </w:tc>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Mean</w:t>
                  </w:r>
                </w:p>
              </w:tc>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Median</w:t>
                  </w:r>
                </w:p>
              </w:tc>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SD</w:t>
                  </w:r>
                </w:p>
              </w:tc>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Min</w:t>
                  </w:r>
                </w:p>
              </w:tc>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Max</w:t>
                  </w:r>
                </w:p>
              </w:tc>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Observations</w:t>
                  </w:r>
                </w:p>
              </w:tc>
            </w:tr>
            <w:tr>
              <w:trPr>
                <w:trHeight w:val="513" w:hRule="auto"/>
              </w:trPr>
              body 1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Accommodation services</w:t>
                  </w:r>
                </w:p>
              </w:tc>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3.69</w:t>
                  </w:r>
                </w:p>
              </w:tc>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2.97</w:t>
                  </w:r>
                </w:p>
              </w:tc>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2.96</w:t>
                  </w:r>
                </w:p>
              </w:tc>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0.02</w:t>
                  </w:r>
                </w:p>
              </w:tc>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19.60</w:t>
                  </w:r>
                </w:p>
              </w:tc>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2" w:hRule="auto"/>
              </w:trPr>
              body 2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Actual rentals for housing</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3.19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2.39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2.73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11.28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39" w:hRule="auto"/>
              </w:trPr>
              body 3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Appliances, tableware and equipment</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2.40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2.13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1.35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5.47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3" w:hRule="auto"/>
              </w:trPr>
              body 4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Beer</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2.97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2.04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2.53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10.77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 5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Cereal products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8.33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4.98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7.98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40.01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2" w:hRule="auto"/>
              </w:trPr>
              body 6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Clothing</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3.74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3.61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1.78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9.09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2" w:hRule="auto"/>
              </w:trPr>
              body 7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Cold beverages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2.01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1.62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1.57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8.45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2" w:hRule="auto"/>
              </w:trPr>
              body 8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Electricity and other fuels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13.98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10.03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11.77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0.53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46.31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3" w:hRule="auto"/>
              </w:trPr>
              body 9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Financial services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2.76</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3.14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18.30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4" w:hRule="auto"/>
              </w:trPr>
              body10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Fish and other seafood</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1.46</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1.15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1.24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8.09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3" w:hRule="auto"/>
              </w:trPr>
              body11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Footwear</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2.84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2.87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1.22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6.13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3" w:hRule="auto"/>
              </w:trPr>
              body12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Fruit and nuts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3.69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2.99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3.07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14.90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3" w:hRule="auto"/>
              </w:trPr>
              body13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Fuel</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22.89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18.12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18.11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95.60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2" w:hRule="auto"/>
              </w:trPr>
              body14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Furniture, furnishings and carpets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4.77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4.80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1.08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2.07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7.39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4" w:hRule="auto"/>
              </w:trPr>
              body15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Goods and services for routine household maintenance</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1.25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0.97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1.05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4.71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3" w:hRule="auto"/>
              </w:trPr>
              body16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Health services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1.37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1.24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1.10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4.75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body17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Hot beverages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2.74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2.75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15.61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body18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Information and communication equipment</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17.26</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16.87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6.42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2.86</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33.39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4" w:hRule="auto"/>
              </w:trPr>
              body19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Information and communication services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10.04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10.12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3.25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0.91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16.99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3" w:hRule="auto"/>
              </w:trPr>
              body20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Insurance</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7.27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7.10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4.85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23.75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39" w:hRule="auto"/>
              </w:trPr>
              body21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Maintenance and repairs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1.51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1.09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1.53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7.29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3" w:hRule="auto"/>
              </w:trPr>
              body22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Meat</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7.12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6.30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5.30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24.32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39" w:hRule="auto"/>
              </w:trPr>
              body23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Medicines and health products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1.72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1.54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1.26</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6.79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body24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Milk, other dairy products and eggs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3.99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3.64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2.81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13.17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body25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Newspapers, books and stationery</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1.31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1.11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1.00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4.59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4" w:hRule="auto"/>
              </w:trPr>
              body26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Oils and fats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7.39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6.15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5.99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27.17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4" w:hRule="auto"/>
              </w:trPr>
              body27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Other food</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2.67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1.70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2.74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0.06</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11.73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4" w:hRule="auto"/>
              </w:trPr>
              body28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Other services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4.15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3.19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3.07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15.10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body29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Owners' equivalent rent</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5.29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4.75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3.98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16.18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body30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Package holidays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1.55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1.40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1.00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4.80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body31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Passenger transport services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6.74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5.40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5.36</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27.30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3" w:hRule="auto"/>
              </w:trPr>
              body32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Personal care</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2.44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2.33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1.77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8.72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body33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Primary and secondary education</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3.60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3.39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1.69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8.37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4" w:hRule="auto"/>
              </w:trPr>
              body34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Purchase of vehicles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5.22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3.33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4.67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17.30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3" w:hRule="auto"/>
              </w:trPr>
              body35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Recreational and cultural services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4.75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4.05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3.89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21.16</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3" w:hRule="auto"/>
              </w:trPr>
              body36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Restaurants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2.91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2.29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2.42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11.17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body37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Spirits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1.43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1.30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1.04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5.80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2" w:hRule="auto"/>
              </w:trPr>
              body38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Sugar, confectionary and desserts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4.18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3.18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3.75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14.87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body39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Tertiary education</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2.61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2.50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1.71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6.78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3" w:hRule="auto"/>
              </w:trPr>
              body40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Tobacco</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2.41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1.57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2.89</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13.75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body41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Vegetables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6.35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5.05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5.12</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23.81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body42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Water supply and miscellaneous services</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6.16</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5.77</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2.83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13.91</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13" w:hRule="auto"/>
              </w:trPr>
              body43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Wine</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1.13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0.98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0.83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4.28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39" w:hRule="auto"/>
              </w:trPr>
              body44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other_op_pers_trans_equip</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1.85</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1.44</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1.58</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0.00</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7.33</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r>
              <w:trPr>
                <w:trHeight w:val="540" w:hRule="auto"/>
              </w:trPr>
              body45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recr_goods_gardnprod</w:t>
                  </w:r>
                </w:p>
              </w:tc>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4.39</w:t>
                  </w:r>
                </w:p>
              </w:tc>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3.86</w:t>
                  </w:r>
                </w:p>
              </w:tc>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2.56</w:t>
                  </w:r>
                </w:p>
              </w:tc>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0.06</w:t>
                  </w:r>
                </w:p>
              </w:tc>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11.34</w:t>
                  </w:r>
                </w:p>
              </w:tc>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196</w:t>
                  </w:r>
                </w:p>
              </w:tc>
            </w:tr>
          </w:tbl>
          <w:bookmarkEnd w:id="100"/>
        </w:tc>
      </w:tr>
    </w:tbl>
    <w:p>
      <w:r>
        <w:br w:type="page"/>
      </w:r>
    </w:p>
    <w:bookmarkEnd w:id="101"/>
    <w:bookmarkStart w:id="103" w:name="stationarity-tests"/>
    <w:p>
      <w:pPr>
        <w:pStyle w:val="Heading2"/>
      </w:pPr>
      <w:r>
        <w:t xml:space="preserve">Stationarity tests</w:t>
      </w:r>
    </w:p>
    <w:tbl>
      <w:tblPr>
        <w:tblStyle w:val="Table"/>
        <w:tblW w:type="pct" w:w="5000"/>
        <w:tblLook w:firstRow="0" w:lastRow="0" w:firstColumn="0" w:lastColumn="0" w:noHBand="0" w:noVBand="0" w:val="0000"/>
        <w:jc w:val="start"/>
        <w:tblLayout w:type="fixed"/>
      </w:tblPr>
      <w:tblGrid>
        <w:gridCol w:w="7920"/>
      </w:tblGrid>
      <w:tr>
        <w:tc>
          <w:tcPr/>
          <w:bookmarkStart w:id="102" w:name="tbl-stationarity_tests"/>
          <w:p>
            <w:pPr>
              <w:jc w:val="center"/>
            </w:pPr>
            <w:pPr>
              <w:jc w:val="start"/>
              <w:spacing w:before="200"/>
              <w:pStyle w:val="ImageCaption"/>
            </w:pPr>
            <w:r>
              <w:t xml:space="preserve">Table 3: Stationarity tests results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637"/>
              <w:gridCol w:w="1691"/>
              <w:gridCol w:w="1597"/>
              <w:gridCol w:w="1784"/>
              <w:gridCol w:w="1255"/>
            </w:tblGrid>
            <w:tr>
              <w:trPr>
                <w:trHeight w:val="542" w:hRule="auto"/>
                <w:tblHeader/>
              </w:trPr>
              header1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Measure</w:t>
                  </w:r>
                </w:p>
              </w:tc>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ADF test (p-value)</w:t>
                  </w:r>
                </w:p>
              </w:tc>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PP test (p-value)</w:t>
                  </w:r>
                </w:p>
              </w:tc>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KPSS test (p-value)</w:t>
                  </w:r>
                </w:p>
              </w:tc>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Stationarity</w:t>
                  </w:r>
                </w:p>
              </w:tc>
            </w:tr>
            <w:tr>
              <w:trPr>
                <w:trHeight w:val="542" w:hRule="auto"/>
              </w:trPr>
              body1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Headline Inflation</w:t>
                  </w:r>
                </w:p>
              </w:tc>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0.19</w:t>
                  </w:r>
                </w:p>
              </w:tc>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0.24</w:t>
                  </w:r>
                </w:p>
              </w:tc>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0.08</w:t>
                  </w:r>
                </w:p>
              </w:tc>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Stationary</w:t>
                  </w:r>
                </w:p>
              </w:tc>
            </w:tr>
            <w:tr>
              <w:trPr>
                <w:trHeight w:val="542" w:hRule="auto"/>
              </w:trPr>
              body2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RVP</w:t>
                  </w:r>
                </w:p>
              </w:tc>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0.09</w:t>
                  </w:r>
                </w:p>
              </w:tc>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0.34</w:t>
                  </w:r>
                </w:p>
              </w:tc>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0.01</w:t>
                  </w:r>
                </w:p>
              </w:tc>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Stationary</w:t>
                  </w:r>
                </w:p>
              </w:tc>
            </w:tr>
          </w:tbl>
          <w:bookmarkEnd w:id="102"/>
        </w:tc>
      </w:tr>
    </w:tbl>
    <w:bookmarkEnd w:id="103"/>
    <w:bookmarkStart w:id="105" w:name="lag-length-selection"/>
    <w:p>
      <w:pPr>
        <w:pStyle w:val="Heading2"/>
      </w:pPr>
      <w:r>
        <w:t xml:space="preserve">Lag length selection</w:t>
      </w:r>
    </w:p>
    <w:tbl>
      <w:tblPr>
        <w:tblStyle w:val="Table"/>
        <w:tblW w:type="pct" w:w="5000"/>
        <w:tblLook w:firstRow="0" w:lastRow="0" w:firstColumn="0" w:lastColumn="0" w:noHBand="0" w:noVBand="0" w:val="0000"/>
        <w:jc w:val="start"/>
        <w:tblLayout w:type="fixed"/>
      </w:tblPr>
      <w:tblGrid>
        <w:gridCol w:w="7920"/>
      </w:tblGrid>
      <w:tr>
        <w:tc>
          <w:tcPr/>
          <w:bookmarkStart w:id="104" w:name="tbl-lag_selection"/>
          <w:p>
            <w:pPr>
              <w:jc w:val="center"/>
            </w:pPr>
            <w:pPr>
              <w:jc w:val="start"/>
              <w:spacing w:before="200"/>
              <w:pStyle w:val="ImageCaption"/>
            </w:pPr>
            <w:r>
              <w:t xml:space="preserve">Table 4: RVP lag length selection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4310"/>
              <w:gridCol w:w="4691"/>
            </w:tblGrid>
            <w:tr>
              <w:trPr>
                <w:trHeight w:val="542" w:hRule="auto"/>
                <w:tblHeader/>
              </w:trPr>
              header1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Tests</w:t>
                  </w:r>
                </w:p>
              </w:tc>
              <w:tc>
                <w:tcPr>
                  <w:tcBorders>
                    <w:bottom w:val="single" w:sz="8" w:space="0" w:color="000000"/>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Optimal Lags</w:t>
                  </w:r>
                </w:p>
              </w:tc>
            </w:tr>
            <w:tr>
              <w:trPr>
                <w:trHeight w:val="542" w:hRule="auto"/>
              </w:trPr>
              body1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AIC(n)</w:t>
                  </w:r>
                </w:p>
              </w:tc>
              <w:tc>
                <w:tcPr>
                  <w:tcBorders>
                    <w:bottom w:val="single" w:sz="8" w:space="0" w:color="FFFFFF"/>
                    <w:top w:val="single" w:sz="8" w:space="0" w:color="000000"/>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w:t>
                  </w:r>
                </w:p>
              </w:tc>
            </w:tr>
            <w:tr>
              <w:trPr>
                <w:trHeight w:val="542" w:hRule="auto"/>
              </w:trPr>
              body2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HQ(n)</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w:t>
                  </w:r>
                </w:p>
              </w:tc>
            </w:tr>
            <w:tr>
              <w:trPr>
                <w:trHeight w:val="542" w:hRule="auto"/>
              </w:trPr>
              body3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SC(n)</w:t>
                  </w:r>
                </w:p>
              </w:tc>
              <w:tc>
                <w:tcPr>
                  <w:tcBorders>
                    <w:bottom w:val="single" w:sz="8" w:space="0" w:color="FFFFFF"/>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1</w:t>
                  </w:r>
                </w:p>
              </w:tc>
            </w:tr>
            <w:tr>
              <w:trPr>
                <w:trHeight w:val="542" w:hRule="auto"/>
              </w:trPr>
              body4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FPE(n)</w:t>
                  </w:r>
                </w:p>
              </w:tc>
              <w:tc>
                <w:tcPr>
                  <w:tcBorders>
                    <w:bottom w:val="single" w:sz="8" w:space="0" w:color="000000"/>
                    <w:top w:val="single" w:sz="8" w:space="0" w:color="FFFFFF"/>
                    <w:left w:val="single" w:sz="8" w:space="0" w:color="FFFFFF"/>
                    <w:right w:val="single" w:sz="8"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4"/>
                      <w:szCs w:val="14"/>
                      <w:color w:val="000000"/>
                    </w:rPr>
                    <w:t xml:space="preserve">3</w:t>
                  </w:r>
                </w:p>
              </w:tc>
            </w:tr>
          </w:tbl>
          <w:bookmarkEnd w:id="104"/>
        </w:tc>
      </w:tr>
    </w:tbl>
    <w:p>
      <w:r>
        <w:br w:type="page"/>
      </w:r>
    </w:p>
    <w:bookmarkEnd w:id="105"/>
    <w:bookmarkEnd w:id="106"/>
    <w:bookmarkStart w:id="109" w:name="appendix-alternative-results"/>
    <w:p>
      <w:pPr>
        <w:pStyle w:val="Heading1"/>
      </w:pPr>
      <w:r>
        <w:t xml:space="preserve">Appendix: Alternative Results</w:t>
      </w:r>
    </w:p>
    <w:bookmarkStart w:id="108" w:name="coefficient-of-variation-version-of-rpv"/>
    <w:p>
      <w:pPr>
        <w:pStyle w:val="Heading2"/>
      </w:pPr>
      <w:r>
        <w:t xml:space="preserve">Coefficient of variation version of RPV</w:t>
      </w:r>
    </w:p>
    <w:p>
      <w:pPr>
        <w:pStyle w:val="FirstParagraph"/>
      </w:pPr>
      <w:r>
        <w:t xml:space="preserve">The coefficient of variation (CV) version of RPV (or RVP-CV) normalizes the RPV by the aggregate price level to account for changes in the overall price level. This measure is particularly useful when comparing RPV across different time periods or economies with varying inflation rates. The RVP-CV is calculated as follows:</w:t>
      </w:r>
    </w:p>
    <w:p>
      <w:pPr>
        <w:pStyle w:val="BodyText"/>
      </w:pPr>
      <w:bookmarkStart w:id="107" w:name="eq-rpvcv"/>
      <m:oMathPara>
        <m:oMathParaPr>
          <m:jc m:val="center"/>
        </m:oMathParaPr>
        <m:oMath>
          <m:r>
            <m:t>R</m:t>
          </m:r>
          <m:r>
            <m:t>P</m:t>
          </m:r>
          <m:sSub>
            <m:e>
              <m:r>
                <m:t>V</m:t>
              </m:r>
            </m:e>
            <m:sub>
              <m:r>
                <m:t>t</m:t>
              </m:r>
            </m:sub>
          </m:sSub>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b>
                        <m:e>
                          <m:r>
                            <m:t>ω</m:t>
                          </m:r>
                        </m:e>
                        <m:sub>
                          <m:r>
                            <m:t>i</m:t>
                          </m:r>
                        </m:sub>
                      </m:sSub>
                    </m:e>
                  </m:nary>
                  <m:sSup>
                    <m:e>
                      <m:d>
                        <m:dPr>
                          <m:begChr m:val="("/>
                          <m:endChr m:val=")"/>
                          <m:sepChr m:val=""/>
                          <m:grow/>
                        </m:dPr>
                        <m:e>
                          <m:sSub>
                            <m:e>
                              <m:r>
                                <m:t>π</m:t>
                              </m:r>
                            </m:e>
                            <m:sub>
                              <m:r>
                                <m:t>i</m:t>
                              </m:r>
                              <m:r>
                                <m:rPr>
                                  <m:sty m:val="p"/>
                                </m:rPr>
                                <m:t>,</m:t>
                              </m:r>
                              <m:r>
                                <m:t>t</m:t>
                              </m:r>
                            </m:sub>
                          </m:sSub>
                          <m:r>
                            <m:rPr>
                              <m:sty m:val="p"/>
                            </m:rPr>
                            <m:t>−</m:t>
                          </m:r>
                          <m:sSub>
                            <m:e>
                              <m:r>
                                <m:t>π</m:t>
                              </m:r>
                            </m:e>
                            <m:sub>
                              <m:r>
                                <m:t>t</m:t>
                              </m:r>
                            </m:sub>
                          </m:sSub>
                        </m:e>
                      </m:d>
                    </m:e>
                    <m:sup>
                      <m:r>
                        <m:t>2</m:t>
                      </m:r>
                    </m:sup>
                  </m:sSup>
                </m:num>
                <m:den>
                  <m:d>
                    <m:dPr>
                      <m:begChr m:val="|"/>
                      <m:endChr m:val="|"/>
                      <m:sepChr m:val=""/>
                      <m:grow/>
                    </m:dPr>
                    <m:e>
                      <m:r>
                        <m:t>1</m:t>
                      </m:r>
                      <m:r>
                        <m:rPr>
                          <m:sty m:val="p"/>
                        </m:rPr>
                        <m:t>+</m:t>
                      </m:r>
                      <m:sSub>
                        <m:e>
                          <m:r>
                            <m:t>π</m:t>
                          </m:r>
                        </m:e>
                        <m:sub>
                          <m:r>
                            <m:t>t</m:t>
                          </m:r>
                        </m:sub>
                      </m:sSub>
                    </m:e>
                  </m:d>
                </m:den>
              </m:f>
            </m:e>
          </m:rad>
          <m:r>
            <m:rPr>
              <m:sty m:val="p"/>
            </m:rPr>
            <m:t>,</m:t>
          </m:r>
          <m:r>
            <m:t>  </m:t>
          </m:r>
          <m:d>
            <m:dPr>
              <m:begChr m:val="("/>
              <m:endChr m:val=")"/>
              <m:sepChr m:val=""/>
              <m:grow/>
            </m:dPr>
            <m:e>
              <m:r>
                <m:t>11</m:t>
              </m:r>
            </m:e>
          </m:d>
        </m:oMath>
      </m:oMathPara>
      <w:bookmarkEnd w:id="107"/>
    </w:p>
    <w:p>
      <w:pPr>
        <w:pStyle w:val="FirstParagraph"/>
      </w:pPr>
      <w:r>
        <w:t xml:space="preserve">where</w:t>
      </w:r>
      <w:r>
        <w:t xml:space="preserve"> </w:t>
      </w:r>
      <m:oMath>
        <m:sSub>
          <m:e>
            <m:r>
              <m:t>π</m:t>
            </m:r>
          </m:e>
          <m:sub>
            <m:r>
              <m:t>t</m:t>
            </m:r>
          </m:sub>
        </m:sSub>
      </m:oMath>
      <w:r>
        <w:t xml:space="preserve"> </w:t>
      </w:r>
      <w:r>
        <w:t xml:space="preserve">is the aggregate inflation rate at time</w:t>
      </w:r>
      <w:r>
        <w:t xml:space="preserve"> </w:t>
      </w:r>
      <m:oMath>
        <m:r>
          <m:t>t</m:t>
        </m:r>
      </m:oMath>
      <w:r>
        <w:t xml:space="preserve">, and</w:t>
      </w:r>
      <w:r>
        <w:t xml:space="preserve"> </w:t>
      </w:r>
      <m:oMath>
        <m:sSub>
          <m:e>
            <m:r>
              <m:t>ω</m:t>
            </m:r>
          </m:e>
          <m:sub>
            <m:r>
              <m:t>i</m:t>
            </m:r>
          </m:sub>
        </m:sSub>
      </m:oMath>
      <w:r>
        <w:t xml:space="preserve"> </w:t>
      </w:r>
      <w:r>
        <w:t xml:space="preserve">are the inflation basket weights.</w:t>
      </w:r>
    </w:p>
    <w:bookmarkEnd w:id="108"/>
    <w:bookmarkEnd w:id="109"/>
    <w:sectPr w:rsidR="0066548E" w:rsidSect="00322633">
      <w:headerReference r:id="rId13" w:type="even"/>
      <w:headerReference r:id="rId12" w:type="default"/>
      <w:footerReference r:id="rId15" w:type="even"/>
      <w:footerReference r:id="rId14" w:type="default"/>
      <w:headerReference r:id="rId9" w:type="first"/>
      <w:footerReference r:id="rId17" w:type="first"/>
      <w:footnotePr>
        <w:numFmt w:val="chicago"/>
        <w:numRestart w:val="eachSect"/>
      </w:footnotePr>
      <w:type w:val="continuous"/>
      <w:pgSz w:code="9" w:h="16840" w:w="11907"/>
      <w:pgMar w:bottom="1418" w:footer="720" w:gutter="0" w:header="720" w:left="1418" w:right="1418" w:top="141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604020202020204"/>
    <w:charset w:val="00"/>
    <w:family w:val="swiss"/>
    <w:pitch w:val="variable"/>
    <w:sig w:usb0="E4002EFF" w:usb1="C000E47F" w:usb2="00000009" w:usb3="00000000" w:csb0="000001FF" w:csb1="00000000"/>
  </w:font>
  <w:font w:name="Arial Narrow">
    <w:altName w:val="﷽﷽﷽﷽﷽﷽﷽﷽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Avenir Next">
    <w:altName w:val="﷽﷽﷽﷽﷽﷽﷽﷽묱耍ĝ䳰Ľ怀"/>
    <w:panose1 w:val="020B0503020202020204"/>
    <w:charset w:val="00"/>
    <w:family w:val="swiss"/>
    <w:pitch w:val="variable"/>
    <w:sig w:usb0="8000002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8E3BE" w14:textId="77777777" w:rsidR="00442AF7" w:rsidRDefault="00442A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90878" w14:textId="77777777" w:rsidR="0066548E" w:rsidRDefault="0066548E">
    <w:pPr>
      <w:pStyle w:val="Footer"/>
      <w:jc w:val="center"/>
    </w:pPr>
  </w:p>
  <w:p w14:paraId="02A6D3C4" w14:textId="77777777" w:rsidR="00690C20" w:rsidRDefault="00690C2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49B2" w14:textId="77777777" w:rsidR="00442AF7" w:rsidRDefault="00442A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6245503"/>
      <w:docPartObj>
        <w:docPartGallery w:val="Page Numbers (Bottom of Page)"/>
        <w:docPartUnique/>
      </w:docPartObj>
    </w:sdtPr>
    <w:sdtEndPr>
      <w:rPr>
        <w:noProof/>
        <w:highlight w:val="yellow"/>
      </w:rPr>
    </w:sdtEndPr>
    <w:sdtContent>
      <w:p w14:paraId="63627F72" w14:textId="4D1BB53A" w:rsidR="0066548E" w:rsidRPr="0044750B" w:rsidRDefault="0066548E" w:rsidP="006E0EB2">
        <w:pPr>
          <w:pStyle w:val="Footer"/>
          <w:spacing w:line="240" w:lineRule="auto"/>
          <w:jc w:val="center"/>
        </w:pPr>
        <w:r w:rsidRPr="00002DF3">
          <w:fldChar w:fldCharType="begin"/>
        </w:r>
        <w:r w:rsidRPr="00002DF3">
          <w:instrText xml:space="preserve"> PAGE   \* MERGEFORMAT </w:instrText>
        </w:r>
        <w:r w:rsidRPr="00002DF3">
          <w:fldChar w:fldCharType="separate"/>
        </w:r>
        <w:r w:rsidR="008C0D77">
          <w:rPr>
            <w:noProof/>
          </w:rPr>
          <w:t>2</w:t>
        </w:r>
        <w:r w:rsidRPr="00002DF3">
          <w:rPr>
            <w:noProof/>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E9108" w14:textId="77777777" w:rsidR="00442AF7" w:rsidRDefault="00442A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31C3C" w14:textId="77777777" w:rsidR="00442AF7" w:rsidRDefault="00442A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63D2" w14:textId="77777777" w:rsidR="00442AF7" w:rsidRDefault="00442AF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9CB93" w14:textId="77777777" w:rsidR="00690C20" w:rsidRDefault="00690C20">
    <w:pPr>
      <w:pStyle w:val="BodyText"/>
      <w:spacing w:line="14" w:lineRule="auto"/>
    </w:pPr>
    <w:r>
      <w:rPr>
        <w:noProof/>
        <w:lang w:val="en-ZA" w:eastAsia="en-ZA"/>
      </w:rPr>
      <mc:AlternateContent>
        <mc:Choice Requires="wps">
          <w:drawing>
            <wp:anchor distT="0" distB="0" distL="114300" distR="114300" simplePos="0" relativeHeight="251667456" behindDoc="1" locked="0" layoutInCell="1" allowOverlap="1" wp14:anchorId="3FC63C6E" wp14:editId="330921CD">
              <wp:simplePos x="0" y="0"/>
              <wp:positionH relativeFrom="page">
                <wp:posOffset>2265680</wp:posOffset>
              </wp:positionH>
              <wp:positionV relativeFrom="page">
                <wp:posOffset>497840</wp:posOffset>
              </wp:positionV>
              <wp:extent cx="3259455" cy="169545"/>
              <wp:effectExtent l="0" t="2540" r="0" b="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9455" cy="169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76D58" w14:textId="77777777" w:rsidR="00690C20" w:rsidRDefault="00690C20">
                          <w:pPr>
                            <w:tabs>
                              <w:tab w:val="left" w:pos="4831"/>
                            </w:tabs>
                            <w:spacing w:before="18"/>
                            <w:ind w:left="20"/>
                            <w:rPr>
                              <w:rFonts w:ascii="Verdana"/>
                              <w:sz w:val="18"/>
                            </w:rPr>
                          </w:pPr>
                          <w:r>
                            <w:rPr>
                              <w:rFonts w:ascii="Verdana"/>
                              <w:color w:val="231F20"/>
                              <w:w w:val="80"/>
                              <w:sz w:val="18"/>
                            </w:rPr>
                            <w:t>Macroeconomic</w:t>
                          </w:r>
                          <w:r>
                            <w:rPr>
                              <w:rFonts w:ascii="Verdana"/>
                              <w:color w:val="231F20"/>
                              <w:spacing w:val="-31"/>
                              <w:w w:val="80"/>
                              <w:sz w:val="18"/>
                            </w:rPr>
                            <w:t xml:space="preserve"> </w:t>
                          </w:r>
                          <w:r>
                            <w:rPr>
                              <w:rFonts w:ascii="Verdana"/>
                              <w:color w:val="231F20"/>
                              <w:w w:val="80"/>
                              <w:sz w:val="18"/>
                            </w:rPr>
                            <w:t>Policy</w:t>
                          </w:r>
                          <w:r>
                            <w:rPr>
                              <w:rFonts w:ascii="Verdana"/>
                              <w:color w:val="231F20"/>
                              <w:spacing w:val="-30"/>
                              <w:w w:val="80"/>
                              <w:sz w:val="18"/>
                            </w:rPr>
                            <w:t xml:space="preserve"> </w:t>
                          </w:r>
                          <w:r>
                            <w:rPr>
                              <w:rFonts w:ascii="Verdana"/>
                              <w:color w:val="231F20"/>
                              <w:w w:val="80"/>
                              <w:sz w:val="18"/>
                            </w:rPr>
                            <w:t>Options</w:t>
                          </w:r>
                          <w:r>
                            <w:rPr>
                              <w:rFonts w:ascii="Verdana"/>
                              <w:color w:val="231F20"/>
                              <w:spacing w:val="-30"/>
                              <w:w w:val="80"/>
                              <w:sz w:val="18"/>
                            </w:rPr>
                            <w:t xml:space="preserve"> </w:t>
                          </w:r>
                          <w:r>
                            <w:rPr>
                              <w:rFonts w:ascii="Verdana"/>
                              <w:color w:val="231F20"/>
                              <w:w w:val="80"/>
                              <w:sz w:val="18"/>
                            </w:rPr>
                            <w:t>for</w:t>
                          </w:r>
                          <w:r>
                            <w:rPr>
                              <w:rFonts w:ascii="Verdana"/>
                              <w:color w:val="231F20"/>
                              <w:spacing w:val="-30"/>
                              <w:w w:val="80"/>
                              <w:sz w:val="18"/>
                            </w:rPr>
                            <w:t xml:space="preserve"> </w:t>
                          </w:r>
                          <w:r>
                            <w:rPr>
                              <w:rFonts w:ascii="Verdana"/>
                              <w:color w:val="231F20"/>
                              <w:w w:val="80"/>
                              <w:sz w:val="18"/>
                            </w:rPr>
                            <w:t>a</w:t>
                          </w:r>
                          <w:r>
                            <w:rPr>
                              <w:rFonts w:ascii="Verdana"/>
                              <w:color w:val="231F20"/>
                              <w:spacing w:val="-30"/>
                              <w:w w:val="80"/>
                              <w:sz w:val="18"/>
                            </w:rPr>
                            <w:t xml:space="preserve"> </w:t>
                          </w:r>
                          <w:r>
                            <w:rPr>
                              <w:rFonts w:ascii="Verdana"/>
                              <w:color w:val="231F20"/>
                              <w:w w:val="80"/>
                              <w:sz w:val="18"/>
                            </w:rPr>
                            <w:t>Savings</w:t>
                          </w:r>
                          <w:r>
                            <w:rPr>
                              <w:rFonts w:ascii="Verdana"/>
                              <w:color w:val="231F20"/>
                              <w:spacing w:val="-31"/>
                              <w:w w:val="80"/>
                              <w:sz w:val="18"/>
                            </w:rPr>
                            <w:t xml:space="preserve"> </w:t>
                          </w:r>
                          <w:r>
                            <w:rPr>
                              <w:rFonts w:ascii="Verdana"/>
                              <w:color w:val="231F20"/>
                              <w:w w:val="80"/>
                              <w:sz w:val="18"/>
                            </w:rPr>
                            <w:t>Constrained</w:t>
                          </w:r>
                          <w:r>
                            <w:rPr>
                              <w:rFonts w:ascii="Verdana"/>
                              <w:color w:val="231F20"/>
                              <w:spacing w:val="-30"/>
                              <w:w w:val="80"/>
                              <w:sz w:val="18"/>
                            </w:rPr>
                            <w:t xml:space="preserve"> </w:t>
                          </w:r>
                          <w:r>
                            <w:rPr>
                              <w:rFonts w:ascii="Verdana"/>
                              <w:color w:val="231F20"/>
                              <w:w w:val="80"/>
                              <w:sz w:val="18"/>
                            </w:rPr>
                            <w:t>Economy</w:t>
                          </w:r>
                          <w:r>
                            <w:rPr>
                              <w:rFonts w:ascii="Verdana"/>
                              <w:color w:val="231F20"/>
                              <w:w w:val="80"/>
                              <w:sz w:val="18"/>
                            </w:rPr>
                            <w:tab/>
                            <w:t>241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C63C6E" id="_x0000_t202" coordsize="21600,21600" o:spt="202" path="m,l,21600r21600,l21600,xe">
              <v:stroke joinstyle="miter"/>
              <v:path gradientshapeok="t" o:connecttype="rect"/>
            </v:shapetype>
            <v:shape id="Text Box 46" o:spid="_x0000_s1026" type="#_x0000_t202" style="position:absolute;left:0;text-align:left;margin-left:178.4pt;margin-top:39.2pt;width:256.65pt;height:13.3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" filled="f" stroked="f">
              <v:textbox inset="0,0,0,0">
                <w:txbxContent>
                  <w:p w14:paraId="0C876D58" w14:textId="77777777" w:rsidR="00690C20" w:rsidRDefault="00690C20">
                    <w:pPr>
                      <w:tabs>
                        <w:tab w:val="left" w:pos="4831"/>
                      </w:tabs>
                      <w:spacing w:before="18"/>
                      <w:ind w:left="20"/>
                      <w:rPr>
                        <w:rFonts w:ascii="Verdana"/>
                        <w:sz w:val="18"/>
                      </w:rPr>
                    </w:pPr>
                    <w:r>
                      <w:rPr>
                        <w:rFonts w:ascii="Verdana"/>
                        <w:color w:val="231F20"/>
                        <w:w w:val="80"/>
                        <w:sz w:val="18"/>
                      </w:rPr>
                      <w:t>Macroeconomic</w:t>
                    </w:r>
                    <w:r>
                      <w:rPr>
                        <w:rFonts w:ascii="Verdana"/>
                        <w:color w:val="231F20"/>
                        <w:spacing w:val="-31"/>
                        <w:w w:val="80"/>
                        <w:sz w:val="18"/>
                      </w:rPr>
                      <w:t xml:space="preserve"> </w:t>
                    </w:r>
                    <w:r>
                      <w:rPr>
                        <w:rFonts w:ascii="Verdana"/>
                        <w:color w:val="231F20"/>
                        <w:w w:val="80"/>
                        <w:sz w:val="18"/>
                      </w:rPr>
                      <w:t>Policy</w:t>
                    </w:r>
                    <w:r>
                      <w:rPr>
                        <w:rFonts w:ascii="Verdana"/>
                        <w:color w:val="231F20"/>
                        <w:spacing w:val="-30"/>
                        <w:w w:val="80"/>
                        <w:sz w:val="18"/>
                      </w:rPr>
                      <w:t xml:space="preserve"> </w:t>
                    </w:r>
                    <w:r>
                      <w:rPr>
                        <w:rFonts w:ascii="Verdana"/>
                        <w:color w:val="231F20"/>
                        <w:w w:val="80"/>
                        <w:sz w:val="18"/>
                      </w:rPr>
                      <w:t>Options</w:t>
                    </w:r>
                    <w:r>
                      <w:rPr>
                        <w:rFonts w:ascii="Verdana"/>
                        <w:color w:val="231F20"/>
                        <w:spacing w:val="-30"/>
                        <w:w w:val="80"/>
                        <w:sz w:val="18"/>
                      </w:rPr>
                      <w:t xml:space="preserve"> </w:t>
                    </w:r>
                    <w:r>
                      <w:rPr>
                        <w:rFonts w:ascii="Verdana"/>
                        <w:color w:val="231F20"/>
                        <w:w w:val="80"/>
                        <w:sz w:val="18"/>
                      </w:rPr>
                      <w:t>for</w:t>
                    </w:r>
                    <w:r>
                      <w:rPr>
                        <w:rFonts w:ascii="Verdana"/>
                        <w:color w:val="231F20"/>
                        <w:spacing w:val="-30"/>
                        <w:w w:val="80"/>
                        <w:sz w:val="18"/>
                      </w:rPr>
                      <w:t xml:space="preserve"> </w:t>
                    </w:r>
                    <w:r>
                      <w:rPr>
                        <w:rFonts w:ascii="Verdana"/>
                        <w:color w:val="231F20"/>
                        <w:w w:val="80"/>
                        <w:sz w:val="18"/>
                      </w:rPr>
                      <w:t>a</w:t>
                    </w:r>
                    <w:r>
                      <w:rPr>
                        <w:rFonts w:ascii="Verdana"/>
                        <w:color w:val="231F20"/>
                        <w:spacing w:val="-30"/>
                        <w:w w:val="80"/>
                        <w:sz w:val="18"/>
                      </w:rPr>
                      <w:t xml:space="preserve"> </w:t>
                    </w:r>
                    <w:r>
                      <w:rPr>
                        <w:rFonts w:ascii="Verdana"/>
                        <w:color w:val="231F20"/>
                        <w:w w:val="80"/>
                        <w:sz w:val="18"/>
                      </w:rPr>
                      <w:t>Savings</w:t>
                    </w:r>
                    <w:r>
                      <w:rPr>
                        <w:rFonts w:ascii="Verdana"/>
                        <w:color w:val="231F20"/>
                        <w:spacing w:val="-31"/>
                        <w:w w:val="80"/>
                        <w:sz w:val="18"/>
                      </w:rPr>
                      <w:t xml:space="preserve"> </w:t>
                    </w:r>
                    <w:r>
                      <w:rPr>
                        <w:rFonts w:ascii="Verdana"/>
                        <w:color w:val="231F20"/>
                        <w:w w:val="80"/>
                        <w:sz w:val="18"/>
                      </w:rPr>
                      <w:t>Constrained</w:t>
                    </w:r>
                    <w:r>
                      <w:rPr>
                        <w:rFonts w:ascii="Verdana"/>
                        <w:color w:val="231F20"/>
                        <w:spacing w:val="-30"/>
                        <w:w w:val="80"/>
                        <w:sz w:val="18"/>
                      </w:rPr>
                      <w:t xml:space="preserve"> </w:t>
                    </w:r>
                    <w:r>
                      <w:rPr>
                        <w:rFonts w:ascii="Verdana"/>
                        <w:color w:val="231F20"/>
                        <w:w w:val="80"/>
                        <w:sz w:val="18"/>
                      </w:rPr>
                      <w:t>Economy</w:t>
                    </w:r>
                    <w:r>
                      <w:rPr>
                        <w:rFonts w:ascii="Verdana"/>
                        <w:color w:val="231F20"/>
                        <w:w w:val="80"/>
                        <w:sz w:val="18"/>
                      </w:rPr>
                      <w:tab/>
                      <w:t>241</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C945E" w14:textId="77777777" w:rsidR="00690C20" w:rsidRPr="002E4CCF" w:rsidRDefault="00690C20" w:rsidP="002E4CCF">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40E328C"/>
    <w:multiLevelType w:val="hybridMultilevel"/>
    <w:tmpl w:val="DEA4CBE8"/>
    <w:lvl w:ilvl="0" w:tplc="19E48E48">
      <w:start w:val="8"/>
      <w:numFmt w:val="decimal"/>
      <w:lvlText w:val="%1."/>
      <w:lvlJc w:val="left"/>
      <w:pPr>
        <w:ind w:hanging="240" w:left="359"/>
      </w:pPr>
      <w:rPr>
        <w:rFonts w:ascii="Times New Roman" w:cs="Times New Roman" w:eastAsia="Times New Roman" w:hAnsi="Times New Roman" w:hint="default"/>
        <w:color w:val="231F20"/>
        <w:w w:val="93"/>
        <w:sz w:val="18"/>
        <w:szCs w:val="18"/>
        <w:lang w:bidi="ar-SA" w:eastAsia="en-US" w:val="en-US"/>
      </w:rPr>
    </w:lvl>
    <w:lvl w:ilvl="1" w:tplc="C3E4873E">
      <w:numFmt w:val="bullet"/>
      <w:lvlText w:val="•"/>
      <w:lvlJc w:val="left"/>
      <w:pPr>
        <w:ind w:hanging="240" w:left="1136"/>
      </w:pPr>
      <w:rPr>
        <w:rFonts w:hint="default"/>
        <w:lang w:bidi="ar-SA" w:eastAsia="en-US" w:val="en-US"/>
      </w:rPr>
    </w:lvl>
    <w:lvl w:ilvl="2" w:tplc="C83AE142">
      <w:numFmt w:val="bullet"/>
      <w:lvlText w:val="•"/>
      <w:lvlJc w:val="left"/>
      <w:pPr>
        <w:ind w:hanging="240" w:left="1912"/>
      </w:pPr>
      <w:rPr>
        <w:rFonts w:hint="default"/>
        <w:lang w:bidi="ar-SA" w:eastAsia="en-US" w:val="en-US"/>
      </w:rPr>
    </w:lvl>
    <w:lvl w:ilvl="3" w:tplc="47E4724C">
      <w:numFmt w:val="bullet"/>
      <w:lvlText w:val="•"/>
      <w:lvlJc w:val="left"/>
      <w:pPr>
        <w:ind w:hanging="240" w:left="2688"/>
      </w:pPr>
      <w:rPr>
        <w:rFonts w:hint="default"/>
        <w:lang w:bidi="ar-SA" w:eastAsia="en-US" w:val="en-US"/>
      </w:rPr>
    </w:lvl>
    <w:lvl w:ilvl="4" w:tplc="362CB408">
      <w:numFmt w:val="bullet"/>
      <w:lvlText w:val="•"/>
      <w:lvlJc w:val="left"/>
      <w:pPr>
        <w:ind w:hanging="240" w:left="3464"/>
      </w:pPr>
      <w:rPr>
        <w:rFonts w:hint="default"/>
        <w:lang w:bidi="ar-SA" w:eastAsia="en-US" w:val="en-US"/>
      </w:rPr>
    </w:lvl>
    <w:lvl w:ilvl="5" w:tplc="1340E1C0">
      <w:numFmt w:val="bullet"/>
      <w:lvlText w:val="•"/>
      <w:lvlJc w:val="left"/>
      <w:pPr>
        <w:ind w:hanging="240" w:left="4240"/>
      </w:pPr>
      <w:rPr>
        <w:rFonts w:hint="default"/>
        <w:lang w:bidi="ar-SA" w:eastAsia="en-US" w:val="en-US"/>
      </w:rPr>
    </w:lvl>
    <w:lvl w:ilvl="6" w:tplc="08D880C2">
      <w:numFmt w:val="bullet"/>
      <w:lvlText w:val="•"/>
      <w:lvlJc w:val="left"/>
      <w:pPr>
        <w:ind w:hanging="240" w:left="5016"/>
      </w:pPr>
      <w:rPr>
        <w:rFonts w:hint="default"/>
        <w:lang w:bidi="ar-SA" w:eastAsia="en-US" w:val="en-US"/>
      </w:rPr>
    </w:lvl>
    <w:lvl w:ilvl="7" w:tplc="FC98141C">
      <w:numFmt w:val="bullet"/>
      <w:lvlText w:val="•"/>
      <w:lvlJc w:val="left"/>
      <w:pPr>
        <w:ind w:hanging="240" w:left="5792"/>
      </w:pPr>
      <w:rPr>
        <w:rFonts w:hint="default"/>
        <w:lang w:bidi="ar-SA" w:eastAsia="en-US" w:val="en-US"/>
      </w:rPr>
    </w:lvl>
    <w:lvl w:ilvl="8" w:tplc="F44A8586">
      <w:numFmt w:val="bullet"/>
      <w:lvlText w:val="•"/>
      <w:lvlJc w:val="left"/>
      <w:pPr>
        <w:ind w:hanging="240" w:left="6568"/>
      </w:pPr>
      <w:rPr>
        <w:rFonts w:hint="default"/>
        <w:lang w:bidi="ar-SA" w:eastAsia="en-US" w:val="en-US"/>
      </w:rPr>
    </w:lvl>
  </w:abstractNum>
  <w:abstractNum w15:restartNumberingAfterBreak="0" w:abstractNumId="1">
    <w:nsid w:val="08AC64A2"/>
    <w:multiLevelType w:val="hybridMultilevel"/>
    <w:tmpl w:val="BFEC42DC"/>
    <w:lvl w:ilvl="0" w:tplc="86D8949A">
      <w:start w:val="25"/>
      <w:numFmt w:val="decimal"/>
      <w:lvlText w:val="%1."/>
      <w:lvlJc w:val="left"/>
      <w:pPr>
        <w:ind w:hanging="240" w:left="359"/>
      </w:pPr>
      <w:rPr>
        <w:rFonts w:ascii="Times New Roman" w:cs="Times New Roman" w:eastAsia="Times New Roman" w:hAnsi="Times New Roman" w:hint="default"/>
        <w:color w:val="231F20"/>
        <w:spacing w:val="0"/>
        <w:w w:val="90"/>
        <w:sz w:val="18"/>
        <w:szCs w:val="18"/>
        <w:lang w:bidi="ar-SA" w:eastAsia="en-US" w:val="en-US"/>
      </w:rPr>
    </w:lvl>
    <w:lvl w:ilvl="1" w:tplc="6CF8C498">
      <w:numFmt w:val="bullet"/>
      <w:lvlText w:val="•"/>
      <w:lvlJc w:val="left"/>
      <w:pPr>
        <w:ind w:hanging="240" w:left="1136"/>
      </w:pPr>
      <w:rPr>
        <w:rFonts w:hint="default"/>
        <w:lang w:bidi="ar-SA" w:eastAsia="en-US" w:val="en-US"/>
      </w:rPr>
    </w:lvl>
    <w:lvl w:ilvl="2" w:tplc="A3509E14">
      <w:numFmt w:val="bullet"/>
      <w:lvlText w:val="•"/>
      <w:lvlJc w:val="left"/>
      <w:pPr>
        <w:ind w:hanging="240" w:left="1912"/>
      </w:pPr>
      <w:rPr>
        <w:rFonts w:hint="default"/>
        <w:lang w:bidi="ar-SA" w:eastAsia="en-US" w:val="en-US"/>
      </w:rPr>
    </w:lvl>
    <w:lvl w:ilvl="3" w:tplc="DA72ED20">
      <w:numFmt w:val="bullet"/>
      <w:lvlText w:val="•"/>
      <w:lvlJc w:val="left"/>
      <w:pPr>
        <w:ind w:hanging="240" w:left="2688"/>
      </w:pPr>
      <w:rPr>
        <w:rFonts w:hint="default"/>
        <w:lang w:bidi="ar-SA" w:eastAsia="en-US" w:val="en-US"/>
      </w:rPr>
    </w:lvl>
    <w:lvl w:ilvl="4" w:tplc="90F0ADFC">
      <w:numFmt w:val="bullet"/>
      <w:lvlText w:val="•"/>
      <w:lvlJc w:val="left"/>
      <w:pPr>
        <w:ind w:hanging="240" w:left="3464"/>
      </w:pPr>
      <w:rPr>
        <w:rFonts w:hint="default"/>
        <w:lang w:bidi="ar-SA" w:eastAsia="en-US" w:val="en-US"/>
      </w:rPr>
    </w:lvl>
    <w:lvl w:ilvl="5" w:tplc="3134FC8C">
      <w:numFmt w:val="bullet"/>
      <w:lvlText w:val="•"/>
      <w:lvlJc w:val="left"/>
      <w:pPr>
        <w:ind w:hanging="240" w:left="4240"/>
      </w:pPr>
      <w:rPr>
        <w:rFonts w:hint="default"/>
        <w:lang w:bidi="ar-SA" w:eastAsia="en-US" w:val="en-US"/>
      </w:rPr>
    </w:lvl>
    <w:lvl w:ilvl="6" w:tplc="40DA4308">
      <w:numFmt w:val="bullet"/>
      <w:lvlText w:val="•"/>
      <w:lvlJc w:val="left"/>
      <w:pPr>
        <w:ind w:hanging="240" w:left="5016"/>
      </w:pPr>
      <w:rPr>
        <w:rFonts w:hint="default"/>
        <w:lang w:bidi="ar-SA" w:eastAsia="en-US" w:val="en-US"/>
      </w:rPr>
    </w:lvl>
    <w:lvl w:ilvl="7" w:tplc="1E1C59A4">
      <w:numFmt w:val="bullet"/>
      <w:lvlText w:val="•"/>
      <w:lvlJc w:val="left"/>
      <w:pPr>
        <w:ind w:hanging="240" w:left="5792"/>
      </w:pPr>
      <w:rPr>
        <w:rFonts w:hint="default"/>
        <w:lang w:bidi="ar-SA" w:eastAsia="en-US" w:val="en-US"/>
      </w:rPr>
    </w:lvl>
    <w:lvl w:ilvl="8" w:tplc="614E7348">
      <w:numFmt w:val="bullet"/>
      <w:lvlText w:val="•"/>
      <w:lvlJc w:val="left"/>
      <w:pPr>
        <w:ind w:hanging="240" w:left="6568"/>
      </w:pPr>
      <w:rPr>
        <w:rFonts w:hint="default"/>
        <w:lang w:bidi="ar-SA" w:eastAsia="en-US" w:val="en-US"/>
      </w:rPr>
    </w:lvl>
  </w:abstractNum>
  <w:abstractNum w15:restartNumberingAfterBreak="0" w:abstractNumId="2">
    <w:nsid w:val="19783F87"/>
    <w:multiLevelType w:val="hybridMultilevel"/>
    <w:tmpl w:val="BB0C5D72"/>
    <w:lvl w:ilvl="0" w:tplc="5B94B0C6">
      <w:start w:val="20"/>
      <w:numFmt w:val="decimal"/>
      <w:lvlText w:val="%1."/>
      <w:lvlJc w:val="left"/>
      <w:pPr>
        <w:ind w:hanging="240" w:left="359"/>
      </w:pPr>
      <w:rPr>
        <w:rFonts w:ascii="Times New Roman" w:cs="Times New Roman" w:eastAsia="Times New Roman" w:hAnsi="Times New Roman" w:hint="default"/>
        <w:color w:val="231F20"/>
        <w:w w:val="93"/>
        <w:sz w:val="18"/>
        <w:szCs w:val="18"/>
        <w:lang w:bidi="ar-SA" w:eastAsia="en-US" w:val="en-US"/>
      </w:rPr>
    </w:lvl>
    <w:lvl w:ilvl="1" w:tplc="071AEA36">
      <w:numFmt w:val="bullet"/>
      <w:lvlText w:val="•"/>
      <w:lvlJc w:val="left"/>
      <w:pPr>
        <w:ind w:hanging="240" w:left="1136"/>
      </w:pPr>
      <w:rPr>
        <w:rFonts w:hint="default"/>
        <w:lang w:bidi="ar-SA" w:eastAsia="en-US" w:val="en-US"/>
      </w:rPr>
    </w:lvl>
    <w:lvl w:ilvl="2" w:tplc="B1DE3F62">
      <w:numFmt w:val="bullet"/>
      <w:lvlText w:val="•"/>
      <w:lvlJc w:val="left"/>
      <w:pPr>
        <w:ind w:hanging="240" w:left="1912"/>
      </w:pPr>
      <w:rPr>
        <w:rFonts w:hint="default"/>
        <w:lang w:bidi="ar-SA" w:eastAsia="en-US" w:val="en-US"/>
      </w:rPr>
    </w:lvl>
    <w:lvl w:ilvl="3" w:tplc="0B4CBB1C">
      <w:numFmt w:val="bullet"/>
      <w:lvlText w:val="•"/>
      <w:lvlJc w:val="left"/>
      <w:pPr>
        <w:ind w:hanging="240" w:left="2688"/>
      </w:pPr>
      <w:rPr>
        <w:rFonts w:hint="default"/>
        <w:lang w:bidi="ar-SA" w:eastAsia="en-US" w:val="en-US"/>
      </w:rPr>
    </w:lvl>
    <w:lvl w:ilvl="4" w:tplc="D0783AD6">
      <w:numFmt w:val="bullet"/>
      <w:lvlText w:val="•"/>
      <w:lvlJc w:val="left"/>
      <w:pPr>
        <w:ind w:hanging="240" w:left="3464"/>
      </w:pPr>
      <w:rPr>
        <w:rFonts w:hint="default"/>
        <w:lang w:bidi="ar-SA" w:eastAsia="en-US" w:val="en-US"/>
      </w:rPr>
    </w:lvl>
    <w:lvl w:ilvl="5" w:tplc="785495FE">
      <w:numFmt w:val="bullet"/>
      <w:lvlText w:val="•"/>
      <w:lvlJc w:val="left"/>
      <w:pPr>
        <w:ind w:hanging="240" w:left="4240"/>
      </w:pPr>
      <w:rPr>
        <w:rFonts w:hint="default"/>
        <w:lang w:bidi="ar-SA" w:eastAsia="en-US" w:val="en-US"/>
      </w:rPr>
    </w:lvl>
    <w:lvl w:ilvl="6" w:tplc="CA989FCA">
      <w:numFmt w:val="bullet"/>
      <w:lvlText w:val="•"/>
      <w:lvlJc w:val="left"/>
      <w:pPr>
        <w:ind w:hanging="240" w:left="5016"/>
      </w:pPr>
      <w:rPr>
        <w:rFonts w:hint="default"/>
        <w:lang w:bidi="ar-SA" w:eastAsia="en-US" w:val="en-US"/>
      </w:rPr>
    </w:lvl>
    <w:lvl w:ilvl="7" w:tplc="A9A804A2">
      <w:numFmt w:val="bullet"/>
      <w:lvlText w:val="•"/>
      <w:lvlJc w:val="left"/>
      <w:pPr>
        <w:ind w:hanging="240" w:left="5792"/>
      </w:pPr>
      <w:rPr>
        <w:rFonts w:hint="default"/>
        <w:lang w:bidi="ar-SA" w:eastAsia="en-US" w:val="en-US"/>
      </w:rPr>
    </w:lvl>
    <w:lvl w:ilvl="8" w:tplc="FE3A9CE6">
      <w:numFmt w:val="bullet"/>
      <w:lvlText w:val="•"/>
      <w:lvlJc w:val="left"/>
      <w:pPr>
        <w:ind w:hanging="240" w:left="6568"/>
      </w:pPr>
      <w:rPr>
        <w:rFonts w:hint="default"/>
        <w:lang w:bidi="ar-SA" w:eastAsia="en-US" w:val="en-US"/>
      </w:rPr>
    </w:lvl>
  </w:abstractNum>
  <w:abstractNum w15:restartNumberingAfterBreak="0" w:abstractNumId="3">
    <w:nsid w:val="25630202"/>
    <w:multiLevelType w:val="multilevel"/>
    <w:tmpl w:val="A9B04262"/>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
    <w:nsid w:val="3267451E"/>
    <w:multiLevelType w:val="hybridMultilevel"/>
    <w:tmpl w:val="89B211AE"/>
    <w:lvl w:ilvl="0" w:tplc="8062AE06">
      <w:start w:val="1"/>
      <w:numFmt w:val="decimal"/>
      <w:lvlText w:val="%1"/>
      <w:lvlJc w:val="left"/>
      <w:pPr>
        <w:ind w:hanging="480" w:left="599"/>
      </w:pPr>
      <w:rPr>
        <w:rFonts w:hint="default"/>
        <w:b/>
        <w:bCs/>
        <w:w w:val="67"/>
        <w:lang w:bidi="ar-SA" w:eastAsia="en-US" w:val="en-US"/>
      </w:rPr>
    </w:lvl>
    <w:lvl w:ilvl="1" w:tplc="ACA4C584">
      <w:numFmt w:val="bullet"/>
      <w:lvlText w:val="•"/>
      <w:lvlJc w:val="left"/>
      <w:pPr>
        <w:ind w:hanging="480" w:left="1083"/>
      </w:pPr>
      <w:rPr>
        <w:rFonts w:hint="default"/>
        <w:lang w:bidi="ar-SA" w:eastAsia="en-US" w:val="en-US"/>
      </w:rPr>
    </w:lvl>
    <w:lvl w:ilvl="2" w:tplc="0BBC98C4">
      <w:numFmt w:val="bullet"/>
      <w:lvlText w:val="•"/>
      <w:lvlJc w:val="left"/>
      <w:pPr>
        <w:ind w:hanging="480" w:left="1567"/>
      </w:pPr>
      <w:rPr>
        <w:rFonts w:hint="default"/>
        <w:lang w:bidi="ar-SA" w:eastAsia="en-US" w:val="en-US"/>
      </w:rPr>
    </w:lvl>
    <w:lvl w:ilvl="3" w:tplc="03A064EA">
      <w:numFmt w:val="bullet"/>
      <w:lvlText w:val="•"/>
      <w:lvlJc w:val="left"/>
      <w:pPr>
        <w:ind w:hanging="480" w:left="2051"/>
      </w:pPr>
      <w:rPr>
        <w:rFonts w:hint="default"/>
        <w:lang w:bidi="ar-SA" w:eastAsia="en-US" w:val="en-US"/>
      </w:rPr>
    </w:lvl>
    <w:lvl w:ilvl="4" w:tplc="02A4A092">
      <w:numFmt w:val="bullet"/>
      <w:lvlText w:val="•"/>
      <w:lvlJc w:val="left"/>
      <w:pPr>
        <w:ind w:hanging="480" w:left="2535"/>
      </w:pPr>
      <w:rPr>
        <w:rFonts w:hint="default"/>
        <w:lang w:bidi="ar-SA" w:eastAsia="en-US" w:val="en-US"/>
      </w:rPr>
    </w:lvl>
    <w:lvl w:ilvl="5" w:tplc="90580C6A">
      <w:numFmt w:val="bullet"/>
      <w:lvlText w:val="•"/>
      <w:lvlJc w:val="left"/>
      <w:pPr>
        <w:ind w:hanging="480" w:left="3019"/>
      </w:pPr>
      <w:rPr>
        <w:rFonts w:hint="default"/>
        <w:lang w:bidi="ar-SA" w:eastAsia="en-US" w:val="en-US"/>
      </w:rPr>
    </w:lvl>
    <w:lvl w:ilvl="6" w:tplc="82162DF8">
      <w:numFmt w:val="bullet"/>
      <w:lvlText w:val="•"/>
      <w:lvlJc w:val="left"/>
      <w:pPr>
        <w:ind w:hanging="480" w:left="3503"/>
      </w:pPr>
      <w:rPr>
        <w:rFonts w:hint="default"/>
        <w:lang w:bidi="ar-SA" w:eastAsia="en-US" w:val="en-US"/>
      </w:rPr>
    </w:lvl>
    <w:lvl w:ilvl="7" w:tplc="EF986290">
      <w:numFmt w:val="bullet"/>
      <w:lvlText w:val="•"/>
      <w:lvlJc w:val="left"/>
      <w:pPr>
        <w:ind w:hanging="480" w:left="3987"/>
      </w:pPr>
      <w:rPr>
        <w:rFonts w:hint="default"/>
        <w:lang w:bidi="ar-SA" w:eastAsia="en-US" w:val="en-US"/>
      </w:rPr>
    </w:lvl>
    <w:lvl w:ilvl="8" w:tplc="AEA46BFA">
      <w:numFmt w:val="bullet"/>
      <w:lvlText w:val="•"/>
      <w:lvlJc w:val="left"/>
      <w:pPr>
        <w:ind w:hanging="480" w:left="4471"/>
      </w:pPr>
      <w:rPr>
        <w:rFonts w:hint="default"/>
        <w:lang w:bidi="ar-SA" w:eastAsia="en-US" w:val="en-US"/>
      </w:rPr>
    </w:lvl>
  </w:abstractNum>
  <w:abstractNum w15:restartNumberingAfterBreak="0" w:abstractNumId="5">
    <w:nsid w:val="34835332"/>
    <w:multiLevelType w:val="hybridMultilevel"/>
    <w:tmpl w:val="F3B05E94"/>
    <w:lvl w:ilvl="0" w:tplc="7D98CD52">
      <w:start w:val="1"/>
      <w:numFmt w:val="decimal"/>
      <w:lvlText w:val="%1."/>
      <w:lvlJc w:val="left"/>
      <w:pPr>
        <w:ind w:hanging="360" w:left="530"/>
      </w:pPr>
    </w:lvl>
    <w:lvl w:ilvl="1" w:tentative="1" w:tplc="1C090019">
      <w:start w:val="1"/>
      <w:numFmt w:val="lowerLetter"/>
      <w:lvlText w:val="%2."/>
      <w:lvlJc w:val="left"/>
      <w:pPr>
        <w:ind w:hanging="360" w:left="1250"/>
      </w:pPr>
    </w:lvl>
    <w:lvl w:ilvl="2" w:tentative="1" w:tplc="1C09001B">
      <w:start w:val="1"/>
      <w:numFmt w:val="lowerRoman"/>
      <w:lvlText w:val="%3."/>
      <w:lvlJc w:val="right"/>
      <w:pPr>
        <w:ind w:hanging="180" w:left="1970"/>
      </w:pPr>
    </w:lvl>
    <w:lvl w:ilvl="3" w:tentative="1" w:tplc="1C09000F">
      <w:start w:val="1"/>
      <w:numFmt w:val="decimal"/>
      <w:lvlText w:val="%4."/>
      <w:lvlJc w:val="left"/>
      <w:pPr>
        <w:ind w:hanging="360" w:left="2690"/>
      </w:pPr>
    </w:lvl>
    <w:lvl w:ilvl="4" w:tentative="1" w:tplc="1C090019">
      <w:start w:val="1"/>
      <w:numFmt w:val="lowerLetter"/>
      <w:lvlText w:val="%5."/>
      <w:lvlJc w:val="left"/>
      <w:pPr>
        <w:ind w:hanging="360" w:left="3410"/>
      </w:pPr>
    </w:lvl>
    <w:lvl w:ilvl="5" w:tentative="1" w:tplc="1C09001B">
      <w:start w:val="1"/>
      <w:numFmt w:val="lowerRoman"/>
      <w:lvlText w:val="%6."/>
      <w:lvlJc w:val="right"/>
      <w:pPr>
        <w:ind w:hanging="180" w:left="4130"/>
      </w:pPr>
    </w:lvl>
    <w:lvl w:ilvl="6" w:tentative="1" w:tplc="1C09000F">
      <w:start w:val="1"/>
      <w:numFmt w:val="decimal"/>
      <w:lvlText w:val="%7."/>
      <w:lvlJc w:val="left"/>
      <w:pPr>
        <w:ind w:hanging="360" w:left="4850"/>
      </w:pPr>
    </w:lvl>
    <w:lvl w:ilvl="7" w:tentative="1" w:tplc="1C090019">
      <w:start w:val="1"/>
      <w:numFmt w:val="lowerLetter"/>
      <w:lvlText w:val="%8."/>
      <w:lvlJc w:val="left"/>
      <w:pPr>
        <w:ind w:hanging="360" w:left="5570"/>
      </w:pPr>
    </w:lvl>
    <w:lvl w:ilvl="8" w:tentative="1" w:tplc="1C09001B">
      <w:start w:val="1"/>
      <w:numFmt w:val="lowerRoman"/>
      <w:lvlText w:val="%9."/>
      <w:lvlJc w:val="right"/>
      <w:pPr>
        <w:ind w:hanging="180" w:left="6290"/>
      </w:pPr>
    </w:lvl>
  </w:abstractNum>
  <w:abstractNum w15:restartNumberingAfterBreak="0" w:abstractNumId="6">
    <w:nsid w:val="35F94D4D"/>
    <w:multiLevelType w:val="hybridMultilevel"/>
    <w:tmpl w:val="730E513C"/>
    <w:lvl w:ilvl="0" w:tplc="DE62DAE0">
      <w:start w:val="38"/>
      <w:numFmt w:val="decimal"/>
      <w:lvlText w:val="%1."/>
      <w:lvlJc w:val="left"/>
      <w:pPr>
        <w:ind w:hanging="240" w:left="359"/>
      </w:pPr>
      <w:rPr>
        <w:rFonts w:ascii="Times New Roman" w:cs="Times New Roman" w:eastAsia="Times New Roman" w:hAnsi="Times New Roman" w:hint="default"/>
        <w:color w:val="231F20"/>
        <w:spacing w:val="0"/>
        <w:w w:val="90"/>
        <w:sz w:val="18"/>
        <w:szCs w:val="18"/>
        <w:lang w:bidi="ar-SA" w:eastAsia="en-US" w:val="en-US"/>
      </w:rPr>
    </w:lvl>
    <w:lvl w:ilvl="1" w:tplc="5944FCC8">
      <w:numFmt w:val="bullet"/>
      <w:lvlText w:val="•"/>
      <w:lvlJc w:val="left"/>
      <w:pPr>
        <w:ind w:hanging="240" w:left="1136"/>
      </w:pPr>
      <w:rPr>
        <w:rFonts w:hint="default"/>
        <w:lang w:bidi="ar-SA" w:eastAsia="en-US" w:val="en-US"/>
      </w:rPr>
    </w:lvl>
    <w:lvl w:ilvl="2" w:tplc="1892EDC6">
      <w:numFmt w:val="bullet"/>
      <w:lvlText w:val="•"/>
      <w:lvlJc w:val="left"/>
      <w:pPr>
        <w:ind w:hanging="240" w:left="1912"/>
      </w:pPr>
      <w:rPr>
        <w:rFonts w:hint="default"/>
        <w:lang w:bidi="ar-SA" w:eastAsia="en-US" w:val="en-US"/>
      </w:rPr>
    </w:lvl>
    <w:lvl w:ilvl="3" w:tplc="84ECF1F2">
      <w:numFmt w:val="bullet"/>
      <w:lvlText w:val="•"/>
      <w:lvlJc w:val="left"/>
      <w:pPr>
        <w:ind w:hanging="240" w:left="2688"/>
      </w:pPr>
      <w:rPr>
        <w:rFonts w:hint="default"/>
        <w:lang w:bidi="ar-SA" w:eastAsia="en-US" w:val="en-US"/>
      </w:rPr>
    </w:lvl>
    <w:lvl w:ilvl="4" w:tplc="7CB4619E">
      <w:numFmt w:val="bullet"/>
      <w:lvlText w:val="•"/>
      <w:lvlJc w:val="left"/>
      <w:pPr>
        <w:ind w:hanging="240" w:left="3464"/>
      </w:pPr>
      <w:rPr>
        <w:rFonts w:hint="default"/>
        <w:lang w:bidi="ar-SA" w:eastAsia="en-US" w:val="en-US"/>
      </w:rPr>
    </w:lvl>
    <w:lvl w:ilvl="5" w:tplc="6C3EE6F4">
      <w:numFmt w:val="bullet"/>
      <w:lvlText w:val="•"/>
      <w:lvlJc w:val="left"/>
      <w:pPr>
        <w:ind w:hanging="240" w:left="4240"/>
      </w:pPr>
      <w:rPr>
        <w:rFonts w:hint="default"/>
        <w:lang w:bidi="ar-SA" w:eastAsia="en-US" w:val="en-US"/>
      </w:rPr>
    </w:lvl>
    <w:lvl w:ilvl="6" w:tplc="B57A9EDC">
      <w:numFmt w:val="bullet"/>
      <w:lvlText w:val="•"/>
      <w:lvlJc w:val="left"/>
      <w:pPr>
        <w:ind w:hanging="240" w:left="5016"/>
      </w:pPr>
      <w:rPr>
        <w:rFonts w:hint="default"/>
        <w:lang w:bidi="ar-SA" w:eastAsia="en-US" w:val="en-US"/>
      </w:rPr>
    </w:lvl>
    <w:lvl w:ilvl="7" w:tplc="E5DEF972">
      <w:numFmt w:val="bullet"/>
      <w:lvlText w:val="•"/>
      <w:lvlJc w:val="left"/>
      <w:pPr>
        <w:ind w:hanging="240" w:left="5792"/>
      </w:pPr>
      <w:rPr>
        <w:rFonts w:hint="default"/>
        <w:lang w:bidi="ar-SA" w:eastAsia="en-US" w:val="en-US"/>
      </w:rPr>
    </w:lvl>
    <w:lvl w:ilvl="8" w:tplc="571C4C4E">
      <w:numFmt w:val="bullet"/>
      <w:lvlText w:val="•"/>
      <w:lvlJc w:val="left"/>
      <w:pPr>
        <w:ind w:hanging="240" w:left="6568"/>
      </w:pPr>
      <w:rPr>
        <w:rFonts w:hint="default"/>
        <w:lang w:bidi="ar-SA" w:eastAsia="en-US" w:val="en-US"/>
      </w:rPr>
    </w:lvl>
  </w:abstractNum>
  <w:abstractNum w15:restartNumberingAfterBreak="0" w:abstractNumId="7">
    <w:nsid w:val="548B298F"/>
    <w:multiLevelType w:val="hybridMultilevel"/>
    <w:tmpl w:val="18EA27CA"/>
    <w:lvl w:ilvl="0" w:tplc="1C090001">
      <w:start w:val="1"/>
      <w:numFmt w:val="bullet"/>
      <w:lvlText w:val=""/>
      <w:lvlJc w:val="left"/>
      <w:pPr>
        <w:ind w:hanging="360" w:left="720"/>
      </w:pPr>
      <w:rPr>
        <w:rFonts w:ascii="Symbol" w:hAnsi="Symbol" w:hint="default"/>
      </w:rPr>
    </w:lvl>
    <w:lvl w:ilvl="1" w:tentative="1" w:tplc="1C090003">
      <w:start w:val="1"/>
      <w:numFmt w:val="bullet"/>
      <w:lvlText w:val="o"/>
      <w:lvlJc w:val="left"/>
      <w:pPr>
        <w:ind w:hanging="360" w:left="1440"/>
      </w:pPr>
      <w:rPr>
        <w:rFonts w:ascii="Courier New" w:cs="Courier New" w:hAnsi="Courier New" w:hint="default"/>
      </w:rPr>
    </w:lvl>
    <w:lvl w:ilvl="2" w:tentative="1" w:tplc="1C090005">
      <w:start w:val="1"/>
      <w:numFmt w:val="bullet"/>
      <w:lvlText w:val=""/>
      <w:lvlJc w:val="left"/>
      <w:pPr>
        <w:ind w:hanging="360" w:left="2160"/>
      </w:pPr>
      <w:rPr>
        <w:rFonts w:ascii="Wingdings" w:hAnsi="Wingdings" w:hint="default"/>
      </w:rPr>
    </w:lvl>
    <w:lvl w:ilvl="3" w:tentative="1" w:tplc="1C090001">
      <w:start w:val="1"/>
      <w:numFmt w:val="bullet"/>
      <w:lvlText w:val=""/>
      <w:lvlJc w:val="left"/>
      <w:pPr>
        <w:ind w:hanging="360" w:left="2880"/>
      </w:pPr>
      <w:rPr>
        <w:rFonts w:ascii="Symbol" w:hAnsi="Symbol" w:hint="default"/>
      </w:rPr>
    </w:lvl>
    <w:lvl w:ilvl="4" w:tentative="1" w:tplc="1C090003">
      <w:start w:val="1"/>
      <w:numFmt w:val="bullet"/>
      <w:lvlText w:val="o"/>
      <w:lvlJc w:val="left"/>
      <w:pPr>
        <w:ind w:hanging="360" w:left="3600"/>
      </w:pPr>
      <w:rPr>
        <w:rFonts w:ascii="Courier New" w:cs="Courier New" w:hAnsi="Courier New" w:hint="default"/>
      </w:rPr>
    </w:lvl>
    <w:lvl w:ilvl="5" w:tentative="1" w:tplc="1C090005">
      <w:start w:val="1"/>
      <w:numFmt w:val="bullet"/>
      <w:lvlText w:val=""/>
      <w:lvlJc w:val="left"/>
      <w:pPr>
        <w:ind w:hanging="360" w:left="4320"/>
      </w:pPr>
      <w:rPr>
        <w:rFonts w:ascii="Wingdings" w:hAnsi="Wingdings" w:hint="default"/>
      </w:rPr>
    </w:lvl>
    <w:lvl w:ilvl="6" w:tentative="1" w:tplc="1C090001">
      <w:start w:val="1"/>
      <w:numFmt w:val="bullet"/>
      <w:lvlText w:val=""/>
      <w:lvlJc w:val="left"/>
      <w:pPr>
        <w:ind w:hanging="360" w:left="5040"/>
      </w:pPr>
      <w:rPr>
        <w:rFonts w:ascii="Symbol" w:hAnsi="Symbol" w:hint="default"/>
      </w:rPr>
    </w:lvl>
    <w:lvl w:ilvl="7" w:tentative="1" w:tplc="1C090003">
      <w:start w:val="1"/>
      <w:numFmt w:val="bullet"/>
      <w:lvlText w:val="o"/>
      <w:lvlJc w:val="left"/>
      <w:pPr>
        <w:ind w:hanging="360" w:left="5760"/>
      </w:pPr>
      <w:rPr>
        <w:rFonts w:ascii="Courier New" w:cs="Courier New" w:hAnsi="Courier New" w:hint="default"/>
      </w:rPr>
    </w:lvl>
    <w:lvl w:ilvl="8" w:tentative="1" w:tplc="1C090005">
      <w:start w:val="1"/>
      <w:numFmt w:val="bullet"/>
      <w:lvlText w:val=""/>
      <w:lvlJc w:val="left"/>
      <w:pPr>
        <w:ind w:hanging="360" w:left="6480"/>
      </w:pPr>
      <w:rPr>
        <w:rFonts w:ascii="Wingdings" w:hAnsi="Wingdings" w:hint="default"/>
      </w:rPr>
    </w:lvl>
  </w:abstractNum>
  <w:abstractNum w15:restartNumberingAfterBreak="0" w:abstractNumId="8">
    <w:nsid w:val="65105DD1"/>
    <w:multiLevelType w:val="hybridMultilevel"/>
    <w:tmpl w:val="CDF0F3B6"/>
    <w:lvl w:ilvl="0" w:tplc="3B1E4E5A">
      <w:start w:val="33"/>
      <w:numFmt w:val="decimal"/>
      <w:lvlText w:val="%1."/>
      <w:lvlJc w:val="left"/>
      <w:pPr>
        <w:ind w:hanging="240" w:left="359"/>
      </w:pPr>
      <w:rPr>
        <w:rFonts w:ascii="Times New Roman" w:cs="Times New Roman" w:eastAsia="Times New Roman" w:hAnsi="Times New Roman" w:hint="default"/>
        <w:color w:val="231F20"/>
        <w:spacing w:val="-3"/>
        <w:w w:val="90"/>
        <w:sz w:val="18"/>
        <w:szCs w:val="18"/>
        <w:lang w:bidi="ar-SA" w:eastAsia="en-US" w:val="en-US"/>
      </w:rPr>
    </w:lvl>
    <w:lvl w:ilvl="1" w:tplc="3D58CD36">
      <w:numFmt w:val="bullet"/>
      <w:lvlText w:val="•"/>
      <w:lvlJc w:val="left"/>
      <w:pPr>
        <w:ind w:hanging="240" w:left="1136"/>
      </w:pPr>
      <w:rPr>
        <w:rFonts w:hint="default"/>
        <w:lang w:bidi="ar-SA" w:eastAsia="en-US" w:val="en-US"/>
      </w:rPr>
    </w:lvl>
    <w:lvl w:ilvl="2" w:tplc="5074DDC2">
      <w:numFmt w:val="bullet"/>
      <w:lvlText w:val="•"/>
      <w:lvlJc w:val="left"/>
      <w:pPr>
        <w:ind w:hanging="240" w:left="1912"/>
      </w:pPr>
      <w:rPr>
        <w:rFonts w:hint="default"/>
        <w:lang w:bidi="ar-SA" w:eastAsia="en-US" w:val="en-US"/>
      </w:rPr>
    </w:lvl>
    <w:lvl w:ilvl="3" w:tplc="039E1F4A">
      <w:numFmt w:val="bullet"/>
      <w:lvlText w:val="•"/>
      <w:lvlJc w:val="left"/>
      <w:pPr>
        <w:ind w:hanging="240" w:left="2688"/>
      </w:pPr>
      <w:rPr>
        <w:rFonts w:hint="default"/>
        <w:lang w:bidi="ar-SA" w:eastAsia="en-US" w:val="en-US"/>
      </w:rPr>
    </w:lvl>
    <w:lvl w:ilvl="4" w:tplc="BABAEFBA">
      <w:numFmt w:val="bullet"/>
      <w:lvlText w:val="•"/>
      <w:lvlJc w:val="left"/>
      <w:pPr>
        <w:ind w:hanging="240" w:left="3464"/>
      </w:pPr>
      <w:rPr>
        <w:rFonts w:hint="default"/>
        <w:lang w:bidi="ar-SA" w:eastAsia="en-US" w:val="en-US"/>
      </w:rPr>
    </w:lvl>
    <w:lvl w:ilvl="5" w:tplc="71B6D9C8">
      <w:numFmt w:val="bullet"/>
      <w:lvlText w:val="•"/>
      <w:lvlJc w:val="left"/>
      <w:pPr>
        <w:ind w:hanging="240" w:left="4240"/>
      </w:pPr>
      <w:rPr>
        <w:rFonts w:hint="default"/>
        <w:lang w:bidi="ar-SA" w:eastAsia="en-US" w:val="en-US"/>
      </w:rPr>
    </w:lvl>
    <w:lvl w:ilvl="6" w:tplc="7FCC5372">
      <w:numFmt w:val="bullet"/>
      <w:lvlText w:val="•"/>
      <w:lvlJc w:val="left"/>
      <w:pPr>
        <w:ind w:hanging="240" w:left="5016"/>
      </w:pPr>
      <w:rPr>
        <w:rFonts w:hint="default"/>
        <w:lang w:bidi="ar-SA" w:eastAsia="en-US" w:val="en-US"/>
      </w:rPr>
    </w:lvl>
    <w:lvl w:ilvl="7" w:tplc="D3A0598C">
      <w:numFmt w:val="bullet"/>
      <w:lvlText w:val="•"/>
      <w:lvlJc w:val="left"/>
      <w:pPr>
        <w:ind w:hanging="240" w:left="5792"/>
      </w:pPr>
      <w:rPr>
        <w:rFonts w:hint="default"/>
        <w:lang w:bidi="ar-SA" w:eastAsia="en-US" w:val="en-US"/>
      </w:rPr>
    </w:lvl>
    <w:lvl w:ilvl="8" w:tplc="BA76DED4">
      <w:numFmt w:val="bullet"/>
      <w:lvlText w:val="•"/>
      <w:lvlJc w:val="left"/>
      <w:pPr>
        <w:ind w:hanging="240" w:left="6568"/>
      </w:pPr>
      <w:rPr>
        <w:rFonts w:hint="default"/>
        <w:lang w:bidi="ar-SA" w:eastAsia="en-US" w:val="en-US"/>
      </w:rPr>
    </w:lvl>
  </w:abstractNum>
  <w:abstractNum w15:restartNumberingAfterBreak="0" w:abstractNumId="9">
    <w:nsid w:val="66AF218F"/>
    <w:multiLevelType w:val="hybridMultilevel"/>
    <w:tmpl w:val="24261D34"/>
    <w:lvl w:ilvl="0" w:tplc="C84CBFD6">
      <w:start w:val="17"/>
      <w:numFmt w:val="decimal"/>
      <w:lvlText w:val="%1."/>
      <w:lvlJc w:val="left"/>
      <w:pPr>
        <w:ind w:hanging="240" w:left="359"/>
      </w:pPr>
      <w:rPr>
        <w:rFonts w:ascii="Times New Roman" w:cs="Times New Roman" w:eastAsia="Times New Roman" w:hAnsi="Times New Roman" w:hint="default"/>
        <w:color w:val="231F20"/>
        <w:spacing w:val="-2"/>
        <w:w w:val="80"/>
        <w:sz w:val="18"/>
        <w:szCs w:val="18"/>
        <w:lang w:bidi="ar-SA" w:eastAsia="en-US" w:val="en-US"/>
      </w:rPr>
    </w:lvl>
    <w:lvl w:ilvl="1" w:tplc="2E40AE92">
      <w:numFmt w:val="bullet"/>
      <w:lvlText w:val="•"/>
      <w:lvlJc w:val="left"/>
      <w:pPr>
        <w:ind w:hanging="240" w:left="1136"/>
      </w:pPr>
      <w:rPr>
        <w:rFonts w:hint="default"/>
        <w:lang w:bidi="ar-SA" w:eastAsia="en-US" w:val="en-US"/>
      </w:rPr>
    </w:lvl>
    <w:lvl w:ilvl="2" w:tplc="9222A39C">
      <w:numFmt w:val="bullet"/>
      <w:lvlText w:val="•"/>
      <w:lvlJc w:val="left"/>
      <w:pPr>
        <w:ind w:hanging="240" w:left="1912"/>
      </w:pPr>
      <w:rPr>
        <w:rFonts w:hint="default"/>
        <w:lang w:bidi="ar-SA" w:eastAsia="en-US" w:val="en-US"/>
      </w:rPr>
    </w:lvl>
    <w:lvl w:ilvl="3" w:tplc="13645A64">
      <w:numFmt w:val="bullet"/>
      <w:lvlText w:val="•"/>
      <w:lvlJc w:val="left"/>
      <w:pPr>
        <w:ind w:hanging="240" w:left="2688"/>
      </w:pPr>
      <w:rPr>
        <w:rFonts w:hint="default"/>
        <w:lang w:bidi="ar-SA" w:eastAsia="en-US" w:val="en-US"/>
      </w:rPr>
    </w:lvl>
    <w:lvl w:ilvl="4" w:tplc="225C6860">
      <w:numFmt w:val="bullet"/>
      <w:lvlText w:val="•"/>
      <w:lvlJc w:val="left"/>
      <w:pPr>
        <w:ind w:hanging="240" w:left="3464"/>
      </w:pPr>
      <w:rPr>
        <w:rFonts w:hint="default"/>
        <w:lang w:bidi="ar-SA" w:eastAsia="en-US" w:val="en-US"/>
      </w:rPr>
    </w:lvl>
    <w:lvl w:ilvl="5" w:tplc="B296A9FA">
      <w:numFmt w:val="bullet"/>
      <w:lvlText w:val="•"/>
      <w:lvlJc w:val="left"/>
      <w:pPr>
        <w:ind w:hanging="240" w:left="4240"/>
      </w:pPr>
      <w:rPr>
        <w:rFonts w:hint="default"/>
        <w:lang w:bidi="ar-SA" w:eastAsia="en-US" w:val="en-US"/>
      </w:rPr>
    </w:lvl>
    <w:lvl w:ilvl="6" w:tplc="8B20DAB2">
      <w:numFmt w:val="bullet"/>
      <w:lvlText w:val="•"/>
      <w:lvlJc w:val="left"/>
      <w:pPr>
        <w:ind w:hanging="240" w:left="5016"/>
      </w:pPr>
      <w:rPr>
        <w:rFonts w:hint="default"/>
        <w:lang w:bidi="ar-SA" w:eastAsia="en-US" w:val="en-US"/>
      </w:rPr>
    </w:lvl>
    <w:lvl w:ilvl="7" w:tplc="9AD432EC">
      <w:numFmt w:val="bullet"/>
      <w:lvlText w:val="•"/>
      <w:lvlJc w:val="left"/>
      <w:pPr>
        <w:ind w:hanging="240" w:left="5792"/>
      </w:pPr>
      <w:rPr>
        <w:rFonts w:hint="default"/>
        <w:lang w:bidi="ar-SA" w:eastAsia="en-US" w:val="en-US"/>
      </w:rPr>
    </w:lvl>
    <w:lvl w:ilvl="8" w:tplc="07BAD506">
      <w:numFmt w:val="bullet"/>
      <w:lvlText w:val="•"/>
      <w:lvlJc w:val="left"/>
      <w:pPr>
        <w:ind w:hanging="240" w:left="6568"/>
      </w:pPr>
      <w:rPr>
        <w:rFonts w:hint="default"/>
        <w:lang w:bidi="ar-SA" w:eastAsia="en-US" w:val="en-US"/>
      </w:rPr>
    </w:lvl>
  </w:abstractNum>
  <w:abstractNum w15:restartNumberingAfterBreak="0" w:abstractNumId="10">
    <w:nsid w:val="68B238FE"/>
    <w:multiLevelType w:val="hybridMultilevel"/>
    <w:tmpl w:val="3200B046"/>
    <w:lvl w:ilvl="0" w:tplc="E7846922">
      <w:start w:val="14"/>
      <w:numFmt w:val="decimal"/>
      <w:lvlText w:val="%1."/>
      <w:lvlJc w:val="left"/>
      <w:pPr>
        <w:ind w:hanging="240" w:left="359"/>
      </w:pPr>
      <w:rPr>
        <w:rFonts w:ascii="Times New Roman" w:cs="Times New Roman" w:eastAsia="Times New Roman" w:hAnsi="Times New Roman" w:hint="default"/>
        <w:color w:val="231F20"/>
        <w:spacing w:val="-3"/>
        <w:w w:val="83"/>
        <w:sz w:val="18"/>
        <w:szCs w:val="18"/>
        <w:lang w:bidi="ar-SA" w:eastAsia="en-US" w:val="en-US"/>
      </w:rPr>
    </w:lvl>
    <w:lvl w:ilvl="1" w:tplc="99749048">
      <w:numFmt w:val="bullet"/>
      <w:lvlText w:val="•"/>
      <w:lvlJc w:val="left"/>
      <w:pPr>
        <w:ind w:hanging="240" w:left="1136"/>
      </w:pPr>
      <w:rPr>
        <w:rFonts w:hint="default"/>
        <w:lang w:bidi="ar-SA" w:eastAsia="en-US" w:val="en-US"/>
      </w:rPr>
    </w:lvl>
    <w:lvl w:ilvl="2" w:tplc="A7FE3066">
      <w:numFmt w:val="bullet"/>
      <w:lvlText w:val="•"/>
      <w:lvlJc w:val="left"/>
      <w:pPr>
        <w:ind w:hanging="240" w:left="1912"/>
      </w:pPr>
      <w:rPr>
        <w:rFonts w:hint="default"/>
        <w:lang w:bidi="ar-SA" w:eastAsia="en-US" w:val="en-US"/>
      </w:rPr>
    </w:lvl>
    <w:lvl w:ilvl="3" w:tplc="3D3A404C">
      <w:numFmt w:val="bullet"/>
      <w:lvlText w:val="•"/>
      <w:lvlJc w:val="left"/>
      <w:pPr>
        <w:ind w:hanging="240" w:left="2688"/>
      </w:pPr>
      <w:rPr>
        <w:rFonts w:hint="default"/>
        <w:lang w:bidi="ar-SA" w:eastAsia="en-US" w:val="en-US"/>
      </w:rPr>
    </w:lvl>
    <w:lvl w:ilvl="4" w:tplc="32A088C0">
      <w:numFmt w:val="bullet"/>
      <w:lvlText w:val="•"/>
      <w:lvlJc w:val="left"/>
      <w:pPr>
        <w:ind w:hanging="240" w:left="3464"/>
      </w:pPr>
      <w:rPr>
        <w:rFonts w:hint="default"/>
        <w:lang w:bidi="ar-SA" w:eastAsia="en-US" w:val="en-US"/>
      </w:rPr>
    </w:lvl>
    <w:lvl w:ilvl="5" w:tplc="C4C8AFDE">
      <w:numFmt w:val="bullet"/>
      <w:lvlText w:val="•"/>
      <w:lvlJc w:val="left"/>
      <w:pPr>
        <w:ind w:hanging="240" w:left="4240"/>
      </w:pPr>
      <w:rPr>
        <w:rFonts w:hint="default"/>
        <w:lang w:bidi="ar-SA" w:eastAsia="en-US" w:val="en-US"/>
      </w:rPr>
    </w:lvl>
    <w:lvl w:ilvl="6" w:tplc="7D50F4B8">
      <w:numFmt w:val="bullet"/>
      <w:lvlText w:val="•"/>
      <w:lvlJc w:val="left"/>
      <w:pPr>
        <w:ind w:hanging="240" w:left="5016"/>
      </w:pPr>
      <w:rPr>
        <w:rFonts w:hint="default"/>
        <w:lang w:bidi="ar-SA" w:eastAsia="en-US" w:val="en-US"/>
      </w:rPr>
    </w:lvl>
    <w:lvl w:ilvl="7" w:tplc="C5C0CCC4">
      <w:numFmt w:val="bullet"/>
      <w:lvlText w:val="•"/>
      <w:lvlJc w:val="left"/>
      <w:pPr>
        <w:ind w:hanging="240" w:left="5792"/>
      </w:pPr>
      <w:rPr>
        <w:rFonts w:hint="default"/>
        <w:lang w:bidi="ar-SA" w:eastAsia="en-US" w:val="en-US"/>
      </w:rPr>
    </w:lvl>
    <w:lvl w:ilvl="8" w:tplc="1400C8BA">
      <w:numFmt w:val="bullet"/>
      <w:lvlText w:val="•"/>
      <w:lvlJc w:val="left"/>
      <w:pPr>
        <w:ind w:hanging="240" w:left="6568"/>
      </w:pPr>
      <w:rPr>
        <w:rFonts w:hint="default"/>
        <w:lang w:bidi="ar-SA" w:eastAsia="en-US" w:val="en-US"/>
      </w:rPr>
    </w:lvl>
  </w:abstractNum>
  <w:abstractNum w15:restartNumberingAfterBreak="0" w:abstractNumId="11">
    <w:nsid w:val="6C717698"/>
    <w:multiLevelType w:val="hybridMultilevel"/>
    <w:tmpl w:val="13F640C2"/>
    <w:lvl w:ilvl="0" w:tplc="AEF46D7C">
      <w:start w:val="3"/>
      <w:numFmt w:val="decimal"/>
      <w:lvlText w:val="%1."/>
      <w:lvlJc w:val="left"/>
      <w:pPr>
        <w:ind w:hanging="240" w:left="359"/>
      </w:pPr>
      <w:rPr>
        <w:rFonts w:ascii="Times New Roman" w:cs="Times New Roman" w:eastAsia="Times New Roman" w:hAnsi="Times New Roman" w:hint="default"/>
        <w:color w:val="231F20"/>
        <w:w w:val="90"/>
        <w:sz w:val="18"/>
        <w:szCs w:val="18"/>
        <w:lang w:bidi="ar-SA" w:eastAsia="en-US" w:val="en-US"/>
      </w:rPr>
    </w:lvl>
    <w:lvl w:ilvl="1" w:tplc="B980EE52">
      <w:numFmt w:val="bullet"/>
      <w:lvlText w:val="•"/>
      <w:lvlJc w:val="left"/>
      <w:pPr>
        <w:ind w:hanging="240" w:left="1136"/>
      </w:pPr>
      <w:rPr>
        <w:rFonts w:hint="default"/>
        <w:lang w:bidi="ar-SA" w:eastAsia="en-US" w:val="en-US"/>
      </w:rPr>
    </w:lvl>
    <w:lvl w:ilvl="2" w:tplc="48FC723A">
      <w:numFmt w:val="bullet"/>
      <w:lvlText w:val="•"/>
      <w:lvlJc w:val="left"/>
      <w:pPr>
        <w:ind w:hanging="240" w:left="1912"/>
      </w:pPr>
      <w:rPr>
        <w:rFonts w:hint="default"/>
        <w:lang w:bidi="ar-SA" w:eastAsia="en-US" w:val="en-US"/>
      </w:rPr>
    </w:lvl>
    <w:lvl w:ilvl="3" w:tplc="89E80606">
      <w:numFmt w:val="bullet"/>
      <w:lvlText w:val="•"/>
      <w:lvlJc w:val="left"/>
      <w:pPr>
        <w:ind w:hanging="240" w:left="2688"/>
      </w:pPr>
      <w:rPr>
        <w:rFonts w:hint="default"/>
        <w:lang w:bidi="ar-SA" w:eastAsia="en-US" w:val="en-US"/>
      </w:rPr>
    </w:lvl>
    <w:lvl w:ilvl="4" w:tplc="94C0F876">
      <w:numFmt w:val="bullet"/>
      <w:lvlText w:val="•"/>
      <w:lvlJc w:val="left"/>
      <w:pPr>
        <w:ind w:hanging="240" w:left="3464"/>
      </w:pPr>
      <w:rPr>
        <w:rFonts w:hint="default"/>
        <w:lang w:bidi="ar-SA" w:eastAsia="en-US" w:val="en-US"/>
      </w:rPr>
    </w:lvl>
    <w:lvl w:ilvl="5" w:tplc="4BC2A3D2">
      <w:numFmt w:val="bullet"/>
      <w:lvlText w:val="•"/>
      <w:lvlJc w:val="left"/>
      <w:pPr>
        <w:ind w:hanging="240" w:left="4240"/>
      </w:pPr>
      <w:rPr>
        <w:rFonts w:hint="default"/>
        <w:lang w:bidi="ar-SA" w:eastAsia="en-US" w:val="en-US"/>
      </w:rPr>
    </w:lvl>
    <w:lvl w:ilvl="6" w:tplc="5D726FBC">
      <w:numFmt w:val="bullet"/>
      <w:lvlText w:val="•"/>
      <w:lvlJc w:val="left"/>
      <w:pPr>
        <w:ind w:hanging="240" w:left="5016"/>
      </w:pPr>
      <w:rPr>
        <w:rFonts w:hint="default"/>
        <w:lang w:bidi="ar-SA" w:eastAsia="en-US" w:val="en-US"/>
      </w:rPr>
    </w:lvl>
    <w:lvl w:ilvl="7" w:tplc="E0CC94C6">
      <w:numFmt w:val="bullet"/>
      <w:lvlText w:val="•"/>
      <w:lvlJc w:val="left"/>
      <w:pPr>
        <w:ind w:hanging="240" w:left="5792"/>
      </w:pPr>
      <w:rPr>
        <w:rFonts w:hint="default"/>
        <w:lang w:bidi="ar-SA" w:eastAsia="en-US" w:val="en-US"/>
      </w:rPr>
    </w:lvl>
    <w:lvl w:ilvl="8" w:tplc="10CA9A8C">
      <w:numFmt w:val="bullet"/>
      <w:lvlText w:val="•"/>
      <w:lvlJc w:val="left"/>
      <w:pPr>
        <w:ind w:hanging="240" w:left="6568"/>
      </w:pPr>
      <w:rPr>
        <w:rFonts w:hint="default"/>
        <w:lang w:bidi="ar-SA" w:eastAsia="en-US" w:val="en-US"/>
      </w:rPr>
    </w:lvl>
  </w:abstractNum>
  <w:abstractNum w15:restartNumberingAfterBreak="0" w:abstractNumId="12">
    <w:nsid w:val="71550ECC"/>
    <w:multiLevelType w:val="multilevel"/>
    <w:tmpl w:val="1C09001F"/>
    <w:lvl w:ilvl="0">
      <w:start w:val="1"/>
      <w:numFmt w:val="decimal"/>
      <w:lvlText w:val="%1."/>
      <w:lvlJc w:val="left"/>
      <w:pPr>
        <w:ind w:hanging="360" w:left="360"/>
      </w:pPr>
      <w:rPr>
        <w:rFonts w:hint="default"/>
        <w:b/>
        <w:sz w:val="24"/>
      </w:r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3">
    <w:nsid w:val="73886B48"/>
    <w:multiLevelType w:val="multilevel"/>
    <w:tmpl w:val="E264BB02"/>
    <w:lvl w:ilvl="0">
      <w:start w:val="1"/>
      <w:numFmt w:val="decimal"/>
      <w:lvlText w:val="%1"/>
      <w:lvlJc w:val="left"/>
      <w:pPr>
        <w:ind w:hanging="360" w:left="360"/>
      </w:pPr>
      <w:rPr>
        <w:rFonts w:hint="default"/>
      </w:rPr>
    </w:lvl>
    <w:lvl w:ilvl="1">
      <w:start w:val="1"/>
      <w:numFmt w:val="decimal"/>
      <w:lvlText w:val="%1.%2"/>
      <w:lvlJc w:val="left"/>
      <w:pPr>
        <w:ind w:hanging="360" w:left="530"/>
      </w:pPr>
      <w:rPr>
        <w:rFonts w:hint="default"/>
      </w:rPr>
    </w:lvl>
    <w:lvl w:ilvl="2">
      <w:start w:val="1"/>
      <w:numFmt w:val="decimal"/>
      <w:lvlText w:val="%1.%2.%3"/>
      <w:lvlJc w:val="left"/>
      <w:pPr>
        <w:ind w:hanging="720" w:left="1060"/>
      </w:pPr>
      <w:rPr>
        <w:rFonts w:hint="default"/>
      </w:rPr>
    </w:lvl>
    <w:lvl w:ilvl="3">
      <w:start w:val="1"/>
      <w:numFmt w:val="decimal"/>
      <w:lvlText w:val="%1.%2.%3.%4"/>
      <w:lvlJc w:val="left"/>
      <w:pPr>
        <w:ind w:hanging="1080" w:left="1590"/>
      </w:pPr>
      <w:rPr>
        <w:rFonts w:hint="default"/>
      </w:rPr>
    </w:lvl>
    <w:lvl w:ilvl="4">
      <w:start w:val="1"/>
      <w:numFmt w:val="decimal"/>
      <w:lvlText w:val="%1.%2.%3.%4.%5"/>
      <w:lvlJc w:val="left"/>
      <w:pPr>
        <w:ind w:hanging="1080" w:left="1760"/>
      </w:pPr>
      <w:rPr>
        <w:rFonts w:hint="default"/>
      </w:rPr>
    </w:lvl>
    <w:lvl w:ilvl="5">
      <w:start w:val="1"/>
      <w:numFmt w:val="decimal"/>
      <w:lvlText w:val="%1.%2.%3.%4.%5.%6"/>
      <w:lvlJc w:val="left"/>
      <w:pPr>
        <w:ind w:hanging="1440" w:left="2290"/>
      </w:pPr>
      <w:rPr>
        <w:rFonts w:hint="default"/>
      </w:rPr>
    </w:lvl>
    <w:lvl w:ilvl="6">
      <w:start w:val="1"/>
      <w:numFmt w:val="decimal"/>
      <w:lvlText w:val="%1.%2.%3.%4.%5.%6.%7"/>
      <w:lvlJc w:val="left"/>
      <w:pPr>
        <w:ind w:hanging="1440" w:left="2460"/>
      </w:pPr>
      <w:rPr>
        <w:rFonts w:hint="default"/>
      </w:rPr>
    </w:lvl>
    <w:lvl w:ilvl="7">
      <w:start w:val="1"/>
      <w:numFmt w:val="decimal"/>
      <w:lvlText w:val="%1.%2.%3.%4.%5.%6.%7.%8"/>
      <w:lvlJc w:val="left"/>
      <w:pPr>
        <w:ind w:hanging="1800" w:left="2990"/>
      </w:pPr>
      <w:rPr>
        <w:rFonts w:hint="default"/>
      </w:rPr>
    </w:lvl>
    <w:lvl w:ilvl="8">
      <w:start w:val="1"/>
      <w:numFmt w:val="decimal"/>
      <w:lvlText w:val="%1.%2.%3.%4.%5.%6.%7.%8.%9"/>
      <w:lvlJc w:val="left"/>
      <w:pPr>
        <w:ind w:hanging="1800" w:left="3160"/>
      </w:pPr>
      <w:rPr>
        <w:rFont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59605741" w:numId="1">
    <w:abstractNumId w:val="6"/>
  </w:num>
  <w:num w16cid:durableId="1538660461" w:numId="2">
    <w:abstractNumId w:val="8"/>
  </w:num>
  <w:num w16cid:durableId="85733380" w:numId="3">
    <w:abstractNumId w:val="1"/>
  </w:num>
  <w:num w16cid:durableId="1381171823" w:numId="4">
    <w:abstractNumId w:val="2"/>
  </w:num>
  <w:num w16cid:durableId="1105732855" w:numId="5">
    <w:abstractNumId w:val="9"/>
  </w:num>
  <w:num w16cid:durableId="2123842053" w:numId="6">
    <w:abstractNumId w:val="10"/>
  </w:num>
  <w:num w16cid:durableId="1359963147" w:numId="7">
    <w:abstractNumId w:val="0"/>
  </w:num>
  <w:num w16cid:durableId="1854957730" w:numId="8">
    <w:abstractNumId w:val="11"/>
  </w:num>
  <w:num w16cid:durableId="841625367" w:numId="9">
    <w:abstractNumId w:val="4"/>
  </w:num>
  <w:num w16cid:durableId="1289968773" w:numId="10">
    <w:abstractNumId w:val="7"/>
  </w:num>
  <w:num w16cid:durableId="626816976" w:numId="11">
    <w:abstractNumId w:val="12"/>
  </w:num>
  <w:num w16cid:durableId="606011983" w:numId="12">
    <w:abstractNumId w:val="3"/>
  </w:num>
  <w:num w16cid:durableId="1696733201" w:numId="13">
    <w:abstractNumId w:val="5"/>
  </w:num>
  <w:num w16cid:durableId="1175148616" w:numId="14">
    <w:abstractNumId w:val="13"/>
  </w:num>
  <w:num w16cid:durableId="1942492237" w:numId="15">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42"/>
  <w:proofState w:grammar="clean" w:spelling="clean"/>
  <w:defaultTabStop w:val="113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ZA"/>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ZA"/>
      </w:rPr>
    </w:rPrDefault>
    <w:pPrDefault>
      <w:pPr>
        <w:spacing w:after="160" w:line="259" w:lineRule="auto"/>
      </w:pPr>
    </w:pPrDefault>
  </w:docDefaults>
  <w:latentStyles w:count="376" w:defLockedState="0" w:defQFormat="0" w:defSemiHidden="0" w:defUIPriority="99" w:defUnhideWhenUsed="0">
    <w:lsdException w:name="Normal" w:qFormat="1" w:uiPriority="1"/>
    <w:lsdException w:name="heading 1" w:qFormat="1" w:uiPriority="1"/>
    <w:lsdException w:name="heading 2" w:qFormat="1" w:semiHidden="1" w:uiPriority="1"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uiPriority w:val="1"/>
    <w:qFormat/>
    <w:rsid w:val="00F44D54"/>
    <w:pPr>
      <w:widowControl w:val="0"/>
      <w:tabs>
        <w:tab w:pos="170" w:val="left"/>
      </w:tabs>
      <w:autoSpaceDE w:val="0"/>
      <w:autoSpaceDN w:val="0"/>
      <w:spacing w:after="240" w:line="360" w:lineRule="auto"/>
      <w:jc w:val="both"/>
    </w:pPr>
    <w:rPr>
      <w:rFonts w:ascii="Arial" w:cs="Times New Roman" w:eastAsia="Times New Roman" w:hAnsi="Arial"/>
      <w:sz w:val="24"/>
      <w:lang w:val="en-GB"/>
    </w:rPr>
  </w:style>
  <w:style w:styleId="Heading1" w:type="paragraph">
    <w:name w:val="heading 1"/>
    <w:basedOn w:val="Normal"/>
    <w:link w:val="Heading1Char"/>
    <w:autoRedefine/>
    <w:uiPriority w:val="1"/>
    <w:qFormat/>
    <w:rsid w:val="001B247C"/>
    <w:pPr>
      <w:tabs>
        <w:tab w:pos="170" w:val="clear"/>
      </w:tabs>
      <w:spacing w:after="120"/>
      <w:ind w:hanging="737" w:left="737"/>
      <w:outlineLvl w:val="0"/>
    </w:pPr>
    <w:rPr>
      <w:rFonts w:cs="Arial" w:eastAsia="Arial"/>
      <w:b/>
      <w:bCs/>
      <w:szCs w:val="24"/>
    </w:rPr>
  </w:style>
  <w:style w:styleId="Heading2" w:type="paragraph">
    <w:name w:val="heading 2"/>
    <w:basedOn w:val="Normal"/>
    <w:link w:val="Heading2Char"/>
    <w:uiPriority w:val="1"/>
    <w:qFormat/>
    <w:rsid w:val="001B247C"/>
    <w:pPr>
      <w:widowControl/>
      <w:tabs>
        <w:tab w:pos="170" w:val="clear"/>
      </w:tabs>
      <w:autoSpaceDE/>
      <w:autoSpaceDN/>
      <w:spacing w:after="120"/>
      <w:ind w:hanging="737" w:left="737"/>
      <w:outlineLvl w:val="1"/>
    </w:pPr>
    <w:rPr>
      <w:rFonts w:cs="Arial" w:eastAsiaTheme="minorHAnsi"/>
      <w:b/>
    </w:rPr>
  </w:style>
  <w:style w:styleId="Heading3" w:type="paragraph">
    <w:name w:val="heading 3"/>
    <w:basedOn w:val="Normal"/>
    <w:next w:val="Normal"/>
    <w:link w:val="Heading3Char"/>
    <w:uiPriority w:val="9"/>
    <w:unhideWhenUsed/>
    <w:qFormat/>
    <w:rsid w:val="001B247C"/>
    <w:pPr>
      <w:widowControl/>
      <w:tabs>
        <w:tab w:pos="170" w:val="clear"/>
      </w:tabs>
      <w:autoSpaceDE/>
      <w:autoSpaceDN/>
      <w:spacing w:after="120"/>
      <w:ind w:hanging="737" w:left="737"/>
      <w:outlineLvl w:val="2"/>
    </w:pPr>
    <w:rPr>
      <w:rFonts w:cs="Arial" w:eastAsiaTheme="minorHAnsi"/>
      <w:b/>
    </w:rPr>
  </w:style>
  <w:style w:styleId="Heading4" w:type="paragraph">
    <w:name w:val="heading 4"/>
    <w:basedOn w:val="Normal"/>
    <w:next w:val="Normal"/>
    <w:link w:val="Heading4Char"/>
    <w:uiPriority w:val="9"/>
    <w:unhideWhenUsed/>
    <w:qFormat/>
    <w:rsid w:val="009D31B9"/>
    <w:pPr>
      <w:keepNext/>
      <w:adjustRightInd w:val="0"/>
      <w:spacing w:line="240" w:lineRule="auto"/>
      <w:outlineLvl w:val="3"/>
    </w:pPr>
    <w:rPr>
      <w:rFonts w:cs="Arial"/>
      <w:b/>
      <w:bCs/>
      <w:color w:themeColor="text1" w:val="000000"/>
      <w:sz w:val="52"/>
      <w:szCs w:val="52"/>
    </w:rPr>
  </w:style>
  <w:style w:styleId="Heading5" w:type="paragraph">
    <w:name w:val="heading 5"/>
    <w:basedOn w:val="Normal"/>
    <w:next w:val="Normal"/>
    <w:link w:val="Heading5Char"/>
    <w:uiPriority w:val="9"/>
    <w:unhideWhenUsed/>
    <w:qFormat/>
    <w:rsid w:val="009D31B9"/>
    <w:pPr>
      <w:keepNext/>
      <w:spacing w:line="240" w:lineRule="auto"/>
      <w:outlineLvl w:val="4"/>
    </w:pPr>
    <w:rPr>
      <w:rFonts w:cs="Arial"/>
      <w:b/>
      <w:bCs/>
      <w:color w:themeColor="text1" w:val="000000"/>
      <w:sz w:val="30"/>
      <w:szCs w:val="3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1"/>
    <w:rsid w:val="001B247C"/>
    <w:rPr>
      <w:rFonts w:ascii="Arial" w:cs="Arial" w:eastAsia="Arial" w:hAnsi="Arial"/>
      <w:b/>
      <w:bCs/>
      <w:sz w:val="24"/>
      <w:szCs w:val="24"/>
      <w:lang w:val="en-GB"/>
    </w:rPr>
  </w:style>
  <w:style w:customStyle="1" w:styleId="Heading2Char" w:type="character">
    <w:name w:val="Heading 2 Char"/>
    <w:basedOn w:val="DefaultParagraphFont"/>
    <w:link w:val="Heading2"/>
    <w:uiPriority w:val="1"/>
    <w:rsid w:val="001B247C"/>
    <w:rPr>
      <w:rFonts w:ascii="Arial" w:cs="Arial" w:hAnsi="Arial"/>
      <w:b/>
      <w:sz w:val="24"/>
      <w:lang w:val="en-GB"/>
    </w:rPr>
  </w:style>
  <w:style w:styleId="BodyText" w:type="paragraph">
    <w:name w:val="Body Text"/>
    <w:basedOn w:val="Normal"/>
    <w:link w:val="BodyTextChar"/>
    <w:uiPriority w:val="1"/>
    <w:qFormat/>
    <w:rsid w:val="00A73CCA"/>
    <w:rPr>
      <w:szCs w:val="20"/>
    </w:rPr>
  </w:style>
  <w:style w:customStyle="1" w:styleId="BodyTextChar" w:type="character">
    <w:name w:val="Body Text Char"/>
    <w:basedOn w:val="DefaultParagraphFont"/>
    <w:link w:val="BodyText"/>
    <w:uiPriority w:val="1"/>
    <w:rsid w:val="00A73CCA"/>
    <w:rPr>
      <w:rFonts w:ascii="Times New Roman" w:cs="Times New Roman" w:eastAsia="Times New Roman" w:hAnsi="Times New Roman"/>
      <w:sz w:val="20"/>
      <w:szCs w:val="20"/>
      <w:lang w:val="en-US"/>
    </w:rPr>
  </w:style>
  <w:style w:styleId="Title" w:type="paragraph">
    <w:name w:val="Title"/>
    <w:basedOn w:val="Normal"/>
    <w:link w:val="TitleChar"/>
    <w:uiPriority w:val="1"/>
    <w:qFormat/>
    <w:rsid w:val="00A73CCA"/>
    <w:pPr>
      <w:spacing w:before="268"/>
      <w:ind w:left="120" w:right="1408"/>
    </w:pPr>
    <w:rPr>
      <w:rFonts w:ascii="Verdana" w:cs="Verdana" w:eastAsia="Verdana" w:hAnsi="Verdana"/>
      <w:sz w:val="30"/>
      <w:szCs w:val="30"/>
    </w:rPr>
  </w:style>
  <w:style w:customStyle="1" w:styleId="TitleChar" w:type="character">
    <w:name w:val="Title Char"/>
    <w:basedOn w:val="DefaultParagraphFont"/>
    <w:link w:val="Title"/>
    <w:uiPriority w:val="1"/>
    <w:rsid w:val="00A73CCA"/>
    <w:rPr>
      <w:rFonts w:ascii="Verdana" w:cs="Verdana" w:eastAsia="Verdana" w:hAnsi="Verdana"/>
      <w:sz w:val="30"/>
      <w:szCs w:val="30"/>
      <w:lang w:val="en-US"/>
    </w:rPr>
  </w:style>
  <w:style w:styleId="ListParagraph" w:type="paragraph">
    <w:name w:val="List Paragraph"/>
    <w:basedOn w:val="Normal"/>
    <w:uiPriority w:val="1"/>
    <w:qFormat/>
    <w:rsid w:val="00A73CCA"/>
    <w:pPr>
      <w:spacing w:before="1"/>
      <w:ind w:hanging="240" w:left="359" w:right="797"/>
    </w:pPr>
  </w:style>
  <w:style w:customStyle="1" w:styleId="TableParagraph" w:type="paragraph">
    <w:name w:val="Table Paragraph"/>
    <w:basedOn w:val="Normal"/>
    <w:uiPriority w:val="1"/>
    <w:qFormat/>
    <w:rsid w:val="00A73CCA"/>
  </w:style>
  <w:style w:styleId="Header" w:type="paragraph">
    <w:name w:val="header"/>
    <w:basedOn w:val="Normal"/>
    <w:link w:val="HeaderChar"/>
    <w:uiPriority w:val="99"/>
    <w:unhideWhenUsed/>
    <w:rsid w:val="00A73CCA"/>
    <w:pPr>
      <w:tabs>
        <w:tab w:pos="4513" w:val="center"/>
        <w:tab w:pos="9026" w:val="right"/>
      </w:tabs>
    </w:pPr>
  </w:style>
  <w:style w:customStyle="1" w:styleId="HeaderChar" w:type="character">
    <w:name w:val="Header Char"/>
    <w:basedOn w:val="DefaultParagraphFont"/>
    <w:link w:val="Header"/>
    <w:uiPriority w:val="99"/>
    <w:rsid w:val="00A73CCA"/>
    <w:rPr>
      <w:rFonts w:ascii="Times New Roman" w:cs="Times New Roman" w:eastAsia="Times New Roman" w:hAnsi="Times New Roman"/>
      <w:lang w:val="en-US"/>
    </w:rPr>
  </w:style>
  <w:style w:styleId="Footer" w:type="paragraph">
    <w:name w:val="footer"/>
    <w:basedOn w:val="Normal"/>
    <w:link w:val="FooterChar"/>
    <w:uiPriority w:val="99"/>
    <w:unhideWhenUsed/>
    <w:rsid w:val="00A73CCA"/>
    <w:pPr>
      <w:tabs>
        <w:tab w:pos="4513" w:val="center"/>
        <w:tab w:pos="9026" w:val="right"/>
      </w:tabs>
    </w:pPr>
  </w:style>
  <w:style w:customStyle="1" w:styleId="FooterChar" w:type="character">
    <w:name w:val="Footer Char"/>
    <w:basedOn w:val="DefaultParagraphFont"/>
    <w:link w:val="Footer"/>
    <w:uiPriority w:val="99"/>
    <w:rsid w:val="00A73CCA"/>
    <w:rPr>
      <w:rFonts w:ascii="Times New Roman" w:cs="Times New Roman" w:eastAsia="Times New Roman" w:hAnsi="Times New Roman"/>
      <w:lang w:val="en-US"/>
    </w:rPr>
  </w:style>
  <w:style w:styleId="FootnoteText" w:type="paragraph">
    <w:name w:val="footnote text"/>
    <w:basedOn w:val="Normal"/>
    <w:link w:val="FootnoteTextChar"/>
    <w:autoRedefine/>
    <w:uiPriority w:val="99"/>
    <w:unhideWhenUsed/>
    <w:qFormat/>
    <w:rsid w:val="00896363"/>
    <w:pPr>
      <w:tabs>
        <w:tab w:pos="170" w:val="clear"/>
        <w:tab w:pos="567" w:val="left"/>
      </w:tabs>
      <w:spacing w:after="60" w:line="240" w:lineRule="auto"/>
    </w:pPr>
    <w:rPr>
      <w:sz w:val="20"/>
      <w:szCs w:val="20"/>
    </w:rPr>
  </w:style>
  <w:style w:customStyle="1" w:styleId="FootnoteTextChar" w:type="character">
    <w:name w:val="Footnote Text Char"/>
    <w:basedOn w:val="DefaultParagraphFont"/>
    <w:link w:val="FootnoteText"/>
    <w:uiPriority w:val="99"/>
    <w:rsid w:val="00896363"/>
    <w:rPr>
      <w:rFonts w:ascii="Arial" w:cs="Times New Roman" w:eastAsia="Times New Roman" w:hAnsi="Arial"/>
      <w:sz w:val="20"/>
      <w:szCs w:val="20"/>
      <w:lang w:val="en-GB"/>
    </w:rPr>
  </w:style>
  <w:style w:styleId="FootnoteReference" w:type="character">
    <w:name w:val="footnote reference"/>
    <w:basedOn w:val="DefaultParagraphFont"/>
    <w:uiPriority w:val="99"/>
    <w:unhideWhenUsed/>
    <w:rsid w:val="004F3F54"/>
    <w:rPr>
      <w:vertAlign w:val="superscript"/>
    </w:rPr>
  </w:style>
  <w:style w:customStyle="1" w:styleId="EndNoteBibliographyTitle" w:type="paragraph">
    <w:name w:val="EndNote Bibliography Title"/>
    <w:basedOn w:val="Normal"/>
    <w:link w:val="EndNoteBibliographyTitleChar"/>
    <w:rsid w:val="004F3F54"/>
    <w:pPr>
      <w:jc w:val="center"/>
    </w:pPr>
    <w:rPr>
      <w:rFonts w:ascii="Times New Roman" w:hAnsi="Times New Roman"/>
      <w:noProof/>
    </w:rPr>
  </w:style>
  <w:style w:customStyle="1" w:styleId="EndNoteBibliographyTitleChar" w:type="character">
    <w:name w:val="EndNote Bibliography Title Char"/>
    <w:basedOn w:val="FootnoteTextChar"/>
    <w:link w:val="EndNoteBibliographyTitle"/>
    <w:rsid w:val="004F3F54"/>
    <w:rPr>
      <w:rFonts w:ascii="Times New Roman" w:cs="Times New Roman" w:eastAsia="Times New Roman" w:hAnsi="Times New Roman"/>
      <w:noProof/>
      <w:sz w:val="18"/>
      <w:szCs w:val="20"/>
      <w:lang w:val="en-US"/>
    </w:rPr>
  </w:style>
  <w:style w:customStyle="1" w:styleId="EndNoteBibliography" w:type="paragraph">
    <w:name w:val="EndNote Bibliography"/>
    <w:basedOn w:val="Normal"/>
    <w:link w:val="EndNoteBibliographyChar"/>
    <w:rsid w:val="004F3F54"/>
    <w:rPr>
      <w:rFonts w:ascii="Times New Roman" w:hAnsi="Times New Roman"/>
      <w:noProof/>
    </w:rPr>
  </w:style>
  <w:style w:customStyle="1" w:styleId="EndNoteBibliographyChar" w:type="character">
    <w:name w:val="EndNote Bibliography Char"/>
    <w:basedOn w:val="FootnoteTextChar"/>
    <w:link w:val="EndNoteBibliography"/>
    <w:rsid w:val="004F3F54"/>
    <w:rPr>
      <w:rFonts w:ascii="Times New Roman" w:cs="Times New Roman" w:eastAsia="Times New Roman" w:hAnsi="Times New Roman"/>
      <w:noProof/>
      <w:sz w:val="18"/>
      <w:szCs w:val="20"/>
      <w:lang w:val="en-US"/>
    </w:rPr>
  </w:style>
  <w:style w:styleId="Hyperlink" w:type="character">
    <w:name w:val="Hyperlink"/>
    <w:basedOn w:val="DefaultParagraphFont"/>
    <w:uiPriority w:val="99"/>
    <w:unhideWhenUsed/>
    <w:rsid w:val="004F3F54"/>
    <w:rPr>
      <w:color w:themeColor="hyperlink" w:val="0563C1"/>
      <w:u w:val="single"/>
    </w:rPr>
  </w:style>
  <w:style w:styleId="NoSpacing" w:type="paragraph">
    <w:name w:val="No Spacing"/>
    <w:uiPriority w:val="1"/>
    <w:qFormat/>
    <w:rsid w:val="00FE5B9F"/>
    <w:pPr>
      <w:widowControl w:val="0"/>
      <w:autoSpaceDE w:val="0"/>
      <w:autoSpaceDN w:val="0"/>
      <w:spacing w:after="0" w:line="240" w:lineRule="auto"/>
    </w:pPr>
    <w:rPr>
      <w:rFonts w:ascii="Times New Roman" w:cs="Times New Roman" w:eastAsia="Times New Roman" w:hAnsi="Times New Roman"/>
      <w:lang w:val="en-US"/>
    </w:rPr>
  </w:style>
  <w:style w:styleId="CommentReference" w:type="character">
    <w:name w:val="annotation reference"/>
    <w:basedOn w:val="DefaultParagraphFont"/>
    <w:uiPriority w:val="99"/>
    <w:semiHidden/>
    <w:unhideWhenUsed/>
    <w:rsid w:val="001E4EA8"/>
    <w:rPr>
      <w:sz w:val="16"/>
      <w:szCs w:val="16"/>
    </w:rPr>
  </w:style>
  <w:style w:styleId="CommentText" w:type="paragraph">
    <w:name w:val="annotation text"/>
    <w:basedOn w:val="Normal"/>
    <w:link w:val="CommentTextChar"/>
    <w:uiPriority w:val="99"/>
    <w:semiHidden/>
    <w:unhideWhenUsed/>
    <w:rsid w:val="001E4EA8"/>
    <w:rPr>
      <w:szCs w:val="20"/>
    </w:rPr>
  </w:style>
  <w:style w:customStyle="1" w:styleId="CommentTextChar" w:type="character">
    <w:name w:val="Comment Text Char"/>
    <w:basedOn w:val="DefaultParagraphFont"/>
    <w:link w:val="CommentText"/>
    <w:uiPriority w:val="99"/>
    <w:semiHidden/>
    <w:rsid w:val="001E4EA8"/>
    <w:rPr>
      <w:rFonts w:ascii="Times New Roman" w:cs="Times New Roman" w:eastAsia="Times New Roman" w:hAnsi="Times New Roman"/>
      <w:sz w:val="20"/>
      <w:szCs w:val="20"/>
      <w:lang w:val="en-US"/>
    </w:rPr>
  </w:style>
  <w:style w:styleId="CommentSubject" w:type="paragraph">
    <w:name w:val="annotation subject"/>
    <w:basedOn w:val="CommentText"/>
    <w:next w:val="CommentText"/>
    <w:link w:val="CommentSubjectChar"/>
    <w:uiPriority w:val="99"/>
    <w:semiHidden/>
    <w:unhideWhenUsed/>
    <w:rsid w:val="001E4EA8"/>
    <w:rPr>
      <w:b/>
      <w:bCs/>
    </w:rPr>
  </w:style>
  <w:style w:customStyle="1" w:styleId="CommentSubjectChar" w:type="character">
    <w:name w:val="Comment Subject Char"/>
    <w:basedOn w:val="CommentTextChar"/>
    <w:link w:val="CommentSubject"/>
    <w:uiPriority w:val="99"/>
    <w:semiHidden/>
    <w:rsid w:val="001E4EA8"/>
    <w:rPr>
      <w:rFonts w:ascii="Times New Roman" w:cs="Times New Roman" w:eastAsia="Times New Roman" w:hAnsi="Times New Roman"/>
      <w:b/>
      <w:bCs/>
      <w:sz w:val="20"/>
      <w:szCs w:val="20"/>
      <w:lang w:val="en-US"/>
    </w:rPr>
  </w:style>
  <w:style w:styleId="BalloonText" w:type="paragraph">
    <w:name w:val="Balloon Text"/>
    <w:basedOn w:val="Normal"/>
    <w:link w:val="BalloonTextChar"/>
    <w:uiPriority w:val="99"/>
    <w:semiHidden/>
    <w:unhideWhenUsed/>
    <w:rsid w:val="001E4EA8"/>
    <w:rPr>
      <w:rFonts w:ascii="Segoe UI" w:cs="Segoe UI" w:hAnsi="Segoe UI"/>
      <w:sz w:val="18"/>
      <w:szCs w:val="18"/>
    </w:rPr>
  </w:style>
  <w:style w:customStyle="1" w:styleId="BalloonTextChar" w:type="character">
    <w:name w:val="Balloon Text Char"/>
    <w:basedOn w:val="DefaultParagraphFont"/>
    <w:link w:val="BalloonText"/>
    <w:uiPriority w:val="99"/>
    <w:semiHidden/>
    <w:rsid w:val="001E4EA8"/>
    <w:rPr>
      <w:rFonts w:ascii="Segoe UI" w:cs="Segoe UI" w:eastAsia="Times New Roman" w:hAnsi="Segoe UI"/>
      <w:sz w:val="18"/>
      <w:szCs w:val="18"/>
      <w:lang w:val="en-US"/>
    </w:rPr>
  </w:style>
  <w:style w:customStyle="1" w:styleId="Style1" w:type="paragraph">
    <w:name w:val="Style1"/>
    <w:basedOn w:val="BodyText"/>
    <w:uiPriority w:val="1"/>
    <w:qFormat/>
    <w:rsid w:val="000950CB"/>
    <w:pPr>
      <w:spacing w:before="30" w:line="271" w:lineRule="auto"/>
      <w:ind w:firstLine="240"/>
    </w:pPr>
    <w:rPr>
      <w:color w:val="231F20"/>
    </w:rPr>
  </w:style>
  <w:style w:styleId="Caption" w:type="paragraph">
    <w:name w:val="caption"/>
    <w:basedOn w:val="Normal"/>
    <w:next w:val="Normal"/>
    <w:uiPriority w:val="35"/>
    <w:qFormat/>
    <w:rsid w:val="00D87D72"/>
    <w:pPr>
      <w:widowControl/>
      <w:autoSpaceDE/>
      <w:autoSpaceDN/>
      <w:spacing w:before="60"/>
    </w:pPr>
    <w:rPr>
      <w:rFonts w:cs="Arial"/>
      <w:b/>
      <w:bCs/>
      <w:iCs/>
      <w:color w:themeColor="text1" w:val="000000"/>
      <w:szCs w:val="16"/>
    </w:rPr>
  </w:style>
  <w:style w:styleId="EndnoteText" w:type="paragraph">
    <w:name w:val="endnote text"/>
    <w:basedOn w:val="Normal"/>
    <w:link w:val="EndnoteTextChar"/>
    <w:uiPriority w:val="99"/>
    <w:semiHidden/>
    <w:unhideWhenUsed/>
    <w:rsid w:val="005B474E"/>
    <w:rPr>
      <w:sz w:val="20"/>
      <w:szCs w:val="20"/>
    </w:rPr>
  </w:style>
  <w:style w:customStyle="1" w:styleId="EndnoteTextChar" w:type="character">
    <w:name w:val="Endnote Text Char"/>
    <w:basedOn w:val="DefaultParagraphFont"/>
    <w:link w:val="EndnoteText"/>
    <w:uiPriority w:val="99"/>
    <w:semiHidden/>
    <w:rsid w:val="005B474E"/>
    <w:rPr>
      <w:rFonts w:ascii="Arial" w:cs="Times New Roman" w:eastAsia="Times New Roman" w:hAnsi="Arial"/>
      <w:sz w:val="20"/>
      <w:szCs w:val="20"/>
      <w:lang w:val="en-US"/>
    </w:rPr>
  </w:style>
  <w:style w:styleId="EndnoteReference" w:type="character">
    <w:name w:val="endnote reference"/>
    <w:basedOn w:val="DefaultParagraphFont"/>
    <w:uiPriority w:val="99"/>
    <w:semiHidden/>
    <w:unhideWhenUsed/>
    <w:rsid w:val="005B474E"/>
    <w:rPr>
      <w:vertAlign w:val="superscript"/>
    </w:rPr>
  </w:style>
  <w:style w:styleId="IntenseReference" w:type="character">
    <w:name w:val="Intense Reference"/>
    <w:basedOn w:val="DefaultParagraphFont"/>
    <w:uiPriority w:val="32"/>
    <w:qFormat/>
    <w:rsid w:val="000C3C39"/>
    <w:rPr>
      <w:b/>
      <w:bCs/>
      <w:smallCaps/>
      <w:color w:themeColor="accent1" w:val="5B9BD5"/>
      <w:spacing w:val="5"/>
    </w:rPr>
  </w:style>
  <w:style w:customStyle="1" w:styleId="ChartNormal" w:type="paragraph">
    <w:name w:val="__Chart_Normal"/>
    <w:basedOn w:val="Normal"/>
    <w:rsid w:val="001149CC"/>
    <w:pPr>
      <w:keepNext/>
      <w:framePr w:hAnchor="margin" w:hSpace="57" w:vAnchor="text" w:vSpace="57" w:wrap="around" w:x="1" w:y="1"/>
      <w:widowControl/>
      <w:tabs>
        <w:tab w:pos="170" w:val="clear"/>
      </w:tabs>
      <w:autoSpaceDE/>
      <w:autoSpaceDN/>
      <w:jc w:val="left"/>
    </w:pPr>
    <w:rPr>
      <w:rFonts w:ascii="Arial Narrow" w:cs="Arial" w:eastAsia="SimSun" w:hAnsi="Arial Narrow"/>
      <w:color w:val="000000"/>
      <w:sz w:val="14"/>
      <w:szCs w:val="20"/>
    </w:rPr>
  </w:style>
  <w:style w:customStyle="1" w:styleId="ChartObject" w:type="character">
    <w:name w:val="_Chart Object"/>
    <w:basedOn w:val="DefaultParagraphFont"/>
    <w:rsid w:val="001149CC"/>
  </w:style>
  <w:style w:customStyle="1" w:styleId="ChartSource" w:type="character">
    <w:name w:val="_Chart Source"/>
    <w:basedOn w:val="DefaultParagraphFont"/>
    <w:rsid w:val="001149CC"/>
    <w:rPr>
      <w:rFonts w:ascii="Arial Narrow" w:eastAsia="SimSun" w:hAnsi="Arial Narrow"/>
      <w:i w:val="0"/>
      <w:sz w:val="12"/>
      <w:bdr w:color="auto" w:space="0" w:sz="0" w:val="none"/>
      <w:shd w:color="auto" w:fill="F2F2F2" w:themeFill="background1" w:themeFillShade="F2" w:val="clear"/>
    </w:rPr>
  </w:style>
  <w:style w:customStyle="1" w:styleId="ChartTitle" w:type="character">
    <w:name w:val="_Chart Title"/>
    <w:basedOn w:val="DefaultParagraphFont"/>
    <w:rsid w:val="001149CC"/>
    <w:rPr>
      <w:rFonts w:ascii="Arial" w:eastAsia="SimHei" w:hAnsi="Arial"/>
      <w:b/>
      <w:sz w:val="18"/>
    </w:rPr>
  </w:style>
  <w:style w:customStyle="1" w:styleId="TableSubtitle" w:type="character">
    <w:name w:val="_Table Subtitle"/>
    <w:basedOn w:val="DefaultParagraphFont"/>
    <w:rsid w:val="00243684"/>
    <w:rPr>
      <w:rFonts w:ascii="Arial Narrow" w:eastAsia="SimSun" w:hAnsi="Arial Narrow"/>
      <w:b/>
      <w:sz w:val="14"/>
    </w:rPr>
  </w:style>
  <w:style w:styleId="Revision" w:type="paragraph">
    <w:name w:val="Revision"/>
    <w:hidden/>
    <w:uiPriority w:val="99"/>
    <w:semiHidden/>
    <w:rsid w:val="00B16664"/>
    <w:pPr>
      <w:spacing w:after="0" w:line="240" w:lineRule="auto"/>
    </w:pPr>
    <w:rPr>
      <w:rFonts w:ascii="Arial" w:cs="Times New Roman" w:eastAsia="Times New Roman" w:hAnsi="Arial"/>
      <w:lang w:val="en-US"/>
    </w:rPr>
  </w:style>
  <w:style w:styleId="FollowedHyperlink" w:type="character">
    <w:name w:val="FollowedHyperlink"/>
    <w:basedOn w:val="DefaultParagraphFont"/>
    <w:uiPriority w:val="99"/>
    <w:semiHidden/>
    <w:unhideWhenUsed/>
    <w:rsid w:val="00916F21"/>
    <w:rPr>
      <w:color w:themeColor="followedHyperlink" w:val="954F72"/>
      <w:u w:val="single"/>
    </w:rPr>
  </w:style>
  <w:style w:styleId="BodyText2" w:type="paragraph">
    <w:name w:val="Body Text 2"/>
    <w:basedOn w:val="Normal"/>
    <w:link w:val="BodyText2Char"/>
    <w:uiPriority w:val="99"/>
    <w:unhideWhenUsed/>
    <w:rsid w:val="007E5901"/>
    <w:pPr>
      <w:widowControl/>
      <w:tabs>
        <w:tab w:pos="170" w:val="clear"/>
      </w:tabs>
      <w:autoSpaceDE/>
      <w:autoSpaceDN/>
      <w:spacing w:line="288" w:lineRule="auto"/>
      <w:jc w:val="center"/>
    </w:pPr>
    <w:rPr>
      <w:rFonts w:cs="Arial" w:eastAsiaTheme="minorHAnsi"/>
      <w:b/>
      <w:sz w:val="28"/>
    </w:rPr>
  </w:style>
  <w:style w:customStyle="1" w:styleId="BodyText2Char" w:type="character">
    <w:name w:val="Body Text 2 Char"/>
    <w:basedOn w:val="DefaultParagraphFont"/>
    <w:link w:val="BodyText2"/>
    <w:uiPriority w:val="99"/>
    <w:rsid w:val="007E5901"/>
    <w:rPr>
      <w:rFonts w:ascii="Arial" w:cs="Arial" w:hAnsi="Arial"/>
      <w:b/>
      <w:sz w:val="28"/>
      <w:lang w:val="en-US"/>
    </w:rPr>
  </w:style>
  <w:style w:styleId="BodyText3" w:type="paragraph">
    <w:name w:val="Body Text 3"/>
    <w:basedOn w:val="Normal"/>
    <w:link w:val="BodyText3Char"/>
    <w:uiPriority w:val="99"/>
    <w:unhideWhenUsed/>
    <w:rsid w:val="00006603"/>
    <w:pPr>
      <w:widowControl/>
      <w:tabs>
        <w:tab w:pos="170" w:val="clear"/>
      </w:tabs>
      <w:autoSpaceDE/>
      <w:autoSpaceDN/>
      <w:spacing w:line="288" w:lineRule="auto"/>
    </w:pPr>
    <w:rPr>
      <w:rFonts w:cs="Arial" w:eastAsiaTheme="minorHAnsi"/>
    </w:rPr>
  </w:style>
  <w:style w:customStyle="1" w:styleId="BodyText3Char" w:type="character">
    <w:name w:val="Body Text 3 Char"/>
    <w:basedOn w:val="DefaultParagraphFont"/>
    <w:link w:val="BodyText3"/>
    <w:uiPriority w:val="99"/>
    <w:rsid w:val="00006603"/>
    <w:rPr>
      <w:rFonts w:ascii="Arial" w:cs="Arial" w:hAnsi="Arial"/>
      <w:lang w:val="en-US"/>
    </w:rPr>
  </w:style>
  <w:style w:customStyle="1" w:styleId="Default" w:type="paragraph">
    <w:name w:val="Default"/>
    <w:rsid w:val="003F05F8"/>
    <w:pPr>
      <w:autoSpaceDE w:val="0"/>
      <w:autoSpaceDN w:val="0"/>
      <w:adjustRightInd w:val="0"/>
      <w:spacing w:after="0" w:line="240" w:lineRule="auto"/>
    </w:pPr>
    <w:rPr>
      <w:rFonts w:ascii="Arial" w:cs="Arial" w:eastAsia="Cambria" w:hAnsi="Arial"/>
      <w:color w:val="000000"/>
      <w:sz w:val="24"/>
      <w:szCs w:val="24"/>
      <w:lang w:eastAsia="en-GB" w:val="en-US"/>
    </w:rPr>
  </w:style>
  <w:style w:customStyle="1" w:styleId="Heading3Char" w:type="character">
    <w:name w:val="Heading 3 Char"/>
    <w:basedOn w:val="DefaultParagraphFont"/>
    <w:link w:val="Heading3"/>
    <w:uiPriority w:val="9"/>
    <w:rsid w:val="001B247C"/>
    <w:rPr>
      <w:rFonts w:ascii="Arial" w:cs="Arial" w:hAnsi="Arial"/>
      <w:b/>
      <w:sz w:val="24"/>
      <w:lang w:val="en-GB"/>
    </w:rPr>
  </w:style>
  <w:style w:customStyle="1" w:styleId="Heading4Char" w:type="character">
    <w:name w:val="Heading 4 Char"/>
    <w:basedOn w:val="DefaultParagraphFont"/>
    <w:link w:val="Heading4"/>
    <w:uiPriority w:val="9"/>
    <w:rsid w:val="009D31B9"/>
    <w:rPr>
      <w:rFonts w:ascii="Arial" w:cs="Arial" w:eastAsia="Times New Roman" w:hAnsi="Arial"/>
      <w:b/>
      <w:bCs/>
      <w:color w:themeColor="text1" w:val="000000"/>
      <w:sz w:val="52"/>
      <w:szCs w:val="52"/>
      <w:lang w:val="en-GB"/>
    </w:rPr>
  </w:style>
  <w:style w:customStyle="1" w:styleId="Heading5Char" w:type="character">
    <w:name w:val="Heading 5 Char"/>
    <w:basedOn w:val="DefaultParagraphFont"/>
    <w:link w:val="Heading5"/>
    <w:uiPriority w:val="9"/>
    <w:rsid w:val="009D31B9"/>
    <w:rPr>
      <w:rFonts w:ascii="Arial" w:cs="Arial" w:eastAsia="Times New Roman" w:hAnsi="Arial"/>
      <w:b/>
      <w:bCs/>
      <w:color w:themeColor="text1" w:val="000000"/>
      <w:sz w:val="30"/>
      <w:szCs w:val="30"/>
      <w:lang w:val="en-GB"/>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04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5.xml" Type="http://schemas.openxmlformats.org/officeDocument/2006/relationships/header" /><Relationship Id="rId11" Target="header4.xml" Type="http://schemas.openxmlformats.org/officeDocument/2006/relationships/header" /><Relationship Id="rId12" Target="header2.xml" Type="http://schemas.openxmlformats.org/officeDocument/2006/relationships/header" /><Relationship Id="rId13" Target="header1.xml" Type="http://schemas.openxmlformats.org/officeDocument/2006/relationships/header" /><Relationship Id="rId14" Target="footer2.xml" Type="http://schemas.openxmlformats.org/officeDocument/2006/relationships/footer" /><Relationship Id="rId15" Target="footer1.xml" Type="http://schemas.openxmlformats.org/officeDocument/2006/relationships/footer" /><Relationship Id="rId16" Target="footer4.xml" Type="http://schemas.openxmlformats.org/officeDocument/2006/relationships/footer" /><Relationship Id="rId17" Target="footer3.xml" Type="http://schemas.openxmlformats.org/officeDocument/2006/relationships/footer" /><Relationship Type="http://schemas.openxmlformats.org/officeDocument/2006/relationships/image" Id="rId39" Target="media/rId39.png" /><Relationship Type="http://schemas.openxmlformats.org/officeDocument/2006/relationships/image" Id="rId91" Target="media/rId91.png" /><Relationship Type="http://schemas.openxmlformats.org/officeDocument/2006/relationships/image" Id="rId55" Target="media/rId55.png"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image" Id="rId35" Target="media/rId35.png" /><Relationship Type="http://schemas.openxmlformats.org/officeDocument/2006/relationships/image" Id="rId59" Target="media/rId59.png" /><Relationship Type="http://schemas.openxmlformats.org/officeDocument/2006/relationships/image" Id="rId95" Target="media/rId95.png" /><Relationship Type="http://schemas.openxmlformats.org/officeDocument/2006/relationships/image" Id="rId43" Target="media/rId43.png" /><Relationship Type="http://schemas.openxmlformats.org/officeDocument/2006/relationships/hyperlink" Id="rId83" Target="https://doi.org/10.1086/260648" TargetMode="External" /><Relationship Type="http://schemas.openxmlformats.org/officeDocument/2006/relationships/hyperlink" Id="rId78" Target="https://doi.org/10.1086/261821" TargetMode="External" /><Relationship Type="http://schemas.openxmlformats.org/officeDocument/2006/relationships/hyperlink" Id="rId87" Target="https://doi.org/10.1111/1467-8454.12103" TargetMode="External" /><Relationship Type="http://schemas.openxmlformats.org/officeDocument/2006/relationships/hyperlink" Id="rId73" Target="https://doi.org/10.1111/1468-0335.00195" TargetMode="External" /><Relationship Type="http://schemas.openxmlformats.org/officeDocument/2006/relationships/hyperlink" Id="rId76" Target="https://doi.org/10.1111/j.1468-2354.2005.00333.x" TargetMode="External" /><Relationship Type="http://schemas.openxmlformats.org/officeDocument/2006/relationships/hyperlink" Id="rId71" Target="https://doi.org/10.1111/j.1538-4616.2010.00307.x" TargetMode="External" /><Relationship Type="http://schemas.openxmlformats.org/officeDocument/2006/relationships/hyperlink" Id="rId85" Target="https://www.jstor.org/stable/2077978" TargetMode="External" /></Relationships>
</file>

<file path=word/_rels/footnotes.xml.rels><?xml version="1.0" encoding="UTF-8"?><Relationships xmlns="http://schemas.openxmlformats.org/package/2006/relationships"><Relationship Type="http://schemas.openxmlformats.org/officeDocument/2006/relationships/hyperlink" Id="rId83" Target="https://doi.org/10.1086/260648" TargetMode="External" /><Relationship Type="http://schemas.openxmlformats.org/officeDocument/2006/relationships/hyperlink" Id="rId78" Target="https://doi.org/10.1086/261821" TargetMode="External" /><Relationship Type="http://schemas.openxmlformats.org/officeDocument/2006/relationships/hyperlink" Id="rId87" Target="https://doi.org/10.1111/1467-8454.12103" TargetMode="External" /><Relationship Type="http://schemas.openxmlformats.org/officeDocument/2006/relationships/hyperlink" Id="rId73" Target="https://doi.org/10.1111/1468-0335.00195" TargetMode="External" /><Relationship Type="http://schemas.openxmlformats.org/officeDocument/2006/relationships/hyperlink" Id="rId76" Target="https://doi.org/10.1111/j.1468-2354.2005.00333.x" TargetMode="External" /><Relationship Type="http://schemas.openxmlformats.org/officeDocument/2006/relationships/hyperlink" Id="rId71" Target="https://doi.org/10.1111/j.1538-4616.2010.00307.x" TargetMode="External" /><Relationship Type="http://schemas.openxmlformats.org/officeDocument/2006/relationships/hyperlink" Id="rId85" Target="https://www.jstor.org/stable/20779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2026-01-06T09:10:16Z</dcterms:created>
  <dcterms:modified xsi:type="dcterms:W3CDTF">2026-01-06T09:10:16Z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style">
    <vt:lpwstr>apalike</vt:lpwstr>
  </property>
  <property fmtid="{D5CDD505-2E9C-101B-9397-08002B2CF9AE}" pid="4" name="bibliography">
    <vt:lpwstr>references.bib</vt:lpwstr>
  </property>
  <property fmtid="{D5CDD505-2E9C-101B-9397-08002B2CF9AE}" pid="5" name="citecolor">
    <vt:lpwstr>blue!100!black</vt:lpwstr>
  </property>
  <property fmtid="{D5CDD505-2E9C-101B-9397-08002B2CF9AE}" pid="6" name="editor">
    <vt:lpwstr>source</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indent">
    <vt:lpwstr>True</vt:lpwstr>
  </property>
  <property fmtid="{D5CDD505-2E9C-101B-9397-08002B2CF9AE}" pid="12" name="labels">
    <vt:lpwstr/>
  </property>
  <property fmtid="{D5CDD505-2E9C-101B-9397-08002B2CF9AE}" pid="13" name="linestretch">
    <vt:lpwstr>1.5</vt:lpwstr>
  </property>
  <property fmtid="{D5CDD505-2E9C-101B-9397-08002B2CF9AE}" pid="14" name="link-citations">
    <vt:lpwstr>True</vt:lpwstr>
  </property>
  <property fmtid="{D5CDD505-2E9C-101B-9397-08002B2CF9AE}" pid="15" name="linkcolor">
    <vt:lpwstr>blue!100!black</vt:lpwstr>
  </property>
  <property fmtid="{D5CDD505-2E9C-101B-9397-08002B2CF9AE}" pid="16" name="natbiboptions">
    <vt:lpwstr>round</vt:lpwstr>
  </property>
  <property fmtid="{D5CDD505-2E9C-101B-9397-08002B2CF9AE}" pid="17" name="title-block-banner">
    <vt:lpwstr>False</vt:lpwstr>
  </property>
  <property fmtid="{D5CDD505-2E9C-101B-9397-08002B2CF9AE}" pid="18" name="title-block-style">
    <vt:lpwstr>none</vt:lpwstr>
  </property>
  <property fmtid="{D5CDD505-2E9C-101B-9397-08002B2CF9AE}" pid="19" name="toc-title">
    <vt:lpwstr>Table of contents</vt:lpwstr>
  </property>
  <property fmtid="{D5CDD505-2E9C-101B-9397-08002B2CF9AE}" pid="20" name="urlcolor">
    <vt:lpwstr>blue!100!black</vt:lpwstr>
  </property>
</Properties>
</file>