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016C3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17C8">
                                        <w:rPr>
                                          <w:caps/>
                                          <w:color w:val="FFFFFF" w:themeColor="background1"/>
                                        </w:rPr>
                                        <w:t>3175353</w:t>
                                      </w:r>
                                    </w:sdtContent>
                                  </w:sdt>
                                  <w:r w:rsidR="004A17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17C8">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3A97CC5"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PHYS2170: Measurement of Bandgap in Germanium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016C3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17C8">
                                  <w:rPr>
                                    <w:caps/>
                                    <w:color w:val="FFFFFF" w:themeColor="background1"/>
                                  </w:rPr>
                                  <w:t>3175353</w:t>
                                </w:r>
                              </w:sdtContent>
                            </w:sdt>
                            <w:r w:rsidR="004A17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17C8">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3A97CC5"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PHYS2170: Measurement of Bandgap in Germanium</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3F0BD69F" w14:textId="16379EF4" w:rsidR="008404A4" w:rsidRDefault="00451A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3752246" w:history="1">
            <w:r w:rsidR="008404A4" w:rsidRPr="00FA61EF">
              <w:rPr>
                <w:rStyle w:val="Hyperlink"/>
                <w:noProof/>
              </w:rPr>
              <w:t>Abstract</w:t>
            </w:r>
            <w:r w:rsidR="008404A4">
              <w:rPr>
                <w:noProof/>
                <w:webHidden/>
              </w:rPr>
              <w:tab/>
            </w:r>
            <w:r w:rsidR="008404A4">
              <w:rPr>
                <w:noProof/>
                <w:webHidden/>
              </w:rPr>
              <w:fldChar w:fldCharType="begin"/>
            </w:r>
            <w:r w:rsidR="008404A4">
              <w:rPr>
                <w:noProof/>
                <w:webHidden/>
              </w:rPr>
              <w:instrText xml:space="preserve"> PAGEREF _Toc513752246 \h </w:instrText>
            </w:r>
            <w:r w:rsidR="008404A4">
              <w:rPr>
                <w:noProof/>
                <w:webHidden/>
              </w:rPr>
            </w:r>
            <w:r w:rsidR="008404A4">
              <w:rPr>
                <w:noProof/>
                <w:webHidden/>
              </w:rPr>
              <w:fldChar w:fldCharType="separate"/>
            </w:r>
            <w:r w:rsidR="00E46FB0">
              <w:rPr>
                <w:noProof/>
                <w:webHidden/>
              </w:rPr>
              <w:t>2</w:t>
            </w:r>
            <w:r w:rsidR="008404A4">
              <w:rPr>
                <w:noProof/>
                <w:webHidden/>
              </w:rPr>
              <w:fldChar w:fldCharType="end"/>
            </w:r>
          </w:hyperlink>
        </w:p>
        <w:p w14:paraId="44356741" w14:textId="32D84A9C" w:rsidR="008404A4" w:rsidRDefault="008404A4">
          <w:pPr>
            <w:pStyle w:val="TOC1"/>
            <w:tabs>
              <w:tab w:val="right" w:leader="dot" w:pos="9016"/>
            </w:tabs>
            <w:rPr>
              <w:rFonts w:eastAsiaTheme="minorEastAsia"/>
              <w:noProof/>
              <w:lang w:val="en-US"/>
            </w:rPr>
          </w:pPr>
          <w:hyperlink w:anchor="_Toc513752247" w:history="1">
            <w:r w:rsidRPr="00FA61EF">
              <w:rPr>
                <w:rStyle w:val="Hyperlink"/>
                <w:noProof/>
              </w:rPr>
              <w:t>Introduction</w:t>
            </w:r>
            <w:r>
              <w:rPr>
                <w:noProof/>
                <w:webHidden/>
              </w:rPr>
              <w:tab/>
            </w:r>
            <w:r>
              <w:rPr>
                <w:noProof/>
                <w:webHidden/>
              </w:rPr>
              <w:fldChar w:fldCharType="begin"/>
            </w:r>
            <w:r>
              <w:rPr>
                <w:noProof/>
                <w:webHidden/>
              </w:rPr>
              <w:instrText xml:space="preserve"> PAGEREF _Toc513752247 \h </w:instrText>
            </w:r>
            <w:r>
              <w:rPr>
                <w:noProof/>
                <w:webHidden/>
              </w:rPr>
            </w:r>
            <w:r>
              <w:rPr>
                <w:noProof/>
                <w:webHidden/>
              </w:rPr>
              <w:fldChar w:fldCharType="separate"/>
            </w:r>
            <w:r w:rsidR="00E46FB0">
              <w:rPr>
                <w:noProof/>
                <w:webHidden/>
              </w:rPr>
              <w:t>2</w:t>
            </w:r>
            <w:r>
              <w:rPr>
                <w:noProof/>
                <w:webHidden/>
              </w:rPr>
              <w:fldChar w:fldCharType="end"/>
            </w:r>
          </w:hyperlink>
        </w:p>
        <w:p w14:paraId="4FC70C1E" w14:textId="272EACB7" w:rsidR="008404A4" w:rsidRDefault="008404A4">
          <w:pPr>
            <w:pStyle w:val="TOC1"/>
            <w:tabs>
              <w:tab w:val="right" w:leader="dot" w:pos="9016"/>
            </w:tabs>
            <w:rPr>
              <w:rFonts w:eastAsiaTheme="minorEastAsia"/>
              <w:noProof/>
              <w:lang w:val="en-US"/>
            </w:rPr>
          </w:pPr>
          <w:hyperlink w:anchor="_Toc513752248" w:history="1">
            <w:r w:rsidRPr="00FA61EF">
              <w:rPr>
                <w:rStyle w:val="Hyperlink"/>
                <w:noProof/>
              </w:rPr>
              <w:t>Procedure</w:t>
            </w:r>
            <w:r>
              <w:rPr>
                <w:noProof/>
                <w:webHidden/>
              </w:rPr>
              <w:tab/>
            </w:r>
            <w:r>
              <w:rPr>
                <w:noProof/>
                <w:webHidden/>
              </w:rPr>
              <w:fldChar w:fldCharType="begin"/>
            </w:r>
            <w:r>
              <w:rPr>
                <w:noProof/>
                <w:webHidden/>
              </w:rPr>
              <w:instrText xml:space="preserve"> PAGEREF _Toc513752248 \h </w:instrText>
            </w:r>
            <w:r>
              <w:rPr>
                <w:noProof/>
                <w:webHidden/>
              </w:rPr>
            </w:r>
            <w:r>
              <w:rPr>
                <w:noProof/>
                <w:webHidden/>
              </w:rPr>
              <w:fldChar w:fldCharType="separate"/>
            </w:r>
            <w:r w:rsidR="00E46FB0">
              <w:rPr>
                <w:noProof/>
                <w:webHidden/>
              </w:rPr>
              <w:t>4</w:t>
            </w:r>
            <w:r>
              <w:rPr>
                <w:noProof/>
                <w:webHidden/>
              </w:rPr>
              <w:fldChar w:fldCharType="end"/>
            </w:r>
          </w:hyperlink>
        </w:p>
        <w:p w14:paraId="2228BD22" w14:textId="7AEB8D11" w:rsidR="008404A4" w:rsidRDefault="008404A4">
          <w:pPr>
            <w:pStyle w:val="TOC1"/>
            <w:tabs>
              <w:tab w:val="right" w:leader="dot" w:pos="9016"/>
            </w:tabs>
            <w:rPr>
              <w:rFonts w:eastAsiaTheme="minorEastAsia"/>
              <w:noProof/>
              <w:lang w:val="en-US"/>
            </w:rPr>
          </w:pPr>
          <w:hyperlink w:anchor="_Toc513752249" w:history="1">
            <w:r w:rsidRPr="00FA61EF">
              <w:rPr>
                <w:rStyle w:val="Hyperlink"/>
                <w:noProof/>
              </w:rPr>
              <w:t>Results</w:t>
            </w:r>
            <w:r>
              <w:rPr>
                <w:noProof/>
                <w:webHidden/>
              </w:rPr>
              <w:tab/>
            </w:r>
            <w:r>
              <w:rPr>
                <w:noProof/>
                <w:webHidden/>
              </w:rPr>
              <w:fldChar w:fldCharType="begin"/>
            </w:r>
            <w:r>
              <w:rPr>
                <w:noProof/>
                <w:webHidden/>
              </w:rPr>
              <w:instrText xml:space="preserve"> PAGEREF _Toc513752249 \h </w:instrText>
            </w:r>
            <w:r>
              <w:rPr>
                <w:noProof/>
                <w:webHidden/>
              </w:rPr>
            </w:r>
            <w:r>
              <w:rPr>
                <w:noProof/>
                <w:webHidden/>
              </w:rPr>
              <w:fldChar w:fldCharType="separate"/>
            </w:r>
            <w:r w:rsidR="00E46FB0">
              <w:rPr>
                <w:noProof/>
                <w:webHidden/>
              </w:rPr>
              <w:t>5</w:t>
            </w:r>
            <w:r>
              <w:rPr>
                <w:noProof/>
                <w:webHidden/>
              </w:rPr>
              <w:fldChar w:fldCharType="end"/>
            </w:r>
          </w:hyperlink>
        </w:p>
        <w:p w14:paraId="0FEC79DA" w14:textId="5C9C6016" w:rsidR="008404A4" w:rsidRDefault="008404A4">
          <w:pPr>
            <w:pStyle w:val="TOC1"/>
            <w:tabs>
              <w:tab w:val="right" w:leader="dot" w:pos="9016"/>
            </w:tabs>
            <w:rPr>
              <w:rFonts w:eastAsiaTheme="minorEastAsia"/>
              <w:noProof/>
              <w:lang w:val="en-US"/>
            </w:rPr>
          </w:pPr>
          <w:hyperlink w:anchor="_Toc513752250" w:history="1">
            <w:r w:rsidRPr="00FA61EF">
              <w:rPr>
                <w:rStyle w:val="Hyperlink"/>
                <w:noProof/>
              </w:rPr>
              <w:t>Discussion</w:t>
            </w:r>
            <w:r>
              <w:rPr>
                <w:noProof/>
                <w:webHidden/>
              </w:rPr>
              <w:tab/>
            </w:r>
            <w:r>
              <w:rPr>
                <w:noProof/>
                <w:webHidden/>
              </w:rPr>
              <w:fldChar w:fldCharType="begin"/>
            </w:r>
            <w:r>
              <w:rPr>
                <w:noProof/>
                <w:webHidden/>
              </w:rPr>
              <w:instrText xml:space="preserve"> PAGEREF _Toc513752250 \h </w:instrText>
            </w:r>
            <w:r>
              <w:rPr>
                <w:noProof/>
                <w:webHidden/>
              </w:rPr>
            </w:r>
            <w:r>
              <w:rPr>
                <w:noProof/>
                <w:webHidden/>
              </w:rPr>
              <w:fldChar w:fldCharType="separate"/>
            </w:r>
            <w:r w:rsidR="00E46FB0">
              <w:rPr>
                <w:noProof/>
                <w:webHidden/>
              </w:rPr>
              <w:t>6</w:t>
            </w:r>
            <w:r>
              <w:rPr>
                <w:noProof/>
                <w:webHidden/>
              </w:rPr>
              <w:fldChar w:fldCharType="end"/>
            </w:r>
          </w:hyperlink>
        </w:p>
        <w:p w14:paraId="7E0B5205" w14:textId="20D61B0B" w:rsidR="008404A4" w:rsidRDefault="008404A4">
          <w:pPr>
            <w:pStyle w:val="TOC2"/>
            <w:tabs>
              <w:tab w:val="right" w:leader="dot" w:pos="9016"/>
            </w:tabs>
            <w:rPr>
              <w:rFonts w:eastAsiaTheme="minorEastAsia"/>
              <w:noProof/>
              <w:lang w:val="en-US"/>
            </w:rPr>
          </w:pPr>
          <w:hyperlink w:anchor="_Toc513752251" w:history="1">
            <w:r w:rsidRPr="00FA61EF">
              <w:rPr>
                <w:rStyle w:val="Hyperlink"/>
                <w:noProof/>
              </w:rPr>
              <w:t>Inaccuracy</w:t>
            </w:r>
            <w:r>
              <w:rPr>
                <w:noProof/>
                <w:webHidden/>
              </w:rPr>
              <w:tab/>
            </w:r>
            <w:r>
              <w:rPr>
                <w:noProof/>
                <w:webHidden/>
              </w:rPr>
              <w:fldChar w:fldCharType="begin"/>
            </w:r>
            <w:r>
              <w:rPr>
                <w:noProof/>
                <w:webHidden/>
              </w:rPr>
              <w:instrText xml:space="preserve"> PAGEREF _Toc513752251 \h </w:instrText>
            </w:r>
            <w:r>
              <w:rPr>
                <w:noProof/>
                <w:webHidden/>
              </w:rPr>
            </w:r>
            <w:r>
              <w:rPr>
                <w:noProof/>
                <w:webHidden/>
              </w:rPr>
              <w:fldChar w:fldCharType="separate"/>
            </w:r>
            <w:r w:rsidR="00E46FB0">
              <w:rPr>
                <w:noProof/>
                <w:webHidden/>
              </w:rPr>
              <w:t>6</w:t>
            </w:r>
            <w:r>
              <w:rPr>
                <w:noProof/>
                <w:webHidden/>
              </w:rPr>
              <w:fldChar w:fldCharType="end"/>
            </w:r>
          </w:hyperlink>
        </w:p>
        <w:p w14:paraId="13568201" w14:textId="10BAAE71" w:rsidR="008404A4" w:rsidRDefault="008404A4">
          <w:pPr>
            <w:pStyle w:val="TOC2"/>
            <w:tabs>
              <w:tab w:val="right" w:leader="dot" w:pos="9016"/>
            </w:tabs>
            <w:rPr>
              <w:rFonts w:eastAsiaTheme="minorEastAsia"/>
              <w:noProof/>
              <w:lang w:val="en-US"/>
            </w:rPr>
          </w:pPr>
          <w:hyperlink w:anchor="_Toc513752252" w:history="1">
            <w:r w:rsidRPr="00FA61EF">
              <w:rPr>
                <w:rStyle w:val="Hyperlink"/>
                <w:noProof/>
              </w:rPr>
              <w:t>Data Analysis</w:t>
            </w:r>
            <w:r>
              <w:rPr>
                <w:noProof/>
                <w:webHidden/>
              </w:rPr>
              <w:tab/>
            </w:r>
            <w:r>
              <w:rPr>
                <w:noProof/>
                <w:webHidden/>
              </w:rPr>
              <w:fldChar w:fldCharType="begin"/>
            </w:r>
            <w:r>
              <w:rPr>
                <w:noProof/>
                <w:webHidden/>
              </w:rPr>
              <w:instrText xml:space="preserve"> PAGEREF _Toc513752252 \h </w:instrText>
            </w:r>
            <w:r>
              <w:rPr>
                <w:noProof/>
                <w:webHidden/>
              </w:rPr>
            </w:r>
            <w:r>
              <w:rPr>
                <w:noProof/>
                <w:webHidden/>
              </w:rPr>
              <w:fldChar w:fldCharType="separate"/>
            </w:r>
            <w:r w:rsidR="00E46FB0">
              <w:rPr>
                <w:noProof/>
                <w:webHidden/>
              </w:rPr>
              <w:t>7</w:t>
            </w:r>
            <w:r>
              <w:rPr>
                <w:noProof/>
                <w:webHidden/>
              </w:rPr>
              <w:fldChar w:fldCharType="end"/>
            </w:r>
          </w:hyperlink>
        </w:p>
        <w:p w14:paraId="78C62153" w14:textId="222782A6" w:rsidR="008404A4" w:rsidRDefault="008404A4">
          <w:pPr>
            <w:pStyle w:val="TOC1"/>
            <w:tabs>
              <w:tab w:val="right" w:leader="dot" w:pos="9016"/>
            </w:tabs>
            <w:rPr>
              <w:rFonts w:eastAsiaTheme="minorEastAsia"/>
              <w:noProof/>
              <w:lang w:val="en-US"/>
            </w:rPr>
          </w:pPr>
          <w:hyperlink w:anchor="_Toc513752253" w:history="1">
            <w:r w:rsidRPr="00FA61EF">
              <w:rPr>
                <w:rStyle w:val="Hyperlink"/>
                <w:noProof/>
              </w:rPr>
              <w:t>Conclusion</w:t>
            </w:r>
            <w:r>
              <w:rPr>
                <w:noProof/>
                <w:webHidden/>
              </w:rPr>
              <w:tab/>
            </w:r>
            <w:r>
              <w:rPr>
                <w:noProof/>
                <w:webHidden/>
              </w:rPr>
              <w:fldChar w:fldCharType="begin"/>
            </w:r>
            <w:r>
              <w:rPr>
                <w:noProof/>
                <w:webHidden/>
              </w:rPr>
              <w:instrText xml:space="preserve"> PAGEREF _Toc513752253 \h </w:instrText>
            </w:r>
            <w:r>
              <w:rPr>
                <w:noProof/>
                <w:webHidden/>
              </w:rPr>
            </w:r>
            <w:r>
              <w:rPr>
                <w:noProof/>
                <w:webHidden/>
              </w:rPr>
              <w:fldChar w:fldCharType="separate"/>
            </w:r>
            <w:r w:rsidR="00E46FB0">
              <w:rPr>
                <w:noProof/>
                <w:webHidden/>
              </w:rPr>
              <w:t>8</w:t>
            </w:r>
            <w:r>
              <w:rPr>
                <w:noProof/>
                <w:webHidden/>
              </w:rPr>
              <w:fldChar w:fldCharType="end"/>
            </w:r>
          </w:hyperlink>
        </w:p>
        <w:p w14:paraId="63F9597F" w14:textId="072EF17C" w:rsidR="008404A4" w:rsidRDefault="008404A4">
          <w:pPr>
            <w:pStyle w:val="TOC1"/>
            <w:tabs>
              <w:tab w:val="right" w:leader="dot" w:pos="9016"/>
            </w:tabs>
            <w:rPr>
              <w:rFonts w:eastAsiaTheme="minorEastAsia"/>
              <w:noProof/>
              <w:lang w:val="en-US"/>
            </w:rPr>
          </w:pPr>
          <w:hyperlink w:anchor="_Toc513752254" w:history="1">
            <w:r w:rsidRPr="00FA61EF">
              <w:rPr>
                <w:rStyle w:val="Hyperlink"/>
                <w:noProof/>
              </w:rPr>
              <w:t>Appendix</w:t>
            </w:r>
            <w:r>
              <w:rPr>
                <w:noProof/>
                <w:webHidden/>
              </w:rPr>
              <w:tab/>
            </w:r>
            <w:r>
              <w:rPr>
                <w:noProof/>
                <w:webHidden/>
              </w:rPr>
              <w:fldChar w:fldCharType="begin"/>
            </w:r>
            <w:r>
              <w:rPr>
                <w:noProof/>
                <w:webHidden/>
              </w:rPr>
              <w:instrText xml:space="preserve"> PAGEREF _Toc513752254 \h </w:instrText>
            </w:r>
            <w:r>
              <w:rPr>
                <w:noProof/>
                <w:webHidden/>
              </w:rPr>
            </w:r>
            <w:r>
              <w:rPr>
                <w:noProof/>
                <w:webHidden/>
              </w:rPr>
              <w:fldChar w:fldCharType="separate"/>
            </w:r>
            <w:r w:rsidR="00E46FB0">
              <w:rPr>
                <w:noProof/>
                <w:webHidden/>
              </w:rPr>
              <w:t>9</w:t>
            </w:r>
            <w:r>
              <w:rPr>
                <w:noProof/>
                <w:webHidden/>
              </w:rPr>
              <w:fldChar w:fldCharType="end"/>
            </w:r>
          </w:hyperlink>
        </w:p>
        <w:p w14:paraId="6FEB5026" w14:textId="35E7BC7D" w:rsidR="008404A4" w:rsidRDefault="008404A4">
          <w:pPr>
            <w:pStyle w:val="TOC2"/>
            <w:tabs>
              <w:tab w:val="right" w:leader="dot" w:pos="9016"/>
            </w:tabs>
            <w:rPr>
              <w:rFonts w:eastAsiaTheme="minorEastAsia"/>
              <w:noProof/>
              <w:lang w:val="en-US"/>
            </w:rPr>
          </w:pPr>
          <w:hyperlink w:anchor="_Toc513752255" w:history="1">
            <w:r w:rsidRPr="00FA61EF">
              <w:rPr>
                <w:rStyle w:val="Hyperlink"/>
                <w:noProof/>
              </w:rPr>
              <w:t>Calculations</w:t>
            </w:r>
            <w:r>
              <w:rPr>
                <w:noProof/>
                <w:webHidden/>
              </w:rPr>
              <w:tab/>
            </w:r>
            <w:r>
              <w:rPr>
                <w:noProof/>
                <w:webHidden/>
              </w:rPr>
              <w:fldChar w:fldCharType="begin"/>
            </w:r>
            <w:r>
              <w:rPr>
                <w:noProof/>
                <w:webHidden/>
              </w:rPr>
              <w:instrText xml:space="preserve"> PAGEREF _Toc513752255 \h </w:instrText>
            </w:r>
            <w:r>
              <w:rPr>
                <w:noProof/>
                <w:webHidden/>
              </w:rPr>
            </w:r>
            <w:r>
              <w:rPr>
                <w:noProof/>
                <w:webHidden/>
              </w:rPr>
              <w:fldChar w:fldCharType="separate"/>
            </w:r>
            <w:r w:rsidR="00E46FB0">
              <w:rPr>
                <w:noProof/>
                <w:webHidden/>
              </w:rPr>
              <w:t>9</w:t>
            </w:r>
            <w:r>
              <w:rPr>
                <w:noProof/>
                <w:webHidden/>
              </w:rPr>
              <w:fldChar w:fldCharType="end"/>
            </w:r>
          </w:hyperlink>
        </w:p>
        <w:p w14:paraId="316EBB0A" w14:textId="52386840" w:rsidR="008404A4" w:rsidRDefault="008404A4">
          <w:pPr>
            <w:pStyle w:val="TOC1"/>
            <w:tabs>
              <w:tab w:val="right" w:leader="dot" w:pos="9016"/>
            </w:tabs>
            <w:rPr>
              <w:rFonts w:eastAsiaTheme="minorEastAsia"/>
              <w:noProof/>
              <w:lang w:val="en-US"/>
            </w:rPr>
          </w:pPr>
          <w:hyperlink w:anchor="_Toc513752256" w:history="1">
            <w:r w:rsidRPr="00FA61EF">
              <w:rPr>
                <w:rStyle w:val="Hyperlink"/>
                <w:noProof/>
              </w:rPr>
              <w:t>Bibliography</w:t>
            </w:r>
            <w:r>
              <w:rPr>
                <w:noProof/>
                <w:webHidden/>
              </w:rPr>
              <w:tab/>
            </w:r>
            <w:r>
              <w:rPr>
                <w:noProof/>
                <w:webHidden/>
              </w:rPr>
              <w:fldChar w:fldCharType="begin"/>
            </w:r>
            <w:r>
              <w:rPr>
                <w:noProof/>
                <w:webHidden/>
              </w:rPr>
              <w:instrText xml:space="preserve"> PAGEREF _Toc513752256 \h </w:instrText>
            </w:r>
            <w:r>
              <w:rPr>
                <w:noProof/>
                <w:webHidden/>
              </w:rPr>
            </w:r>
            <w:r>
              <w:rPr>
                <w:noProof/>
                <w:webHidden/>
              </w:rPr>
              <w:fldChar w:fldCharType="separate"/>
            </w:r>
            <w:r w:rsidR="00E46FB0">
              <w:rPr>
                <w:noProof/>
                <w:webHidden/>
              </w:rPr>
              <w:t>10</w:t>
            </w:r>
            <w:r>
              <w:rPr>
                <w:noProof/>
                <w:webHidden/>
              </w:rPr>
              <w:fldChar w:fldCharType="end"/>
            </w:r>
          </w:hyperlink>
        </w:p>
        <w:p w14:paraId="1F51BDE2" w14:textId="18639305" w:rsidR="00451A57" w:rsidRDefault="00451A57">
          <w:r>
            <w:rPr>
              <w:b/>
              <w:bCs/>
              <w:noProof/>
            </w:rPr>
            <w:fldChar w:fldCharType="end"/>
          </w:r>
        </w:p>
      </w:sdtContent>
    </w:sdt>
    <w:p w14:paraId="2EE179DF" w14:textId="69C692B9" w:rsidR="006F6F01" w:rsidRDefault="006F6F01" w:rsidP="006F6F01">
      <w:pPr>
        <w:pStyle w:val="Title"/>
      </w:pPr>
    </w:p>
    <w:p w14:paraId="01F7A897" w14:textId="150B531E" w:rsidR="00451A57" w:rsidRDefault="00451A57" w:rsidP="00451A57"/>
    <w:p w14:paraId="6E806A75" w14:textId="4F810310" w:rsidR="00451A57" w:rsidRDefault="00451A57" w:rsidP="00451A57"/>
    <w:p w14:paraId="235F60B2" w14:textId="1D0D4503" w:rsidR="00451A57" w:rsidRDefault="00451A57" w:rsidP="00451A57"/>
    <w:p w14:paraId="211D4E59" w14:textId="7C536007" w:rsidR="00451A57" w:rsidRDefault="00451A57" w:rsidP="00451A57"/>
    <w:p w14:paraId="2597F97C" w14:textId="524AD726" w:rsidR="00451A57" w:rsidRDefault="00451A57" w:rsidP="00451A57"/>
    <w:p w14:paraId="1C2CA320" w14:textId="777ABFB0" w:rsidR="00451A57" w:rsidRDefault="00451A57" w:rsidP="00451A57"/>
    <w:p w14:paraId="3B18C490" w14:textId="4039AB71" w:rsidR="00451A57" w:rsidRDefault="00451A57" w:rsidP="00451A57"/>
    <w:p w14:paraId="7F72F3CD" w14:textId="77FFF2EF" w:rsidR="00451A57" w:rsidRDefault="00451A57" w:rsidP="00451A57"/>
    <w:p w14:paraId="3117B795" w14:textId="75EA933C" w:rsidR="00451A57" w:rsidRDefault="00451A57" w:rsidP="00451A57"/>
    <w:p w14:paraId="431F6945" w14:textId="27165B4D" w:rsidR="00451A57" w:rsidRDefault="00451A57" w:rsidP="00451A57"/>
    <w:p w14:paraId="1FB96DA5" w14:textId="27B01029" w:rsidR="00451A57" w:rsidRDefault="00451A57" w:rsidP="00451A57"/>
    <w:p w14:paraId="2868B7BB" w14:textId="545D5BAC" w:rsidR="00451A57" w:rsidRDefault="00451A57" w:rsidP="00451A57"/>
    <w:p w14:paraId="1C92AE0D" w14:textId="422BF706" w:rsidR="00451A57" w:rsidRDefault="00451A57" w:rsidP="00451A57"/>
    <w:p w14:paraId="2BB073E7" w14:textId="2B5B2CC7" w:rsidR="00451A57" w:rsidRDefault="00451A57" w:rsidP="00451A57"/>
    <w:p w14:paraId="63D1892F" w14:textId="210A42F9" w:rsidR="00451A57" w:rsidRDefault="00451A57" w:rsidP="00451A57"/>
    <w:p w14:paraId="21B80F2B" w14:textId="33B4F7E8" w:rsidR="00CC7C77" w:rsidRDefault="00CC7C77" w:rsidP="00451A57"/>
    <w:p w14:paraId="409746B0" w14:textId="13FA1F54" w:rsidR="00CC7C77" w:rsidRDefault="00CC7C77" w:rsidP="00451A57"/>
    <w:p w14:paraId="7D909561" w14:textId="77777777" w:rsidR="00CC7C77" w:rsidRDefault="00CC7C77" w:rsidP="00451A57"/>
    <w:p w14:paraId="46038A2F" w14:textId="794D5096" w:rsidR="001038A3" w:rsidRDefault="001038A3" w:rsidP="00451A57">
      <w:pPr>
        <w:pStyle w:val="Heading1"/>
      </w:pPr>
      <w:bookmarkStart w:id="0" w:name="_Toc513752246"/>
      <w:r>
        <w:lastRenderedPageBreak/>
        <w:t>Abstract</w:t>
      </w:r>
      <w:bookmarkEnd w:id="0"/>
    </w:p>
    <w:p w14:paraId="2F2DD85C" w14:textId="2DE1E247" w:rsidR="002034F0" w:rsidRPr="00984F50" w:rsidRDefault="00C24C46" w:rsidP="001038A3">
      <w:r>
        <w:t xml:space="preserve">This report details the </w:t>
      </w:r>
      <w:r w:rsidR="00D80708">
        <w:t xml:space="preserve">effects </w:t>
      </w:r>
      <w:r w:rsidR="00E86DE5">
        <w:t xml:space="preserve">of temperature on the conductivity of a germanium crystal. The conductivity is calculated </w:t>
      </w:r>
      <w:r w:rsidR="00A072B5">
        <w:t xml:space="preserve">by </w:t>
      </w:r>
      <w:r w:rsidR="00D45EB7">
        <w:t>using data obtained via the four</w:t>
      </w:r>
      <w:r w:rsidR="00E47C25">
        <w:t>-</w:t>
      </w:r>
      <w:r w:rsidR="00D45EB7">
        <w:t>probe method</w:t>
      </w:r>
      <w:r w:rsidR="00A072B5">
        <w:t>.</w:t>
      </w:r>
      <w:r w:rsidR="002034F0">
        <w:t xml:space="preserve"> It was found that an increase in temperature increased the conductivity of the material. This is as the thermal agitation of </w:t>
      </w:r>
      <w:r w:rsidR="00C67615">
        <w:t xml:space="preserve">the </w:t>
      </w:r>
      <w:r w:rsidR="002034F0">
        <w:t>electrons in the valence band forced them across the band gap of the material and into the conduction band</w:t>
      </w:r>
      <w:r w:rsidR="00D45EB7">
        <w:t xml:space="preserve">, thus engaging the </w:t>
      </w:r>
      <w:r w:rsidR="00D45EB7">
        <w:rPr>
          <w:i/>
        </w:rPr>
        <w:t xml:space="preserve">intrinsic </w:t>
      </w:r>
      <w:r w:rsidR="00D45EB7">
        <w:t>conductivity of the germanium.</w:t>
      </w:r>
      <w:r w:rsidR="008533CA">
        <w:t xml:space="preserve"> This </w:t>
      </w:r>
      <w:r w:rsidR="00984F50">
        <w:t>data was used to calculate the energy band gap for germanium</w:t>
      </w:r>
      <w:r w:rsidR="006429B8">
        <w:t>. T</w:t>
      </w:r>
      <w:r w:rsidR="00984F50">
        <w:t xml:space="preserve">he </w:t>
      </w:r>
      <w:r w:rsidR="00007B2B">
        <w:t xml:space="preserve">bandgap </w:t>
      </w:r>
      <w:r w:rsidR="00984F50">
        <w:t xml:space="preserve">value </w:t>
      </w:r>
      <w:r w:rsidR="00007B2B">
        <w:t xml:space="preserve">calculated using experimental data </w:t>
      </w:r>
      <w:r w:rsidR="00984F50">
        <w:t xml:space="preserve">was </w:t>
      </w:r>
      <w:r w:rsidR="00A96F93" w:rsidRPr="00A96F93">
        <w:t>0.516</w:t>
      </w:r>
      <w:r w:rsidR="008067A6">
        <w:t>0</w:t>
      </w:r>
      <w:r w:rsidR="00A96F93">
        <w:rPr>
          <w:b/>
        </w:rPr>
        <w:t xml:space="preserve"> </w:t>
      </w:r>
      <w:r w:rsidR="00F82E3B">
        <w:t>± 0.026</w:t>
      </w:r>
      <w:r w:rsidR="00A96F93">
        <w:t>eV</w:t>
      </w:r>
      <w:r w:rsidR="006429B8">
        <w:rPr>
          <w:b/>
        </w:rPr>
        <w:t xml:space="preserve"> </w:t>
      </w:r>
      <w:r w:rsidR="006429B8">
        <w:t>and t</w:t>
      </w:r>
      <w:r w:rsidR="00984F50">
        <w:t xml:space="preserve">he value </w:t>
      </w:r>
      <w:r w:rsidR="00007B2B">
        <w:t>calculated using theoretical data was</w:t>
      </w:r>
      <w:bookmarkStart w:id="1" w:name="_GoBack"/>
      <w:bookmarkEnd w:id="1"/>
      <w:r w:rsidR="00D77C40">
        <w:t xml:space="preserve"> </w:t>
      </w:r>
      <w:r w:rsidR="00A96F93">
        <w:t>0.4429</w:t>
      </w:r>
      <w:r w:rsidR="00604C5D">
        <w:t xml:space="preserve"> </w:t>
      </w:r>
      <w:r w:rsidR="00F82E3B">
        <w:t>±0.026</w:t>
      </w:r>
      <w:r w:rsidR="00604C5D">
        <w:t>eV</w:t>
      </w:r>
      <w:r w:rsidR="00984F50" w:rsidRPr="00A96F93">
        <w:t>.</w:t>
      </w:r>
      <w:r w:rsidR="00984F50">
        <w:t xml:space="preserve"> </w:t>
      </w:r>
      <w:r w:rsidR="005A3AD8">
        <w:t>This is 20-40% less than the actual value of the band gap in germanium which is 0.66 eV</w:t>
      </w:r>
      <w:sdt>
        <w:sdtPr>
          <w:id w:val="757324016"/>
          <w:citation/>
        </w:sdtPr>
        <w:sdtEndPr/>
        <w:sdtContent>
          <w:r w:rsidR="004426D4">
            <w:fldChar w:fldCharType="begin"/>
          </w:r>
          <w:r w:rsidR="004426D4">
            <w:rPr>
              <w:lang w:val="en-US"/>
            </w:rPr>
            <w:instrText xml:space="preserve"> CITATION Mat18 \l 1033 </w:instrText>
          </w:r>
          <w:r w:rsidR="004426D4">
            <w:fldChar w:fldCharType="separate"/>
          </w:r>
          <w:r w:rsidR="00007B2B">
            <w:rPr>
              <w:noProof/>
              <w:lang w:val="en-US"/>
            </w:rPr>
            <w:t xml:space="preserve"> </w:t>
          </w:r>
          <w:r w:rsidR="00007B2B" w:rsidRPr="00007B2B">
            <w:rPr>
              <w:noProof/>
              <w:lang w:val="en-US"/>
            </w:rPr>
            <w:t>[1]</w:t>
          </w:r>
          <w:r w:rsidR="004426D4">
            <w:fldChar w:fldCharType="end"/>
          </w:r>
        </w:sdtContent>
      </w:sdt>
      <w:r w:rsidR="004426D4">
        <w:t>.</w:t>
      </w:r>
    </w:p>
    <w:p w14:paraId="72BA57DD" w14:textId="77777777" w:rsidR="005E3E9C" w:rsidRDefault="005E3E9C" w:rsidP="00451A57">
      <w:pPr>
        <w:pStyle w:val="Heading1"/>
      </w:pPr>
    </w:p>
    <w:p w14:paraId="702032B7" w14:textId="155D25E8" w:rsidR="00A201F8" w:rsidRDefault="00451A57" w:rsidP="00A201F8">
      <w:pPr>
        <w:pStyle w:val="Heading1"/>
      </w:pPr>
      <w:bookmarkStart w:id="2" w:name="_Toc513752247"/>
      <w:r>
        <w:t>Introduction</w:t>
      </w:r>
      <w:bookmarkEnd w:id="2"/>
    </w:p>
    <w:p w14:paraId="2FEF79EC" w14:textId="03AE27FE" w:rsidR="00046123" w:rsidRDefault="00460701" w:rsidP="00CE2ADE">
      <w:r>
        <w:t>The conductive properties of semiconducting materials are dependent on the band structure of the</w:t>
      </w:r>
      <w:r w:rsidR="006E7124">
        <w:t xml:space="preserve"> </w:t>
      </w:r>
      <w:r>
        <w:t>energy levels of their electrons.</w:t>
      </w:r>
      <w:r w:rsidR="00BC32D1">
        <w:t xml:space="preserve"> The band structure is modelled as consisting of a conduction band and a valence band (See figure 1).</w:t>
      </w:r>
      <w:r>
        <w:t xml:space="preserve"> </w:t>
      </w:r>
    </w:p>
    <w:p w14:paraId="2E1EDE51" w14:textId="77777777" w:rsidR="00A00C86" w:rsidRDefault="00A00C86" w:rsidP="00A00C86">
      <w:pPr>
        <w:keepNext/>
      </w:pPr>
      <w:r>
        <w:rPr>
          <w:noProof/>
        </w:rPr>
        <w:drawing>
          <wp:inline distT="0" distB="0" distL="0" distR="0" wp14:anchorId="32EEF318" wp14:editId="13F0BD02">
            <wp:extent cx="2939544" cy="1545911"/>
            <wp:effectExtent l="19050" t="19050" r="13335" b="16510"/>
            <wp:docPr id="8" name="Picture 8" descr="http://hyperphysics.phy-astr.gsu.edu/hbase/Solids/imgsol/ban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yperphysics.phy-astr.gsu.edu/hbase/Solids/imgsol/band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326" cy="1556314"/>
                    </a:xfrm>
                    <a:prstGeom prst="rect">
                      <a:avLst/>
                    </a:prstGeom>
                    <a:noFill/>
                    <a:ln>
                      <a:solidFill>
                        <a:schemeClr val="tx1"/>
                      </a:solidFill>
                    </a:ln>
                  </pic:spPr>
                </pic:pic>
              </a:graphicData>
            </a:graphic>
          </wp:inline>
        </w:drawing>
      </w:r>
    </w:p>
    <w:p w14:paraId="4F2C74D7" w14:textId="3E36644A" w:rsidR="00A00C86" w:rsidRDefault="00A00C86" w:rsidP="00A00C86">
      <w:pPr>
        <w:pStyle w:val="Caption"/>
      </w:pPr>
      <w:r>
        <w:t xml:space="preserve">Figure </w:t>
      </w:r>
      <w:fldSimple w:instr=" SEQ Figure \* ARABIC ">
        <w:r w:rsidR="00E46FB0">
          <w:rPr>
            <w:noProof/>
          </w:rPr>
          <w:t>1</w:t>
        </w:r>
      </w:fldSimple>
      <w:r>
        <w:t>: Model of the band structure of an insulator, semiconductor and conductor.</w:t>
      </w:r>
    </w:p>
    <w:p w14:paraId="4D5CA67E" w14:textId="388E5B66" w:rsidR="009C18C7" w:rsidRDefault="00A00C86" w:rsidP="00A00C86">
      <w:r>
        <w:t>The size of the energy band gap determines the amount of energy required to move an electron from the valence band to the conduction band. The highest energy level in the valence band is called the “Fermi level</w:t>
      </w:r>
      <w:r w:rsidR="001C6764">
        <w:t>”</w:t>
      </w:r>
      <w:r w:rsidR="006173A3">
        <w:t xml:space="preserve">. </w:t>
      </w:r>
      <w:r w:rsidR="00F61CCA">
        <w:t xml:space="preserve">By reducing the gap between </w:t>
      </w:r>
      <w:r w:rsidR="001C6764">
        <w:t>the Fermi level and the next allowable energy level</w:t>
      </w:r>
      <w:r w:rsidR="00F61CCA">
        <w:t xml:space="preserve"> </w:t>
      </w:r>
      <w:r w:rsidR="001C6764">
        <w:t xml:space="preserve">a material’s </w:t>
      </w:r>
      <w:r w:rsidR="00F61CCA">
        <w:t>conducti</w:t>
      </w:r>
      <w:r w:rsidR="00A50281">
        <w:t>ve properties</w:t>
      </w:r>
      <w:r w:rsidR="00F61CCA">
        <w:t xml:space="preserve"> will improve</w:t>
      </w:r>
      <w:r w:rsidR="00F114BF">
        <w:t xml:space="preserve">. </w:t>
      </w:r>
    </w:p>
    <w:p w14:paraId="7E3E5101" w14:textId="265C69D2" w:rsidR="009C18C7" w:rsidRDefault="00940B4C" w:rsidP="00A00C86">
      <w:r>
        <w:t>Another method</w:t>
      </w:r>
      <w:r w:rsidR="009C18C7">
        <w:t xml:space="preserve"> of </w:t>
      </w:r>
      <w:r>
        <w:t xml:space="preserve">improving </w:t>
      </w:r>
      <w:r w:rsidR="009C18C7">
        <w:t xml:space="preserve">a semiconductor’s </w:t>
      </w:r>
      <w:r>
        <w:t xml:space="preserve">conductive properties </w:t>
      </w:r>
      <w:r w:rsidR="009C18C7">
        <w:t>is called “doping</w:t>
      </w:r>
      <w:r w:rsidR="00CF7182">
        <w:t>”</w:t>
      </w:r>
      <w:r w:rsidR="009C18C7">
        <w:t xml:space="preserve">. This is where </w:t>
      </w:r>
      <w:r w:rsidR="001D0BB4">
        <w:t xml:space="preserve">molecular </w:t>
      </w:r>
      <w:r w:rsidR="00225742">
        <w:t>impurities</w:t>
      </w:r>
      <w:r w:rsidR="009C18C7">
        <w:t xml:space="preserve"> </w:t>
      </w:r>
      <w:r w:rsidR="00225742">
        <w:t>are</w:t>
      </w:r>
      <w:r w:rsidR="002B37E2">
        <w:t xml:space="preserve"> </w:t>
      </w:r>
      <w:r w:rsidR="001D0BB4">
        <w:t>created</w:t>
      </w:r>
      <w:r w:rsidR="00225742">
        <w:t xml:space="preserve"> </w:t>
      </w:r>
      <w:r w:rsidR="00335C9B">
        <w:t>by bonding group 3 or group 5 elements with</w:t>
      </w:r>
      <w:r w:rsidR="008E70CA">
        <w:t xml:space="preserve"> group 4 (metalloids)</w:t>
      </w:r>
      <w:r w:rsidR="002B37E2">
        <w:t xml:space="preserve"> for example silicon phosphate or germanium phosphate.</w:t>
      </w:r>
      <w:r w:rsidR="00B902CB">
        <w:t xml:space="preserve"> </w:t>
      </w:r>
      <w:r w:rsidR="003067A6">
        <w:t xml:space="preserve">The impurity introduces </w:t>
      </w:r>
      <w:r w:rsidR="001D0BB4">
        <w:t>additional charge carrying conductors, either electrons (n-type) or electron holes</w:t>
      </w:r>
      <w:r w:rsidR="00F33728">
        <w:t xml:space="preserve"> (p-type)</w:t>
      </w:r>
      <w:r>
        <w:t xml:space="preserve"> (see Figure 2)</w:t>
      </w:r>
      <w:r w:rsidR="00F33728">
        <w:t>.</w:t>
      </w:r>
      <w:r w:rsidR="004B7C1E">
        <w:t xml:space="preserve"> </w:t>
      </w:r>
      <w:r w:rsidR="00BF3B94">
        <w:t xml:space="preserve">This type of conduction is termed </w:t>
      </w:r>
      <w:r w:rsidR="00BF3B94">
        <w:rPr>
          <w:i/>
        </w:rPr>
        <w:t xml:space="preserve">extrinsic </w:t>
      </w:r>
      <w:r w:rsidR="00BF3B94">
        <w:t xml:space="preserve">as it does not depend on the </w:t>
      </w:r>
      <w:r w:rsidR="00810234">
        <w:t xml:space="preserve">base element </w:t>
      </w:r>
      <w:r w:rsidR="00BF3B94">
        <w:t>but the introduced impurity</w:t>
      </w:r>
      <w:r w:rsidR="0019682F">
        <w:t>.</w:t>
      </w:r>
    </w:p>
    <w:p w14:paraId="24494317" w14:textId="77777777" w:rsidR="004F3403" w:rsidRDefault="004F3403" w:rsidP="004F3403">
      <w:pPr>
        <w:keepNext/>
      </w:pPr>
      <w:r>
        <w:rPr>
          <w:noProof/>
        </w:rPr>
        <w:lastRenderedPageBreak/>
        <w:drawing>
          <wp:inline distT="0" distB="0" distL="0" distR="0" wp14:anchorId="61746856" wp14:editId="091717B9">
            <wp:extent cx="3461093" cy="1448409"/>
            <wp:effectExtent l="19050" t="19050" r="25400" b="19050"/>
            <wp:docPr id="11" name="Picture 11" descr="Image result for doped germa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oped german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545" cy="1466593"/>
                    </a:xfrm>
                    <a:prstGeom prst="rect">
                      <a:avLst/>
                    </a:prstGeom>
                    <a:noFill/>
                    <a:ln>
                      <a:solidFill>
                        <a:schemeClr val="tx1"/>
                      </a:solidFill>
                    </a:ln>
                  </pic:spPr>
                </pic:pic>
              </a:graphicData>
            </a:graphic>
          </wp:inline>
        </w:drawing>
      </w:r>
    </w:p>
    <w:p w14:paraId="42546B4A" w14:textId="54DFFB99" w:rsidR="004F3403" w:rsidRDefault="004F3403" w:rsidP="004F3403">
      <w:pPr>
        <w:pStyle w:val="Caption"/>
      </w:pPr>
      <w:r>
        <w:t xml:space="preserve">Figure </w:t>
      </w:r>
      <w:fldSimple w:instr=" SEQ Figure \* ARABIC ">
        <w:r w:rsidR="00E46FB0">
          <w:rPr>
            <w:noProof/>
          </w:rPr>
          <w:t>2</w:t>
        </w:r>
      </w:fldSimple>
      <w:r>
        <w:t>: Different types of charged carries created by impurities in a silicon crystal.</w:t>
      </w:r>
    </w:p>
    <w:p w14:paraId="1741214C" w14:textId="23F8ED98" w:rsidR="00810234" w:rsidRPr="004F3403" w:rsidRDefault="004F3403" w:rsidP="00A00C86">
      <w:r>
        <w:t xml:space="preserve">Further by agitating electrons in the valence band of a semiconductor they will be sufficiently energised to jump across the band gap and into the conduction band. </w:t>
      </w:r>
      <w:r w:rsidR="001200BC">
        <w:t>This creates additional electrons n-type charge carries in the conduction band and p-type charge carries in the valence band.</w:t>
      </w:r>
      <w:r w:rsidR="00D8718E">
        <w:t xml:space="preserve"> </w:t>
      </w:r>
      <w:r>
        <w:t xml:space="preserve">This will promote conduction in the material and is termed </w:t>
      </w:r>
      <w:r>
        <w:rPr>
          <w:i/>
        </w:rPr>
        <w:t xml:space="preserve">intrinsic </w:t>
      </w:r>
      <w:r>
        <w:t>conduction.</w:t>
      </w:r>
      <w:r w:rsidR="008224ED">
        <w:t xml:space="preserve"> At absolute zero (0 °K) all electrons will be in the valence band of a material.</w:t>
      </w:r>
    </w:p>
    <w:p w14:paraId="0503CF3E" w14:textId="653BA4DA" w:rsidR="00537831" w:rsidRDefault="006D5EE3" w:rsidP="00A00C86">
      <w:r>
        <w:t>Germanium</w:t>
      </w:r>
      <w:r w:rsidR="00C83C12">
        <w:t xml:space="preserve"> </w:t>
      </w:r>
      <w:r>
        <w:t xml:space="preserve">is a metalloid or semimetal, meaning it exhibits properties </w:t>
      </w:r>
      <w:r w:rsidR="00C83C12">
        <w:t>like</w:t>
      </w:r>
      <w:r>
        <w:t xml:space="preserve"> that of a metal, most notably its conductive properties.</w:t>
      </w:r>
      <w:r w:rsidR="00DC7A7F">
        <w:t xml:space="preserve"> It also has a diamond cubic crystal structure</w:t>
      </w:r>
      <w:r w:rsidR="004D4121">
        <w:t xml:space="preserve"> (see </w:t>
      </w:r>
      <w:r w:rsidR="004B7C1E">
        <w:t>F</w:t>
      </w:r>
      <w:r w:rsidR="004D4121">
        <w:t xml:space="preserve">igure </w:t>
      </w:r>
      <w:r w:rsidR="004B7C1E">
        <w:t>3</w:t>
      </w:r>
      <w:r w:rsidR="004D4121">
        <w:t>.)</w:t>
      </w:r>
    </w:p>
    <w:p w14:paraId="04EA7300" w14:textId="77777777" w:rsidR="00537831" w:rsidRDefault="00537831" w:rsidP="00537831">
      <w:pPr>
        <w:keepNext/>
      </w:pPr>
      <w:r w:rsidRPr="00537831">
        <w:rPr>
          <w:noProof/>
        </w:rPr>
        <w:t xml:space="preserve"> </w:t>
      </w:r>
      <w:r>
        <w:rPr>
          <w:noProof/>
        </w:rPr>
        <w:drawing>
          <wp:inline distT="0" distB="0" distL="0" distR="0" wp14:anchorId="60750519" wp14:editId="290C7381">
            <wp:extent cx="1567133" cy="1528876"/>
            <wp:effectExtent l="19050" t="19050" r="14605" b="14605"/>
            <wp:docPr id="9" name="Picture 9" descr="Diamon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9038" cy="1540491"/>
                    </a:xfrm>
                    <a:prstGeom prst="rect">
                      <a:avLst/>
                    </a:prstGeom>
                    <a:noFill/>
                    <a:ln>
                      <a:solidFill>
                        <a:schemeClr val="tx1"/>
                      </a:solidFill>
                    </a:ln>
                  </pic:spPr>
                </pic:pic>
              </a:graphicData>
            </a:graphic>
          </wp:inline>
        </w:drawing>
      </w:r>
    </w:p>
    <w:p w14:paraId="748CE51C" w14:textId="2AE2896C" w:rsidR="006D5EE3" w:rsidRDefault="00537831" w:rsidP="00537831">
      <w:pPr>
        <w:pStyle w:val="Caption"/>
      </w:pPr>
      <w:r>
        <w:t xml:space="preserve">Figure </w:t>
      </w:r>
      <w:r w:rsidR="009763C1">
        <w:t>3</w:t>
      </w:r>
      <w:r>
        <w:t>: Fundamental unit of a diamond cubic crystal structure lattice.</w:t>
      </w:r>
    </w:p>
    <w:p w14:paraId="3E1C584E" w14:textId="458C4487" w:rsidR="00CE2ADE" w:rsidRPr="00CE2ADE" w:rsidRDefault="00DD2317" w:rsidP="00CE2ADE">
      <w:r>
        <w:t xml:space="preserve">By </w:t>
      </w:r>
      <w:r w:rsidR="00470E51">
        <w:t>applying the four-probe method to a germanium wafer as it is heated or cooled and using that data to calculate the conductivity of the material the intrinsic and extrinsic contributions to conduction may be identified.</w:t>
      </w:r>
      <w:r w:rsidR="0048243E">
        <w:t xml:space="preserve"> This is as change in temperature will change intrinsic conduction but not extrinsic.</w:t>
      </w:r>
    </w:p>
    <w:p w14:paraId="6D76EF43" w14:textId="77777777" w:rsidR="00CE2ADE" w:rsidRPr="00CE2ADE" w:rsidRDefault="00CE2ADE" w:rsidP="00CE2ADE"/>
    <w:p w14:paraId="6F63B428" w14:textId="77777777" w:rsidR="00CE2ADE" w:rsidRPr="00CE2ADE" w:rsidRDefault="00CE2ADE" w:rsidP="00CE2ADE"/>
    <w:p w14:paraId="1BA2A981" w14:textId="77777777" w:rsidR="00CE2ADE" w:rsidRPr="00CE2ADE" w:rsidRDefault="00CE2ADE" w:rsidP="00CE2ADE"/>
    <w:p w14:paraId="18290B9D" w14:textId="77777777" w:rsidR="00CE2ADE" w:rsidRPr="00CE2ADE" w:rsidRDefault="00CE2ADE" w:rsidP="00CE2ADE"/>
    <w:p w14:paraId="56CA53E2" w14:textId="77777777" w:rsidR="00CE2ADE" w:rsidRPr="00CE2ADE" w:rsidRDefault="00CE2ADE" w:rsidP="00CE2ADE"/>
    <w:p w14:paraId="5E3E7526" w14:textId="77777777" w:rsidR="00CE2ADE" w:rsidRPr="00CE2ADE" w:rsidRDefault="00CE2ADE" w:rsidP="00CE2ADE"/>
    <w:p w14:paraId="19EE9099" w14:textId="77777777" w:rsidR="00CE2ADE" w:rsidRPr="00CE2ADE" w:rsidRDefault="00CE2ADE" w:rsidP="00CE2ADE"/>
    <w:p w14:paraId="7AA37CF2" w14:textId="6CFD3C2F" w:rsidR="00C43EE4" w:rsidRDefault="00C43EE4" w:rsidP="00647EAE"/>
    <w:p w14:paraId="04A19F1C" w14:textId="77777777" w:rsidR="00013E8E" w:rsidRDefault="00013E8E" w:rsidP="00647EAE"/>
    <w:p w14:paraId="69387732" w14:textId="5F8BF2C7" w:rsidR="00647EAE" w:rsidRDefault="00957FFC" w:rsidP="00147656">
      <w:pPr>
        <w:pStyle w:val="Heading1"/>
      </w:pPr>
      <w:r>
        <w:br w:type="page"/>
      </w:r>
      <w:bookmarkStart w:id="3" w:name="_Toc513752248"/>
      <w:r w:rsidR="00A92FA5">
        <w:lastRenderedPageBreak/>
        <w:t>Procedure</w:t>
      </w:r>
      <w:bookmarkEnd w:id="3"/>
    </w:p>
    <w:p w14:paraId="675B4ED8" w14:textId="77777777" w:rsidR="005D6E70" w:rsidRDefault="00647EAE" w:rsidP="00647EAE">
      <w:r>
        <w:t>Using the four-probe method on a 6x8x0.05cm wafer of germanium allowed the change in resistance of the material be calculated as it cooled</w:t>
      </w:r>
      <w:r w:rsidR="00730708">
        <w:t xml:space="preserve">. </w:t>
      </w:r>
      <w:r w:rsidR="00B228D7">
        <w:t>The wafer was heated in a small oven and temperature was measured with a probe thermometer</w:t>
      </w:r>
      <w:r w:rsidR="005D6E70">
        <w:t xml:space="preserve"> (see Figure 4).</w:t>
      </w:r>
    </w:p>
    <w:p w14:paraId="74329470" w14:textId="77777777" w:rsidR="002D1830" w:rsidRDefault="002D1830" w:rsidP="002D1830">
      <w:pPr>
        <w:keepNext/>
      </w:pPr>
      <w:r>
        <w:rPr>
          <w:b/>
          <w:noProof/>
        </w:rPr>
        <w:drawing>
          <wp:inline distT="0" distB="0" distL="0" distR="0" wp14:anchorId="7B30E675" wp14:editId="404D4B8D">
            <wp:extent cx="4824899" cy="2713939"/>
            <wp:effectExtent l="19050" t="19050" r="1397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aratud.png"/>
                    <pic:cNvPicPr/>
                  </pic:nvPicPr>
                  <pic:blipFill>
                    <a:blip r:embed="rId14">
                      <a:extLst>
                        <a:ext uri="{28A0092B-C50C-407E-A947-70E740481C1C}">
                          <a14:useLocalDpi xmlns:a14="http://schemas.microsoft.com/office/drawing/2010/main" val="0"/>
                        </a:ext>
                      </a:extLst>
                    </a:blip>
                    <a:stretch>
                      <a:fillRect/>
                    </a:stretch>
                  </pic:blipFill>
                  <pic:spPr>
                    <a:xfrm>
                      <a:off x="0" y="0"/>
                      <a:ext cx="4840777" cy="2722870"/>
                    </a:xfrm>
                    <a:prstGeom prst="rect">
                      <a:avLst/>
                    </a:prstGeom>
                    <a:ln>
                      <a:solidFill>
                        <a:schemeClr val="tx1"/>
                      </a:solidFill>
                    </a:ln>
                  </pic:spPr>
                </pic:pic>
              </a:graphicData>
            </a:graphic>
          </wp:inline>
        </w:drawing>
      </w:r>
    </w:p>
    <w:p w14:paraId="14885C7E" w14:textId="5671A3F7" w:rsidR="00176D8C" w:rsidRPr="00F03C63" w:rsidRDefault="002D1830" w:rsidP="002D1830">
      <w:pPr>
        <w:pStyle w:val="Caption"/>
        <w:rPr>
          <w:b/>
        </w:rPr>
      </w:pPr>
      <w:r>
        <w:t xml:space="preserve">Figure 4: Apparatus for four-probe testing of </w:t>
      </w:r>
      <w:r w:rsidR="00525E3B">
        <w:t>germanium wafer including test unit, oven and thermometer.</w:t>
      </w:r>
      <w:r>
        <w:t xml:space="preserve"> </w:t>
      </w:r>
    </w:p>
    <w:p w14:paraId="22990812" w14:textId="77777777" w:rsidR="005D6E70" w:rsidRDefault="005D6E70" w:rsidP="00647EAE"/>
    <w:p w14:paraId="2A2AB2B6" w14:textId="77777777" w:rsidR="0085191B" w:rsidRDefault="005D6E70" w:rsidP="00647EAE">
      <w:r>
        <w:t xml:space="preserve">The germanium wafer was heated to 170 °C and then allowed to cool. Voltage readings were taken every 5 °C until the wafer reached 50 °C and then voltage readings were taken every 2 °C until the wafer reached 34 °C. </w:t>
      </w:r>
    </w:p>
    <w:p w14:paraId="49FAC30C" w14:textId="6C016641" w:rsidR="00C43EE4" w:rsidRDefault="0085191B" w:rsidP="00647EAE">
      <w:r>
        <w:t>Using the voltage/temperature data pairs at each point the resistance of the wafer could be calculated and hence the conductivity of the material (See Appendix – Calculations).</w:t>
      </w:r>
      <w:r w:rsidR="009F3EA8">
        <w:t xml:space="preserve"> </w:t>
      </w:r>
      <w:r w:rsidR="00F03C63">
        <w:t>A</w:t>
      </w:r>
      <w:r w:rsidR="009F3EA8">
        <w:t xml:space="preserve">pplying the natural logarithm to the </w:t>
      </w:r>
      <w:r w:rsidR="00F03C63">
        <w:t xml:space="preserve">calculated </w:t>
      </w:r>
      <w:r w:rsidR="009F3EA8">
        <w:t>resistance value</w:t>
      </w:r>
      <w:r w:rsidR="00F03C63">
        <w:t>s</w:t>
      </w:r>
      <w:r w:rsidR="009F3EA8">
        <w:t xml:space="preserve"> and </w:t>
      </w:r>
      <w:r w:rsidR="00F03C63">
        <w:t>plotting them</w:t>
      </w:r>
      <w:r w:rsidR="009F3EA8">
        <w:t xml:space="preserve"> </w:t>
      </w:r>
      <w:r w:rsidR="00F03C63">
        <w:t xml:space="preserve">against the </w:t>
      </w:r>
      <w:r w:rsidR="009F3EA8">
        <w:t>inverse</w:t>
      </w:r>
      <w:r w:rsidR="00F03C63">
        <w:t xml:space="preserve"> of the matching temperature value gives a near linear plot. Fitting the data to a linear plot and taking the plots gradient gives the energy gap of the germanium wafer</w:t>
      </w:r>
      <w:r w:rsidR="00D1497F">
        <w:t xml:space="preserve"> (See </w:t>
      </w:r>
      <w:r w:rsidR="00D1497F" w:rsidRPr="00F067B9">
        <w:t>Figure 5).</w:t>
      </w:r>
      <w:r w:rsidR="00F067B9">
        <w:rPr>
          <w:b/>
        </w:rPr>
        <w:t xml:space="preserve"> </w:t>
      </w:r>
      <w:r w:rsidR="00013E8E">
        <w:br/>
      </w:r>
    </w:p>
    <w:p w14:paraId="05454789" w14:textId="77777777" w:rsidR="001C67E8" w:rsidRDefault="001C67E8" w:rsidP="001C67E8"/>
    <w:p w14:paraId="25CBDB4B" w14:textId="77777777" w:rsidR="001C67E8" w:rsidRDefault="001C67E8" w:rsidP="001C67E8"/>
    <w:p w14:paraId="186B9201" w14:textId="77777777" w:rsidR="001C67E8" w:rsidRDefault="001C67E8" w:rsidP="001C67E8"/>
    <w:p w14:paraId="5DC05018" w14:textId="77777777" w:rsidR="001C67E8" w:rsidRDefault="001C67E8" w:rsidP="001C67E8"/>
    <w:p w14:paraId="28D9F0D4" w14:textId="77777777" w:rsidR="001C67E8" w:rsidRDefault="001C67E8" w:rsidP="001C67E8"/>
    <w:p w14:paraId="2152CE2F" w14:textId="77777777" w:rsidR="001C67E8" w:rsidRDefault="001C67E8" w:rsidP="001C67E8"/>
    <w:p w14:paraId="1D2F1EAE" w14:textId="5C2F62E6" w:rsidR="00997508" w:rsidRDefault="00D24851" w:rsidP="00D24851">
      <w:pPr>
        <w:pStyle w:val="Heading1"/>
      </w:pPr>
      <w:r>
        <w:br w:type="page"/>
      </w:r>
      <w:bookmarkStart w:id="4" w:name="_Toc513752249"/>
      <w:r w:rsidR="00A92FA5">
        <w:lastRenderedPageBreak/>
        <w:t>Results</w:t>
      </w:r>
      <w:bookmarkEnd w:id="4"/>
    </w:p>
    <w:p w14:paraId="255D223E" w14:textId="00F77048" w:rsidR="006A19F7" w:rsidRDefault="006A19F7" w:rsidP="006A19F7"/>
    <w:p w14:paraId="2F9B1FC6" w14:textId="77777777" w:rsidR="006A19F7" w:rsidRPr="006A19F7" w:rsidRDefault="006A19F7" w:rsidP="006A19F7"/>
    <w:p w14:paraId="28855F60" w14:textId="77777777" w:rsidR="00531C7B" w:rsidRDefault="00531C7B" w:rsidP="00531C7B">
      <w:pPr>
        <w:keepNext/>
        <w:ind w:left="-567"/>
        <w:jc w:val="center"/>
      </w:pPr>
      <w:r>
        <w:rPr>
          <w:noProof/>
        </w:rPr>
        <w:drawing>
          <wp:inline distT="0" distB="0" distL="0" distR="0" wp14:anchorId="2A76B0E5" wp14:editId="035875E5">
            <wp:extent cx="5755640" cy="2677363"/>
            <wp:effectExtent l="0" t="0" r="16510" b="8890"/>
            <wp:docPr id="12" name="Chart 12">
              <a:extLst xmlns:a="http://schemas.openxmlformats.org/drawingml/2006/main">
                <a:ext uri="{FF2B5EF4-FFF2-40B4-BE49-F238E27FC236}">
                  <a16:creationId xmlns:a16="http://schemas.microsoft.com/office/drawing/2014/main" id="{C5568154-E418-4777-83A2-7B0E161BB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0AD604" w14:textId="6015B226" w:rsidR="00997508" w:rsidRDefault="00531C7B" w:rsidP="0037139A">
      <w:pPr>
        <w:pStyle w:val="Caption"/>
        <w:ind w:left="-284"/>
      </w:pPr>
      <w:r>
        <w:t xml:space="preserve">Figure 5: Natural log of resistance of a cooling germanium wafer plotted against the inverse of </w:t>
      </w:r>
      <w:r w:rsidR="00817F90">
        <w:t xml:space="preserve">its </w:t>
      </w:r>
      <w:r>
        <w:t>temperature.</w:t>
      </w:r>
    </w:p>
    <w:p w14:paraId="7F6A8DCE" w14:textId="77777777" w:rsidR="008951DB" w:rsidRDefault="008951DB" w:rsidP="008951DB">
      <w:pPr>
        <w:pStyle w:val="Caption"/>
        <w:keepNext/>
      </w:pPr>
    </w:p>
    <w:p w14:paraId="65A62045" w14:textId="77777777" w:rsidR="008951DB" w:rsidRDefault="008951DB" w:rsidP="008951DB">
      <w:pPr>
        <w:pStyle w:val="Caption"/>
        <w:keepNext/>
      </w:pPr>
    </w:p>
    <w:p w14:paraId="2F2176B3" w14:textId="2BDA34B5" w:rsidR="008951DB" w:rsidRDefault="008951DB" w:rsidP="008951DB">
      <w:pPr>
        <w:pStyle w:val="Caption"/>
        <w:keepNext/>
      </w:pPr>
      <w:r>
        <w:t xml:space="preserve">Table </w:t>
      </w:r>
      <w:fldSimple w:instr=" SEQ Table \* ARABIC ">
        <w:r w:rsidR="00E46FB0">
          <w:rPr>
            <w:noProof/>
          </w:rPr>
          <w:t>1</w:t>
        </w:r>
      </w:fldSimple>
      <w:r>
        <w:t xml:space="preserve">: The gradient and energy gap </w:t>
      </w:r>
      <w:r w:rsidR="00412286">
        <w:t>determined using the experimental and data for a germanium wafer.</w:t>
      </w:r>
      <w:r w:rsidR="008F4B5E">
        <w:t xml:space="preserve"> Based on Figure 5.</w:t>
      </w:r>
      <w:r w:rsidR="00A116C4">
        <w:t xml:space="preserve"> For energy gap calculation see Appendix -Calculation</w:t>
      </w:r>
      <w:r w:rsidR="0001559C">
        <w:t xml:space="preserve"> </w:t>
      </w:r>
      <w:r w:rsidR="0001559C">
        <w:rPr>
          <w:b/>
        </w:rPr>
        <w:t>1</w:t>
      </w:r>
      <w:r w:rsidR="00A116C4">
        <w:t>.</w:t>
      </w:r>
    </w:p>
    <w:tbl>
      <w:tblPr>
        <w:tblStyle w:val="TableGrid"/>
        <w:tblW w:w="0" w:type="auto"/>
        <w:tblLook w:val="04A0" w:firstRow="1" w:lastRow="0" w:firstColumn="1" w:lastColumn="0" w:noHBand="0" w:noVBand="1"/>
      </w:tblPr>
      <w:tblGrid>
        <w:gridCol w:w="3005"/>
        <w:gridCol w:w="3005"/>
        <w:gridCol w:w="3006"/>
      </w:tblGrid>
      <w:tr w:rsidR="008951DB" w:rsidRPr="001C388C" w14:paraId="3CA0CB9A" w14:textId="77777777" w:rsidTr="008951DB">
        <w:tc>
          <w:tcPr>
            <w:tcW w:w="3005" w:type="dxa"/>
          </w:tcPr>
          <w:p w14:paraId="6DF03223" w14:textId="721B711C" w:rsidR="008951DB" w:rsidRPr="001C388C" w:rsidRDefault="00A116C4" w:rsidP="00BF3825">
            <w:pPr>
              <w:jc w:val="center"/>
              <w:rPr>
                <w:b/>
              </w:rPr>
            </w:pPr>
            <w:r w:rsidRPr="001C388C">
              <w:rPr>
                <w:b/>
              </w:rPr>
              <w:t>Data Source</w:t>
            </w:r>
          </w:p>
        </w:tc>
        <w:tc>
          <w:tcPr>
            <w:tcW w:w="3005" w:type="dxa"/>
          </w:tcPr>
          <w:p w14:paraId="32C05776" w14:textId="2373B072" w:rsidR="008951DB" w:rsidRPr="001C388C" w:rsidRDefault="00A116C4" w:rsidP="00BF3825">
            <w:pPr>
              <w:jc w:val="center"/>
              <w:rPr>
                <w:b/>
              </w:rPr>
            </w:pPr>
            <w:r w:rsidRPr="001C388C">
              <w:rPr>
                <w:b/>
              </w:rPr>
              <w:t>Gradient</w:t>
            </w:r>
          </w:p>
        </w:tc>
        <w:tc>
          <w:tcPr>
            <w:tcW w:w="3006" w:type="dxa"/>
          </w:tcPr>
          <w:p w14:paraId="17E80F54" w14:textId="49D43079" w:rsidR="008951DB" w:rsidRPr="001C388C" w:rsidRDefault="00A116C4" w:rsidP="00BF3825">
            <w:pPr>
              <w:jc w:val="center"/>
              <w:rPr>
                <w:b/>
              </w:rPr>
            </w:pPr>
            <w:r w:rsidRPr="001C388C">
              <w:rPr>
                <w:b/>
              </w:rPr>
              <w:t>Energy Gap (eV)</w:t>
            </w:r>
          </w:p>
        </w:tc>
      </w:tr>
      <w:tr w:rsidR="008951DB" w14:paraId="46DCD905" w14:textId="77777777" w:rsidTr="008951DB">
        <w:tc>
          <w:tcPr>
            <w:tcW w:w="3005" w:type="dxa"/>
          </w:tcPr>
          <w:p w14:paraId="7FAFB4B9" w14:textId="11137397" w:rsidR="008951DB" w:rsidRDefault="00A116C4" w:rsidP="00BF3825">
            <w:pPr>
              <w:jc w:val="center"/>
            </w:pPr>
            <w:r>
              <w:t>Experimental</w:t>
            </w:r>
          </w:p>
        </w:tc>
        <w:tc>
          <w:tcPr>
            <w:tcW w:w="3005" w:type="dxa"/>
          </w:tcPr>
          <w:p w14:paraId="12B51EFC" w14:textId="38359AA8" w:rsidR="008951DB" w:rsidRDefault="009F086C" w:rsidP="00BF3825">
            <w:pPr>
              <w:jc w:val="center"/>
            </w:pPr>
            <w:r>
              <w:t>2998.8</w:t>
            </w:r>
          </w:p>
        </w:tc>
        <w:tc>
          <w:tcPr>
            <w:tcW w:w="3006" w:type="dxa"/>
          </w:tcPr>
          <w:p w14:paraId="4972741A" w14:textId="694720D5" w:rsidR="008951DB" w:rsidRDefault="0042365F" w:rsidP="00BF3825">
            <w:pPr>
              <w:jc w:val="center"/>
            </w:pPr>
            <w:r>
              <w:t>0.</w:t>
            </w:r>
            <w:r w:rsidR="00B91114">
              <w:t>516</w:t>
            </w:r>
            <w:r w:rsidR="00C34B92">
              <w:t>0</w:t>
            </w:r>
          </w:p>
        </w:tc>
      </w:tr>
      <w:tr w:rsidR="008951DB" w14:paraId="7E4ECEED" w14:textId="77777777" w:rsidTr="008951DB">
        <w:tc>
          <w:tcPr>
            <w:tcW w:w="3005" w:type="dxa"/>
          </w:tcPr>
          <w:p w14:paraId="33A8FABF" w14:textId="3656361F" w:rsidR="008951DB" w:rsidRDefault="00A116C4" w:rsidP="00BF3825">
            <w:pPr>
              <w:jc w:val="center"/>
            </w:pPr>
            <w:r>
              <w:t>Calculated</w:t>
            </w:r>
          </w:p>
        </w:tc>
        <w:tc>
          <w:tcPr>
            <w:tcW w:w="3005" w:type="dxa"/>
          </w:tcPr>
          <w:p w14:paraId="74A82D67" w14:textId="70300A92" w:rsidR="008951DB" w:rsidRDefault="009F086C" w:rsidP="00BF3825">
            <w:pPr>
              <w:jc w:val="center"/>
            </w:pPr>
            <w:r>
              <w:t>2570.9</w:t>
            </w:r>
          </w:p>
        </w:tc>
        <w:tc>
          <w:tcPr>
            <w:tcW w:w="3006" w:type="dxa"/>
          </w:tcPr>
          <w:p w14:paraId="72E2B536" w14:textId="745B4454" w:rsidR="008951DB" w:rsidRDefault="00B91114" w:rsidP="00BF3825">
            <w:pPr>
              <w:jc w:val="center"/>
            </w:pPr>
            <w:r>
              <w:t>0.4429</w:t>
            </w:r>
          </w:p>
        </w:tc>
      </w:tr>
    </w:tbl>
    <w:p w14:paraId="3B605677" w14:textId="79E1D3F7" w:rsidR="00DD113F" w:rsidRDefault="00DD113F" w:rsidP="00DD113F"/>
    <w:p w14:paraId="678DA888" w14:textId="408768B6" w:rsidR="00DD113F" w:rsidRDefault="00DD113F" w:rsidP="00DD113F"/>
    <w:p w14:paraId="25C8D8E6" w14:textId="2535ADAC" w:rsidR="00DD113F" w:rsidRDefault="00DD113F" w:rsidP="00DD113F"/>
    <w:p w14:paraId="17546937" w14:textId="1C5532A2" w:rsidR="00DD113F" w:rsidRDefault="00DD113F" w:rsidP="00DD113F"/>
    <w:p w14:paraId="0B84278E" w14:textId="67EE16A0" w:rsidR="00DD113F" w:rsidRDefault="00DD113F" w:rsidP="00DD113F"/>
    <w:p w14:paraId="33E6E020" w14:textId="3B3109F6" w:rsidR="00DD113F" w:rsidRDefault="00DD113F" w:rsidP="00DD113F"/>
    <w:p w14:paraId="6357F024" w14:textId="3FA483BF" w:rsidR="00DD113F" w:rsidRDefault="00DD113F" w:rsidP="00DD113F"/>
    <w:p w14:paraId="255F1B18" w14:textId="4C9F1FFD" w:rsidR="00DD113F" w:rsidRDefault="00DD113F" w:rsidP="00DD113F"/>
    <w:p w14:paraId="2010B535" w14:textId="77777777" w:rsidR="00DD113F" w:rsidRDefault="00DD113F" w:rsidP="00DD113F"/>
    <w:p w14:paraId="14ECACFD" w14:textId="77777777" w:rsidR="00DD113F" w:rsidRDefault="00DD113F" w:rsidP="00DD113F"/>
    <w:p w14:paraId="7F4ABDB9" w14:textId="77777777" w:rsidR="00DD113F" w:rsidRDefault="00DD113F" w:rsidP="00DD113F"/>
    <w:p w14:paraId="7A64C1D0" w14:textId="066C3450" w:rsidR="00DD113F" w:rsidRDefault="00DD113F" w:rsidP="00DD113F"/>
    <w:p w14:paraId="53469980" w14:textId="0A6A5C09" w:rsidR="00AA0064" w:rsidRDefault="00DD1D24" w:rsidP="00DD1D24">
      <w:pPr>
        <w:pStyle w:val="Heading1"/>
      </w:pPr>
      <w:r>
        <w:br w:type="page"/>
      </w:r>
      <w:bookmarkStart w:id="5" w:name="_Toc513752250"/>
      <w:r w:rsidR="004D6AEA">
        <w:lastRenderedPageBreak/>
        <w:t>Discussion</w:t>
      </w:r>
      <w:bookmarkEnd w:id="5"/>
    </w:p>
    <w:p w14:paraId="0151CD9B" w14:textId="77777777" w:rsidR="00B54773" w:rsidRDefault="00B54773" w:rsidP="00BC2B91"/>
    <w:p w14:paraId="2D598928" w14:textId="01191136" w:rsidR="00BC2B91" w:rsidRDefault="00B54773" w:rsidP="00B54773">
      <w:pPr>
        <w:pStyle w:val="Heading2"/>
      </w:pPr>
      <w:bookmarkStart w:id="6" w:name="_Toc513752251"/>
      <w:r>
        <w:t>Inaccuracy</w:t>
      </w:r>
      <w:bookmarkEnd w:id="6"/>
    </w:p>
    <w:p w14:paraId="3680A957" w14:textId="79DBB759" w:rsidR="00B54773" w:rsidRDefault="005A5FDC" w:rsidP="005A5FDC">
      <w:r>
        <w:t xml:space="preserve">This experiment was conducted </w:t>
      </w:r>
      <w:r w:rsidR="004F0C62">
        <w:t>affected by</w:t>
      </w:r>
      <w:r>
        <w:t xml:space="preserve"> several inaccuracies. The instruments used all had associated inaccuracies, </w:t>
      </w:r>
      <w:r w:rsidR="00FC16E3">
        <w:t xml:space="preserve">for example </w:t>
      </w:r>
      <w:r>
        <w:t>the thermometer</w:t>
      </w:r>
      <w:r>
        <w:rPr>
          <w:b/>
        </w:rPr>
        <w:t xml:space="preserve"> </w:t>
      </w:r>
      <w:r w:rsidR="00FC16E3" w:rsidRPr="00FC16E3">
        <w:t>±1 °C</w:t>
      </w:r>
      <w:r w:rsidR="00B54773">
        <w:t>. T</w:t>
      </w:r>
      <w:r>
        <w:t xml:space="preserve">he </w:t>
      </w:r>
      <w:r w:rsidR="00B54773">
        <w:t xml:space="preserve">four-probe method assumes </w:t>
      </w:r>
      <w:r w:rsidR="00BE32E2">
        <w:t>a number of</w:t>
      </w:r>
      <w:r w:rsidR="00B54773">
        <w:t xml:space="preserve"> parameters are correctly setup such as </w:t>
      </w:r>
      <w:r w:rsidR="00E94DAF">
        <w:t>alignment</w:t>
      </w:r>
      <w:r w:rsidR="00B54773">
        <w:t xml:space="preserve"> of the probes and perfect contact of the probes. These things are easily executed imperfectly due to human error additionally the instrument has an associated inaccuracy of </w:t>
      </w:r>
      <w:r w:rsidR="00101383">
        <w:t>±0.1% and ±0.1mV for the voltmeter and ±0.25% and ±0.1mA for the current generator</w:t>
      </w:r>
      <w:r>
        <w:t xml:space="preserve">. </w:t>
      </w:r>
    </w:p>
    <w:p w14:paraId="21B60713" w14:textId="2953A25E" w:rsidR="00F603A1" w:rsidRDefault="005A5FDC" w:rsidP="005A5FDC">
      <w:r>
        <w:t xml:space="preserve">In the calculation phase as the results did not produce an exactly linear plot (see Figure 5) the data was linearly fitted. The approximation affected the basis of the calculation to obtain the energy gap of the germanium sample (see Appendix- Calculations 1). Unsurprisingly the results obtained, 0.5160 eV for experimental data and 0.4429 eV for calculated data, were some 20 – 40% different to the actual value for the band gap of germanium which is 0.66 eV </w:t>
      </w:r>
      <w:sdt>
        <w:sdtPr>
          <w:id w:val="-57784942"/>
          <w:citation/>
        </w:sdtPr>
        <w:sdtEndPr/>
        <w:sdtContent>
          <w:r>
            <w:fldChar w:fldCharType="begin"/>
          </w:r>
          <w:r>
            <w:instrText xml:space="preserve"> CITATION Mat18 \l 3081 </w:instrText>
          </w:r>
          <w:r>
            <w:fldChar w:fldCharType="separate"/>
          </w:r>
          <w:r w:rsidR="00007B2B" w:rsidRPr="00007B2B">
            <w:rPr>
              <w:noProof/>
            </w:rPr>
            <w:t>[1]</w:t>
          </w:r>
          <w:r>
            <w:fldChar w:fldCharType="end"/>
          </w:r>
        </w:sdtContent>
      </w:sdt>
      <w:r>
        <w:t>.</w:t>
      </w:r>
      <w:r w:rsidR="00896D7B">
        <w:t xml:space="preserve"> Due to imperfect data </w:t>
      </w:r>
      <w:r w:rsidR="00F603A1">
        <w:t>however,</w:t>
      </w:r>
      <w:r w:rsidR="00896D7B">
        <w:t xml:space="preserve"> this compromise is necessary.</w:t>
      </w:r>
      <w:r w:rsidR="00A006C9">
        <w:t xml:space="preserve"> </w:t>
      </w:r>
    </w:p>
    <w:p w14:paraId="7A4B0BCC" w14:textId="375D908E" w:rsidR="00A006C9" w:rsidRDefault="00A006C9" w:rsidP="005A5FDC">
      <w:r>
        <w:t xml:space="preserve">There was a single outlier in the measured data (see Figure 5) which can </w:t>
      </w:r>
      <w:r w:rsidR="00D47369">
        <w:t xml:space="preserve">be </w:t>
      </w:r>
      <w:r>
        <w:t xml:space="preserve">attributed to a displacement of the instrumentation causing imperfect contact with </w:t>
      </w:r>
      <w:r w:rsidR="00D47369">
        <w:t>t</w:t>
      </w:r>
      <w:r>
        <w:t>he sample</w:t>
      </w:r>
      <w:r w:rsidR="00D47369">
        <w:t>.</w:t>
      </w:r>
      <w:r>
        <w:t xml:space="preserve"> </w:t>
      </w:r>
      <w:r w:rsidR="00D47369">
        <w:t xml:space="preserve">It also could have been cause </w:t>
      </w:r>
      <w:r>
        <w:t xml:space="preserve">random event in the hardware. </w:t>
      </w:r>
    </w:p>
    <w:p w14:paraId="76EEE07B" w14:textId="1027A2D3" w:rsidR="004F0C62" w:rsidRDefault="00F603A1" w:rsidP="005A5FDC">
      <w:r>
        <w:t>The four-probe method, though imperfect, is still superior to other method of measuring the resistivity of a material. Because the millivoltmeter is applied in parallel with the sample</w:t>
      </w:r>
      <w:r w:rsidR="00A7720C">
        <w:t xml:space="preserve"> (see Figure 6)</w:t>
      </w:r>
      <w:r>
        <w:t xml:space="preserve"> and it has a high impedance</w:t>
      </w:r>
      <w:r w:rsidR="000E5B12">
        <w:t xml:space="preserve"> (10MΩ)</w:t>
      </w:r>
      <w:r>
        <w:t xml:space="preserve"> it does not draw any current out of the circuit and affect the calculation of the resistance of the material. This calculation is based on Ohm’s law.</w:t>
      </w:r>
    </w:p>
    <w:p w14:paraId="32660A75" w14:textId="4F89C510" w:rsidR="00F603A1" w:rsidRPr="00621D63" w:rsidRDefault="00621D63" w:rsidP="005A5FD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m:oMathPara>
    </w:p>
    <w:p w14:paraId="7359DDD6" w14:textId="6E8C0EE5" w:rsidR="00621D63" w:rsidRDefault="00621D63" w:rsidP="005A5FDC">
      <w:pPr>
        <w:rPr>
          <w:rFonts w:eastAsiaTheme="minorEastAsia"/>
        </w:rPr>
      </w:pPr>
      <w:r>
        <w:rPr>
          <w:rFonts w:eastAsiaTheme="minorEastAsia"/>
        </w:rPr>
        <w:t>If the method of soldering wires onto the sample, the associated resistivity of the soldering and wires would contribute to the series resistance calculated by the probe that is mean to represent that of the sample.</w:t>
      </w:r>
      <w:r w:rsidR="00B54773">
        <w:rPr>
          <w:rFonts w:eastAsiaTheme="minorEastAsia"/>
        </w:rPr>
        <w:t xml:space="preserve"> This in turn would generate inaccurate data, more so than data generated by the four-probe method. </w:t>
      </w:r>
      <w:r>
        <w:rPr>
          <w:rFonts w:eastAsiaTheme="minorEastAsia"/>
        </w:rPr>
        <w:t xml:space="preserve"> </w:t>
      </w:r>
      <w:r w:rsidR="00817D8E">
        <w:rPr>
          <w:rFonts w:eastAsiaTheme="minorEastAsia"/>
        </w:rPr>
        <w:t xml:space="preserve">Comparatively the series resistance contributed by the four-probe method is very small. </w:t>
      </w:r>
    </w:p>
    <w:p w14:paraId="0E244FB8" w14:textId="4F327698" w:rsidR="00521CF0" w:rsidRDefault="00521CF0" w:rsidP="005A5FDC">
      <w:pPr>
        <w:rPr>
          <w:rFonts w:eastAsiaTheme="minorEastAsia"/>
        </w:rPr>
      </w:pPr>
      <w:r>
        <w:rPr>
          <w:rFonts w:eastAsiaTheme="minorEastAsia"/>
        </w:rPr>
        <w:t>The experimental data’s qualities could be improved by an increased number of trials and greater care to implement the four-probe method’s setup.</w:t>
      </w:r>
    </w:p>
    <w:p w14:paraId="7632B1A9" w14:textId="77777777" w:rsidR="007C13D5" w:rsidRDefault="007C13D5" w:rsidP="007C13D5">
      <w:pPr>
        <w:keepNext/>
      </w:pPr>
      <w:r>
        <w:rPr>
          <w:noProof/>
        </w:rPr>
        <w:drawing>
          <wp:inline distT="0" distB="0" distL="0" distR="0" wp14:anchorId="15CCFFE9" wp14:editId="6CC8AFD1">
            <wp:extent cx="3705929" cy="1633796"/>
            <wp:effectExtent l="38100" t="95250" r="46990" b="100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21441968">
                      <a:off x="0" y="0"/>
                      <a:ext cx="3745887" cy="1651412"/>
                    </a:xfrm>
                    <a:prstGeom prst="rect">
                      <a:avLst/>
                    </a:prstGeom>
                  </pic:spPr>
                </pic:pic>
              </a:graphicData>
            </a:graphic>
          </wp:inline>
        </w:drawing>
      </w:r>
    </w:p>
    <w:p w14:paraId="50A7088F" w14:textId="6C9A8560" w:rsidR="007C13D5" w:rsidRDefault="007C13D5" w:rsidP="007C13D5">
      <w:pPr>
        <w:pStyle w:val="Caption"/>
        <w:rPr>
          <w:rFonts w:eastAsiaTheme="minorEastAsia"/>
        </w:rPr>
      </w:pPr>
      <w:r>
        <w:t>Figure 6</w:t>
      </w:r>
      <w:r w:rsidR="00B43A43">
        <w:t xml:space="preserve">: Four-probe method’s individual contacts diagram. </w:t>
      </w:r>
      <w:r>
        <w:t xml:space="preserve"> </w:t>
      </w:r>
    </w:p>
    <w:p w14:paraId="6A71CBCF" w14:textId="77777777" w:rsidR="00156FD4" w:rsidRDefault="00156FD4" w:rsidP="005A5FDC">
      <w:pPr>
        <w:rPr>
          <w:rFonts w:eastAsiaTheme="minorEastAsia"/>
        </w:rPr>
      </w:pPr>
    </w:p>
    <w:p w14:paraId="31760380" w14:textId="3CA68AAC" w:rsidR="00B54773" w:rsidRDefault="00BB0272" w:rsidP="00BB0272">
      <w:pPr>
        <w:pStyle w:val="Heading2"/>
        <w:rPr>
          <w:rFonts w:eastAsiaTheme="minorEastAsia"/>
        </w:rPr>
      </w:pPr>
      <w:bookmarkStart w:id="7" w:name="_Toc513752252"/>
      <w:r>
        <w:rPr>
          <w:rFonts w:eastAsiaTheme="minorEastAsia"/>
        </w:rPr>
        <w:t>Data Analysis</w:t>
      </w:r>
      <w:bookmarkEnd w:id="7"/>
    </w:p>
    <w:p w14:paraId="7DB8AD24" w14:textId="77777777" w:rsidR="006D7323" w:rsidRDefault="006D7323" w:rsidP="005A5FDC">
      <w:pPr>
        <w:rPr>
          <w:rFonts w:eastAsiaTheme="minorEastAsia"/>
        </w:rPr>
      </w:pPr>
      <w:r>
        <w:rPr>
          <w:rFonts w:eastAsiaTheme="minorEastAsia"/>
        </w:rPr>
        <w:t>The near-linear sections of the plot in Figure 5 which are positively sloped indicate that as the sample cooled the resistance of the sample rose. This implies that the materials conductivity increased with temperature.</w:t>
      </w:r>
    </w:p>
    <w:p w14:paraId="5BEFB454" w14:textId="11D8364A" w:rsidR="003B3942" w:rsidRPr="006D7323" w:rsidRDefault="006D7323" w:rsidP="005A5FDC">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oMath>
      </m:oMathPara>
    </w:p>
    <w:p w14:paraId="2EA76297" w14:textId="153E6C05" w:rsidR="006D7323" w:rsidRPr="006D7323" w:rsidRDefault="006D7323" w:rsidP="005A5FDC">
      <w:pPr>
        <w:rPr>
          <w:rFonts w:eastAsiaTheme="minorEastAsia"/>
        </w:rPr>
      </w:pPr>
      <m:oMathPara>
        <m:oMath>
          <m:r>
            <w:rPr>
              <w:rFonts w:ascii="Cambria Math" w:eastAsiaTheme="minorEastAsia" w:hAnsi="Cambria Math"/>
            </w:rPr>
            <m:t>Where ρ=resistvity and σ=conductivity.</m:t>
          </m:r>
        </m:oMath>
      </m:oMathPara>
    </w:p>
    <w:p w14:paraId="4E46728B" w14:textId="77777777" w:rsidR="006D7323" w:rsidRDefault="006D7323" w:rsidP="005A5FDC">
      <w:pPr>
        <w:rPr>
          <w:rFonts w:eastAsiaTheme="minorEastAsia"/>
        </w:rPr>
      </w:pPr>
    </w:p>
    <w:p w14:paraId="16C2B1B1" w14:textId="388FCE10" w:rsidR="006D7323" w:rsidRDefault="006D7323" w:rsidP="005A5FDC">
      <w:pPr>
        <w:rPr>
          <w:rFonts w:eastAsiaTheme="minorEastAsia"/>
        </w:rPr>
      </w:pPr>
      <w:r>
        <w:rPr>
          <w:rFonts w:eastAsiaTheme="minorEastAsia"/>
        </w:rPr>
        <w:t>The reason that the germanium’s conductivity rose as the sample was heated is that the thermal energy is transferred to the electrons and agitates them. If the agitation is sufficiently large the electrons may be pushed across the band gap and into the conduction band</w:t>
      </w:r>
      <w:r w:rsidR="00F16B5E">
        <w:rPr>
          <w:rFonts w:eastAsiaTheme="minorEastAsia"/>
        </w:rPr>
        <w:t xml:space="preserve">. This generates a hole in the valence band (p-type) which is a positive charge carrier. It also creates an extra electron in the conduction band (n-type) which is a negative charge carrier. This is called </w:t>
      </w:r>
      <w:r w:rsidR="00F16B5E" w:rsidRPr="00F16B5E">
        <w:rPr>
          <w:rFonts w:eastAsiaTheme="minorEastAsia"/>
          <w:i/>
        </w:rPr>
        <w:t>intrinsic</w:t>
      </w:r>
      <w:r w:rsidR="00F16B5E">
        <w:rPr>
          <w:rFonts w:eastAsiaTheme="minorEastAsia"/>
          <w:i/>
        </w:rPr>
        <w:t xml:space="preserve"> </w:t>
      </w:r>
      <w:r w:rsidR="00F16B5E">
        <w:rPr>
          <w:rFonts w:eastAsiaTheme="minorEastAsia"/>
        </w:rPr>
        <w:t xml:space="preserve">conduction. </w:t>
      </w:r>
    </w:p>
    <w:p w14:paraId="71825FD7" w14:textId="77777777" w:rsidR="00F51855" w:rsidRDefault="00F51855" w:rsidP="00F51855">
      <w:pPr>
        <w:keepNext/>
      </w:pPr>
      <w:r>
        <w:rPr>
          <w:noProof/>
        </w:rPr>
        <w:drawing>
          <wp:inline distT="0" distB="0" distL="0" distR="0" wp14:anchorId="4D485681" wp14:editId="6D62D1BF">
            <wp:extent cx="4107976" cy="2217761"/>
            <wp:effectExtent l="0" t="0" r="6985" b="11430"/>
            <wp:docPr id="4" name="Chart 4">
              <a:extLst xmlns:a="http://schemas.openxmlformats.org/drawingml/2006/main">
                <a:ext uri="{FF2B5EF4-FFF2-40B4-BE49-F238E27FC236}">
                  <a16:creationId xmlns:a16="http://schemas.microsoft.com/office/drawing/2014/main" id="{FA24AFCC-28FD-4136-AE46-61703B3CA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1E2321" w14:textId="508A941F" w:rsidR="00F16B5E" w:rsidRDefault="00F51855" w:rsidP="00F51855">
      <w:pPr>
        <w:pStyle w:val="Caption"/>
        <w:rPr>
          <w:rFonts w:eastAsiaTheme="minorEastAsia"/>
        </w:rPr>
      </w:pPr>
      <w:r>
        <w:t xml:space="preserve">Figure 7: Ideal plot of </w:t>
      </w:r>
      <w:r w:rsidR="000F009E">
        <w:t>change</w:t>
      </w:r>
      <w:r>
        <w:t xml:space="preserve"> in conductivity due to temperature</w:t>
      </w:r>
    </w:p>
    <w:p w14:paraId="112DD14C" w14:textId="58737BD5" w:rsidR="00F16B5E" w:rsidRDefault="008C0044" w:rsidP="005A5FDC">
      <w:pPr>
        <w:rPr>
          <w:rFonts w:eastAsiaTheme="minorEastAsia"/>
        </w:rPr>
      </w:pPr>
      <w:r>
        <w:rPr>
          <w:rFonts w:eastAsiaTheme="minorEastAsia"/>
        </w:rPr>
        <w:t xml:space="preserve">In Figure 7 above, which is an ideally linear shaped dummy plot, the flat areas of the plot indicate regions of </w:t>
      </w:r>
      <w:r>
        <w:rPr>
          <w:rFonts w:eastAsiaTheme="minorEastAsia"/>
          <w:i/>
        </w:rPr>
        <w:t xml:space="preserve">extrinsic </w:t>
      </w:r>
      <w:r>
        <w:rPr>
          <w:rFonts w:eastAsiaTheme="minorEastAsia"/>
        </w:rPr>
        <w:t xml:space="preserve">conductivity, as temperature has no affect on this region. Therefore, for sufficiently small temperatures insufficient energy is supplied </w:t>
      </w:r>
      <w:r w:rsidR="000F50F7">
        <w:rPr>
          <w:rFonts w:eastAsiaTheme="minorEastAsia"/>
        </w:rPr>
        <w:t xml:space="preserve">to electrons to cross the band gap. </w:t>
      </w:r>
      <w:r w:rsidR="00BD5F16">
        <w:rPr>
          <w:rFonts w:eastAsiaTheme="minorEastAsia"/>
        </w:rPr>
        <w:t>This is the conductive behaviour of the material without extra energy and it can be improved via doping.</w:t>
      </w:r>
    </w:p>
    <w:p w14:paraId="1BFF9844" w14:textId="77777777" w:rsidR="00383D03" w:rsidRPr="00084AA1" w:rsidRDefault="00383D03" w:rsidP="00383D03">
      <w:pPr>
        <w:rPr>
          <w:rFonts w:eastAsiaTheme="minorEastAsia"/>
        </w:rPr>
      </w:pPr>
      <w:r>
        <w:rPr>
          <w:rFonts w:eastAsiaTheme="minorEastAsia"/>
        </w:rPr>
        <w:t>By accounting for errors of ±5% in the linear fit of the plots, the uncertainty in the band gap was found to be ±0.026 eV.</w:t>
      </w:r>
    </w:p>
    <w:p w14:paraId="616287C6" w14:textId="77777777" w:rsidR="00383D03" w:rsidRPr="00F16B5E" w:rsidRDefault="00383D03" w:rsidP="005A5FDC">
      <w:pPr>
        <w:rPr>
          <w:rFonts w:eastAsiaTheme="minorEastAsia"/>
        </w:rPr>
      </w:pPr>
    </w:p>
    <w:p w14:paraId="460C1D14" w14:textId="4C1D2A93" w:rsidR="009E451E" w:rsidRDefault="009E451E" w:rsidP="006D7323">
      <w:pPr>
        <w:pStyle w:val="Heading1"/>
      </w:pPr>
      <w:r>
        <w:br w:type="page"/>
      </w:r>
      <w:bookmarkStart w:id="8" w:name="_Toc513752253"/>
      <w:r w:rsidR="005441E7" w:rsidRPr="005441E7">
        <w:lastRenderedPageBreak/>
        <w:t>Conclusion</w:t>
      </w:r>
      <w:bookmarkEnd w:id="8"/>
    </w:p>
    <w:p w14:paraId="076473F1" w14:textId="6A423EA9" w:rsidR="006313E9" w:rsidRDefault="009E451E" w:rsidP="009E451E">
      <w:r>
        <w:t>By using the relatively accurate four-probe method to measure the resistivity of a germanium wafer and observing the wafer’s changing resistivity as a function of temperature the band gap of germanium could be found. The measure value was 0.516</w:t>
      </w:r>
      <w:r w:rsidR="00F42131">
        <w:t xml:space="preserve"> ± 0.026</w:t>
      </w:r>
      <w:r>
        <w:t xml:space="preserve"> eV and the calculated value was 0.4429 </w:t>
      </w:r>
      <w:r w:rsidR="00F42131">
        <w:t xml:space="preserve">± 0.026 </w:t>
      </w:r>
      <w:r>
        <w:t xml:space="preserve">eV. Disparity between the calculation and the measured value is likely due inaccuracies in measurements also the nature of the linear fit method used in excel. </w:t>
      </w:r>
      <w:r w:rsidR="008539D6">
        <w:t>Likewise,</w:t>
      </w:r>
      <w:r>
        <w:t xml:space="preserve"> this is the justification for the difference in found values and the actual value for germanium’s band gap of 0.66 eV</w:t>
      </w:r>
      <w:sdt>
        <w:sdtPr>
          <w:id w:val="567314726"/>
          <w:citation/>
        </w:sdtPr>
        <w:sdtEndPr/>
        <w:sdtContent>
          <w:r w:rsidR="004E492E">
            <w:fldChar w:fldCharType="begin"/>
          </w:r>
          <w:r w:rsidR="004E492E">
            <w:instrText xml:space="preserve"> CITATION Mat18 \l 3081 </w:instrText>
          </w:r>
          <w:r w:rsidR="004E492E">
            <w:fldChar w:fldCharType="separate"/>
          </w:r>
          <w:r w:rsidR="00007B2B">
            <w:rPr>
              <w:noProof/>
            </w:rPr>
            <w:t xml:space="preserve"> </w:t>
          </w:r>
          <w:r w:rsidR="00007B2B" w:rsidRPr="00007B2B">
            <w:rPr>
              <w:noProof/>
            </w:rPr>
            <w:t>[1]</w:t>
          </w:r>
          <w:r w:rsidR="004E492E">
            <w:fldChar w:fldCharType="end"/>
          </w:r>
        </w:sdtContent>
      </w:sdt>
      <w:r>
        <w:t>.</w:t>
      </w:r>
    </w:p>
    <w:p w14:paraId="35A79E60" w14:textId="32B54F52" w:rsidR="005441E7" w:rsidRDefault="006313E9" w:rsidP="006313E9">
      <w:pPr>
        <w:pStyle w:val="Heading1"/>
      </w:pPr>
      <w:r>
        <w:br w:type="page"/>
      </w:r>
      <w:bookmarkStart w:id="9" w:name="_Toc513752254"/>
      <w:r w:rsidR="0029502B">
        <w:lastRenderedPageBreak/>
        <w:t>Appendix</w:t>
      </w:r>
      <w:bookmarkEnd w:id="9"/>
    </w:p>
    <w:p w14:paraId="66763CF3" w14:textId="610D1D27" w:rsidR="0029502B" w:rsidRDefault="0029502B" w:rsidP="0029502B"/>
    <w:p w14:paraId="4F244A11" w14:textId="48C95055" w:rsidR="0029502B" w:rsidRDefault="0029502B" w:rsidP="0029502B">
      <w:pPr>
        <w:pStyle w:val="Heading2"/>
      </w:pPr>
      <w:bookmarkStart w:id="10" w:name="_Toc513752255"/>
      <w:r>
        <w:t>Calculations</w:t>
      </w:r>
      <w:bookmarkEnd w:id="10"/>
    </w:p>
    <w:p w14:paraId="6E1BACDC" w14:textId="36C367E9" w:rsidR="001E6896" w:rsidRDefault="001E6896" w:rsidP="001E6896"/>
    <w:p w14:paraId="01763662" w14:textId="27AA6426" w:rsidR="001E6896" w:rsidRDefault="001E6896" w:rsidP="00C9634E">
      <w:pPr>
        <w:pStyle w:val="ListParagraph"/>
        <w:numPr>
          <w:ilvl w:val="0"/>
          <w:numId w:val="2"/>
        </w:numPr>
        <w:rPr>
          <w:i/>
        </w:rPr>
      </w:pPr>
      <w:r w:rsidRPr="00C9634E">
        <w:rPr>
          <w:i/>
        </w:rPr>
        <w:t xml:space="preserve">Calculation of the bandgap from the gradient of the linear </w:t>
      </w:r>
      <w:r w:rsidR="004149F9" w:rsidRPr="00C9634E">
        <w:rPr>
          <w:i/>
        </w:rPr>
        <w:t>fit plot Figure 5.</w:t>
      </w:r>
      <w:r w:rsidR="00316857">
        <w:rPr>
          <w:i/>
        </w:rPr>
        <w:t xml:space="preserve"> ln(</w:t>
      </w:r>
      <w:r w:rsidR="00316857">
        <w:rPr>
          <w:rFonts w:ascii="Segoe UI Historic" w:hAnsi="Segoe UI Historic" w:cs="Segoe UI Historic"/>
          <w:i/>
        </w:rPr>
        <w:t>ⲣ) vs 1/</w:t>
      </w:r>
      <w:proofErr w:type="gramStart"/>
      <w:r w:rsidR="00316857">
        <w:rPr>
          <w:rFonts w:ascii="Segoe UI Historic" w:hAnsi="Segoe UI Historic" w:cs="Segoe UI Historic"/>
          <w:i/>
        </w:rPr>
        <w:t>T .</w:t>
      </w:r>
      <w:proofErr w:type="gramEnd"/>
    </w:p>
    <w:p w14:paraId="035820AC" w14:textId="77777777" w:rsidR="00C9634E" w:rsidRPr="00C9634E" w:rsidRDefault="00C9634E" w:rsidP="00F17980">
      <w:pPr>
        <w:pStyle w:val="ListParagraph"/>
        <w:rPr>
          <w:i/>
        </w:rPr>
      </w:pPr>
    </w:p>
    <w:p w14:paraId="40245889" w14:textId="238DA9A4" w:rsidR="00C9634E" w:rsidRPr="00316857" w:rsidRDefault="00016C3A" w:rsidP="00C9634E">
      <w:pPr>
        <w:rPr>
          <w:rFonts w:eastAsiaTheme="minorEastAsia"/>
          <w:i/>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Segoe UI Historic" w:hAnsi="Segoe UI Historic" w:cs="Segoe UI Historic"/>
                    </w:rPr>
                    <m:t>ⲣ</m:t>
                  </m:r>
                  <m:ctrlPr>
                    <w:rPr>
                      <w:rFonts w:ascii="Cambria Math" w:hAnsi="Segoe UI Historic" w:cs="Segoe UI Historic"/>
                      <w:i/>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m:oMathPara>
    </w:p>
    <w:p w14:paraId="0CB1CE99" w14:textId="089D2DBF" w:rsidR="00316857" w:rsidRPr="00F17980" w:rsidRDefault="00316857" w:rsidP="00C9634E">
      <w:pPr>
        <w:rPr>
          <w:rFonts w:eastAsiaTheme="minorEastAsia"/>
          <w:i/>
        </w:rPr>
      </w:pPr>
      <m:oMathPara>
        <m:oMath>
          <m:r>
            <w:rPr>
              <w:rFonts w:ascii="Cambria Math" w:eastAsiaTheme="minorEastAsia" w:hAnsi="Cambria Math"/>
            </w:rPr>
            <m:t>&amp;</m:t>
          </m:r>
        </m:oMath>
      </m:oMathPara>
    </w:p>
    <w:p w14:paraId="1041023D" w14:textId="6DBBBB97" w:rsidR="00F17980" w:rsidRPr="00316857" w:rsidRDefault="00016C3A" w:rsidP="00C9634E">
      <w:pPr>
        <w:rPr>
          <w:rFonts w:eastAsiaTheme="minorEastAsia"/>
          <w:i/>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y = </m:t>
              </m:r>
            </m:fName>
            <m:e>
              <m:r>
                <w:rPr>
                  <w:rFonts w:ascii="Cambria Math" w:eastAsiaTheme="minorEastAsia" w:hAnsi="Cambria Math"/>
                </w:rPr>
                <m:t>mx+b</m:t>
              </m:r>
            </m:e>
          </m:func>
        </m:oMath>
      </m:oMathPara>
    </w:p>
    <w:p w14:paraId="7DFDCEED" w14:textId="6178B6F4" w:rsidR="00316857" w:rsidRDefault="00316857" w:rsidP="00C9634E">
      <w:pPr>
        <w:rPr>
          <w:rFonts w:eastAsiaTheme="minorEastAsia"/>
          <w:i/>
        </w:rPr>
      </w:pPr>
      <w:r>
        <w:rPr>
          <w:rFonts w:eastAsiaTheme="minorEastAsia"/>
          <w:i/>
        </w:rPr>
        <w:t xml:space="preserve">Therefore, </w:t>
      </w:r>
    </w:p>
    <w:p w14:paraId="6F0F978A" w14:textId="714A7F34" w:rsidR="00316857" w:rsidRPr="00316857" w:rsidRDefault="00316857" w:rsidP="00C9634E">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m:t>
              </m:r>
            </m:den>
          </m:f>
        </m:oMath>
      </m:oMathPara>
    </w:p>
    <w:p w14:paraId="51FED1D8" w14:textId="77777777" w:rsidR="00316857" w:rsidRPr="00316857" w:rsidRDefault="00316857" w:rsidP="00C9634E">
      <w:pPr>
        <w:rPr>
          <w:rFonts w:eastAsiaTheme="minorEastAsia"/>
          <w:i/>
        </w:rPr>
      </w:pPr>
    </w:p>
    <w:p w14:paraId="26BA7AF1" w14:textId="4E803965" w:rsidR="00C04BDB" w:rsidRDefault="004F0915" w:rsidP="004F0915">
      <w:pPr>
        <w:rPr>
          <w:rFonts w:eastAsiaTheme="minorEastAsia"/>
          <w:i/>
        </w:rPr>
      </w:pPr>
      <w:r>
        <w:rPr>
          <w:rFonts w:eastAsiaTheme="minorEastAsia"/>
          <w:i/>
        </w:rPr>
        <w:t>Hence,</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=2km</m:t>
        </m:r>
      </m:oMath>
      <w:r w:rsidR="00C04BDB">
        <w:rPr>
          <w:rFonts w:eastAsiaTheme="minorEastAsia"/>
          <w:i/>
        </w:rPr>
        <w:br/>
      </w:r>
    </w:p>
    <w:p w14:paraId="14F5CCD5" w14:textId="691EF132" w:rsidR="00E518D7" w:rsidRPr="003A2C7A" w:rsidRDefault="00C04BDB" w:rsidP="00C04BDB">
      <w:pPr>
        <w:pStyle w:val="Heading1"/>
        <w:rPr>
          <w:rFonts w:asciiTheme="minorHAnsi" w:eastAsiaTheme="minorHAnsi" w:hAnsiTheme="minorHAnsi" w:cstheme="minorBidi"/>
          <w:color w:val="auto"/>
          <w:sz w:val="22"/>
          <w:szCs w:val="22"/>
        </w:rPr>
      </w:pPr>
      <w:r>
        <w:rPr>
          <w:rFonts w:eastAsiaTheme="minorEastAsia"/>
          <w:i/>
        </w:rPr>
        <w:br w:type="page"/>
      </w:r>
    </w:p>
    <w:bookmarkStart w:id="11" w:name="_Toc513752256" w:displacedByCustomXml="next"/>
    <w:sdt>
      <w:sdtPr>
        <w:rPr>
          <w:rFonts w:asciiTheme="minorHAnsi" w:eastAsiaTheme="minorHAnsi" w:hAnsiTheme="minorHAnsi" w:cstheme="minorBidi"/>
          <w:color w:val="auto"/>
          <w:sz w:val="22"/>
          <w:szCs w:val="22"/>
        </w:rPr>
        <w:id w:val="978180864"/>
        <w:docPartObj>
          <w:docPartGallery w:val="Bibliographies"/>
          <w:docPartUnique/>
        </w:docPartObj>
      </w:sdtPr>
      <w:sdtEndPr/>
      <w:sdtContent>
        <w:p w14:paraId="1669B7E1" w14:textId="77777777" w:rsidR="00E518D7" w:rsidRPr="003A2C7A" w:rsidRDefault="00E518D7" w:rsidP="00C04BDB">
          <w:pPr>
            <w:pStyle w:val="Heading1"/>
            <w:rPr>
              <w:rFonts w:asciiTheme="minorHAnsi" w:eastAsiaTheme="minorHAnsi" w:hAnsiTheme="minorHAnsi" w:cstheme="minorBidi"/>
              <w:color w:val="auto"/>
              <w:sz w:val="22"/>
              <w:szCs w:val="22"/>
            </w:rPr>
          </w:pPr>
          <w:r>
            <w:t>Bibliography</w:t>
          </w:r>
          <w:bookmarkEnd w:id="11"/>
        </w:p>
        <w:sdt>
          <w:sdtPr>
            <w:id w:val="111145805"/>
            <w:bibliography/>
          </w:sdtPr>
          <w:sdtEndPr/>
          <w:sdtContent>
            <w:p w14:paraId="532F88CC" w14:textId="77777777" w:rsidR="00007B2B"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07B2B" w14:paraId="4B0DD7BE" w14:textId="77777777">
                <w:trPr>
                  <w:divId w:val="718169564"/>
                  <w:tblCellSpacing w:w="15" w:type="dxa"/>
                </w:trPr>
                <w:tc>
                  <w:tcPr>
                    <w:tcW w:w="50" w:type="pct"/>
                    <w:hideMark/>
                  </w:tcPr>
                  <w:p w14:paraId="4987B690" w14:textId="2B937656" w:rsidR="00007B2B" w:rsidRDefault="00007B2B">
                    <w:pPr>
                      <w:pStyle w:val="Bibliography"/>
                      <w:rPr>
                        <w:noProof/>
                        <w:sz w:val="24"/>
                        <w:szCs w:val="24"/>
                      </w:rPr>
                    </w:pPr>
                    <w:r>
                      <w:rPr>
                        <w:noProof/>
                      </w:rPr>
                      <w:t xml:space="preserve">[1] </w:t>
                    </w:r>
                  </w:p>
                </w:tc>
                <w:tc>
                  <w:tcPr>
                    <w:tcW w:w="0" w:type="auto"/>
                    <w:hideMark/>
                  </w:tcPr>
                  <w:p w14:paraId="76739451" w14:textId="77777777" w:rsidR="00007B2B" w:rsidRDefault="00007B2B">
                    <w:pPr>
                      <w:pStyle w:val="Bibliography"/>
                      <w:rPr>
                        <w:noProof/>
                      </w:rPr>
                    </w:pPr>
                    <w:r>
                      <w:rPr>
                        <w:noProof/>
                      </w:rPr>
                      <w:t>M. Design, “Energy band structure of germanium,” materials design, 2018. [Online]. Available: http://www.materialsdesign.com/appnote/energy-band-structure-germanium.</w:t>
                    </w:r>
                  </w:p>
                </w:tc>
              </w:tr>
            </w:tbl>
            <w:p w14:paraId="6D1A78A6" w14:textId="77777777" w:rsidR="00007B2B" w:rsidRDefault="00007B2B">
              <w:pPr>
                <w:divId w:val="718169564"/>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B3FCE" w14:textId="77777777" w:rsidR="00016C3A" w:rsidRDefault="00016C3A" w:rsidP="006F6F01">
      <w:pPr>
        <w:spacing w:after="0" w:line="240" w:lineRule="auto"/>
      </w:pPr>
      <w:r>
        <w:separator/>
      </w:r>
    </w:p>
  </w:endnote>
  <w:endnote w:type="continuationSeparator" w:id="0">
    <w:p w14:paraId="06D047B0" w14:textId="77777777" w:rsidR="00016C3A" w:rsidRDefault="00016C3A"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EndPr/>
    <w:sdtContent>
      <w:sdt>
        <w:sdtPr>
          <w:id w:val="-1769616900"/>
          <w:docPartObj>
            <w:docPartGallery w:val="Page Numbers (Top of Page)"/>
            <w:docPartUnique/>
          </w:docPartObj>
        </w:sdtPr>
        <w:sdtEndPr/>
        <w:sdtContent>
          <w:p w14:paraId="70CED418" w14:textId="57709E53" w:rsidR="004A17C8" w:rsidRDefault="004A17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4A17C8" w:rsidRDefault="004A1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DE3A3" w14:textId="77777777" w:rsidR="00016C3A" w:rsidRDefault="00016C3A" w:rsidP="006F6F01">
      <w:pPr>
        <w:spacing w:after="0" w:line="240" w:lineRule="auto"/>
      </w:pPr>
      <w:r>
        <w:separator/>
      </w:r>
    </w:p>
  </w:footnote>
  <w:footnote w:type="continuationSeparator" w:id="0">
    <w:p w14:paraId="6A4F067B" w14:textId="77777777" w:rsidR="00016C3A" w:rsidRDefault="00016C3A"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0AE0D3E3" w:rsidR="004A17C8" w:rsidRDefault="004A17C8">
    <w:pPr>
      <w:pStyle w:val="Header"/>
    </w:pPr>
    <w:r>
      <w:tab/>
    </w:r>
    <w:r>
      <w:tab/>
      <w:t>Report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1A22"/>
    <w:multiLevelType w:val="hybridMultilevel"/>
    <w:tmpl w:val="2AFC77D2"/>
    <w:lvl w:ilvl="0" w:tplc="BAFE18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E3180"/>
    <w:multiLevelType w:val="hybridMultilevel"/>
    <w:tmpl w:val="6106C1A2"/>
    <w:lvl w:ilvl="0" w:tplc="720CBD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CA6C7D"/>
    <w:multiLevelType w:val="hybridMultilevel"/>
    <w:tmpl w:val="83B66D46"/>
    <w:lvl w:ilvl="0" w:tplc="0C5A32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7B2B"/>
    <w:rsid w:val="00007BCA"/>
    <w:rsid w:val="00013E8E"/>
    <w:rsid w:val="0001559C"/>
    <w:rsid w:val="00016AC0"/>
    <w:rsid w:val="00016C3A"/>
    <w:rsid w:val="00025180"/>
    <w:rsid w:val="00025DC9"/>
    <w:rsid w:val="000270BD"/>
    <w:rsid w:val="0004022C"/>
    <w:rsid w:val="00041E1F"/>
    <w:rsid w:val="00046123"/>
    <w:rsid w:val="0006025B"/>
    <w:rsid w:val="00061BF9"/>
    <w:rsid w:val="00077A27"/>
    <w:rsid w:val="00080747"/>
    <w:rsid w:val="00083079"/>
    <w:rsid w:val="00084AA1"/>
    <w:rsid w:val="00091D91"/>
    <w:rsid w:val="00091E15"/>
    <w:rsid w:val="0009380E"/>
    <w:rsid w:val="000E10CA"/>
    <w:rsid w:val="000E5179"/>
    <w:rsid w:val="000E51E4"/>
    <w:rsid w:val="000E5B12"/>
    <w:rsid w:val="000F009E"/>
    <w:rsid w:val="000F055F"/>
    <w:rsid w:val="000F1EBC"/>
    <w:rsid w:val="000F3B4B"/>
    <w:rsid w:val="000F50F7"/>
    <w:rsid w:val="000F5B76"/>
    <w:rsid w:val="000F7F58"/>
    <w:rsid w:val="00101383"/>
    <w:rsid w:val="001038A3"/>
    <w:rsid w:val="00104AFB"/>
    <w:rsid w:val="00113BA9"/>
    <w:rsid w:val="00117D60"/>
    <w:rsid w:val="001200BC"/>
    <w:rsid w:val="001331ED"/>
    <w:rsid w:val="00133979"/>
    <w:rsid w:val="00143B43"/>
    <w:rsid w:val="00147656"/>
    <w:rsid w:val="00156FD4"/>
    <w:rsid w:val="00171FE6"/>
    <w:rsid w:val="00172BA8"/>
    <w:rsid w:val="001754EA"/>
    <w:rsid w:val="00176C5C"/>
    <w:rsid w:val="00176D8C"/>
    <w:rsid w:val="00194349"/>
    <w:rsid w:val="00194C06"/>
    <w:rsid w:val="0019682F"/>
    <w:rsid w:val="0019769D"/>
    <w:rsid w:val="001A1B01"/>
    <w:rsid w:val="001B43E6"/>
    <w:rsid w:val="001C3012"/>
    <w:rsid w:val="001C388C"/>
    <w:rsid w:val="001C5FB0"/>
    <w:rsid w:val="001C6764"/>
    <w:rsid w:val="001C67E8"/>
    <w:rsid w:val="001D0BB4"/>
    <w:rsid w:val="001D3BF3"/>
    <w:rsid w:val="001D400B"/>
    <w:rsid w:val="001E6896"/>
    <w:rsid w:val="00201FD1"/>
    <w:rsid w:val="002034F0"/>
    <w:rsid w:val="0021447F"/>
    <w:rsid w:val="0021553A"/>
    <w:rsid w:val="00225742"/>
    <w:rsid w:val="0022794F"/>
    <w:rsid w:val="00230050"/>
    <w:rsid w:val="00245ED1"/>
    <w:rsid w:val="00280A0C"/>
    <w:rsid w:val="00292567"/>
    <w:rsid w:val="0029502B"/>
    <w:rsid w:val="002A20CA"/>
    <w:rsid w:val="002A443C"/>
    <w:rsid w:val="002B37E2"/>
    <w:rsid w:val="002C12FF"/>
    <w:rsid w:val="002C1C42"/>
    <w:rsid w:val="002D1830"/>
    <w:rsid w:val="002D1967"/>
    <w:rsid w:val="002F00B3"/>
    <w:rsid w:val="002F5164"/>
    <w:rsid w:val="002F556D"/>
    <w:rsid w:val="002F67D9"/>
    <w:rsid w:val="002F7A41"/>
    <w:rsid w:val="00302AF9"/>
    <w:rsid w:val="003067A6"/>
    <w:rsid w:val="003166DE"/>
    <w:rsid w:val="00316857"/>
    <w:rsid w:val="00323C5F"/>
    <w:rsid w:val="003243D9"/>
    <w:rsid w:val="00331439"/>
    <w:rsid w:val="003327C7"/>
    <w:rsid w:val="00335C9B"/>
    <w:rsid w:val="00337F7C"/>
    <w:rsid w:val="00345A82"/>
    <w:rsid w:val="0035667E"/>
    <w:rsid w:val="00367762"/>
    <w:rsid w:val="0037139A"/>
    <w:rsid w:val="003714E5"/>
    <w:rsid w:val="003737F1"/>
    <w:rsid w:val="00380156"/>
    <w:rsid w:val="00383D03"/>
    <w:rsid w:val="00384462"/>
    <w:rsid w:val="003873AA"/>
    <w:rsid w:val="0039038B"/>
    <w:rsid w:val="00393414"/>
    <w:rsid w:val="0039680C"/>
    <w:rsid w:val="003A2C7A"/>
    <w:rsid w:val="003B32C5"/>
    <w:rsid w:val="003B3942"/>
    <w:rsid w:val="003C493D"/>
    <w:rsid w:val="003D110A"/>
    <w:rsid w:val="003D45F4"/>
    <w:rsid w:val="003F3BC2"/>
    <w:rsid w:val="003F7CF2"/>
    <w:rsid w:val="004021C1"/>
    <w:rsid w:val="00402903"/>
    <w:rsid w:val="00402935"/>
    <w:rsid w:val="00405F42"/>
    <w:rsid w:val="00412286"/>
    <w:rsid w:val="00413DA3"/>
    <w:rsid w:val="004149F9"/>
    <w:rsid w:val="00422D51"/>
    <w:rsid w:val="0042365F"/>
    <w:rsid w:val="00435700"/>
    <w:rsid w:val="0044142B"/>
    <w:rsid w:val="004426D4"/>
    <w:rsid w:val="004429EF"/>
    <w:rsid w:val="00445E56"/>
    <w:rsid w:val="00451A57"/>
    <w:rsid w:val="0045589F"/>
    <w:rsid w:val="00460701"/>
    <w:rsid w:val="00462C55"/>
    <w:rsid w:val="00470E51"/>
    <w:rsid w:val="004811F7"/>
    <w:rsid w:val="0048243E"/>
    <w:rsid w:val="00485F3D"/>
    <w:rsid w:val="00492E77"/>
    <w:rsid w:val="00493982"/>
    <w:rsid w:val="004A17C8"/>
    <w:rsid w:val="004A3085"/>
    <w:rsid w:val="004A52B8"/>
    <w:rsid w:val="004A6B61"/>
    <w:rsid w:val="004B0A4B"/>
    <w:rsid w:val="004B7271"/>
    <w:rsid w:val="004B7C1E"/>
    <w:rsid w:val="004C40FF"/>
    <w:rsid w:val="004C4AF7"/>
    <w:rsid w:val="004D1BAB"/>
    <w:rsid w:val="004D4121"/>
    <w:rsid w:val="004D6AEA"/>
    <w:rsid w:val="004E492E"/>
    <w:rsid w:val="004F0915"/>
    <w:rsid w:val="004F0C62"/>
    <w:rsid w:val="004F3403"/>
    <w:rsid w:val="004F4F3D"/>
    <w:rsid w:val="00500B64"/>
    <w:rsid w:val="00500FE2"/>
    <w:rsid w:val="005071A8"/>
    <w:rsid w:val="00507E5D"/>
    <w:rsid w:val="00514392"/>
    <w:rsid w:val="00515992"/>
    <w:rsid w:val="00521CF0"/>
    <w:rsid w:val="00525E3B"/>
    <w:rsid w:val="00527E23"/>
    <w:rsid w:val="00531C7B"/>
    <w:rsid w:val="00537831"/>
    <w:rsid w:val="005441E7"/>
    <w:rsid w:val="00553B05"/>
    <w:rsid w:val="005652CF"/>
    <w:rsid w:val="005761E9"/>
    <w:rsid w:val="005834E2"/>
    <w:rsid w:val="00584554"/>
    <w:rsid w:val="00587E95"/>
    <w:rsid w:val="00591884"/>
    <w:rsid w:val="005962E0"/>
    <w:rsid w:val="005963E4"/>
    <w:rsid w:val="005A3AD8"/>
    <w:rsid w:val="005A5FDC"/>
    <w:rsid w:val="005A7DAF"/>
    <w:rsid w:val="005B4D99"/>
    <w:rsid w:val="005C16AB"/>
    <w:rsid w:val="005C45B7"/>
    <w:rsid w:val="005D1176"/>
    <w:rsid w:val="005D342C"/>
    <w:rsid w:val="005D6E70"/>
    <w:rsid w:val="005E211E"/>
    <w:rsid w:val="005E31F2"/>
    <w:rsid w:val="005E3DB0"/>
    <w:rsid w:val="005E3E9C"/>
    <w:rsid w:val="006002BA"/>
    <w:rsid w:val="006011C6"/>
    <w:rsid w:val="00603ADA"/>
    <w:rsid w:val="00604B9A"/>
    <w:rsid w:val="00604C5D"/>
    <w:rsid w:val="006173A3"/>
    <w:rsid w:val="00621D63"/>
    <w:rsid w:val="006313E9"/>
    <w:rsid w:val="00640475"/>
    <w:rsid w:val="006429B8"/>
    <w:rsid w:val="00647EAE"/>
    <w:rsid w:val="006552C4"/>
    <w:rsid w:val="00663739"/>
    <w:rsid w:val="00664F8A"/>
    <w:rsid w:val="00673DC2"/>
    <w:rsid w:val="006760F2"/>
    <w:rsid w:val="00680C39"/>
    <w:rsid w:val="0068640C"/>
    <w:rsid w:val="00692694"/>
    <w:rsid w:val="00694302"/>
    <w:rsid w:val="006A19F7"/>
    <w:rsid w:val="006A3824"/>
    <w:rsid w:val="006A684F"/>
    <w:rsid w:val="006B1F41"/>
    <w:rsid w:val="006B5CB3"/>
    <w:rsid w:val="006C67FD"/>
    <w:rsid w:val="006D0DB2"/>
    <w:rsid w:val="006D5AEA"/>
    <w:rsid w:val="006D5EE3"/>
    <w:rsid w:val="006D681F"/>
    <w:rsid w:val="006D7323"/>
    <w:rsid w:val="006E4C69"/>
    <w:rsid w:val="006E4F02"/>
    <w:rsid w:val="006E7124"/>
    <w:rsid w:val="006E7285"/>
    <w:rsid w:val="006E7C82"/>
    <w:rsid w:val="006F42AC"/>
    <w:rsid w:val="006F6F01"/>
    <w:rsid w:val="00700EBA"/>
    <w:rsid w:val="00703B06"/>
    <w:rsid w:val="007119D6"/>
    <w:rsid w:val="0071528A"/>
    <w:rsid w:val="00716465"/>
    <w:rsid w:val="00723090"/>
    <w:rsid w:val="00724936"/>
    <w:rsid w:val="007249E3"/>
    <w:rsid w:val="00730708"/>
    <w:rsid w:val="007433FD"/>
    <w:rsid w:val="00745AB7"/>
    <w:rsid w:val="00751150"/>
    <w:rsid w:val="007531E2"/>
    <w:rsid w:val="00756676"/>
    <w:rsid w:val="00761E00"/>
    <w:rsid w:val="00782458"/>
    <w:rsid w:val="0078279C"/>
    <w:rsid w:val="00785AF6"/>
    <w:rsid w:val="0078668D"/>
    <w:rsid w:val="007878EF"/>
    <w:rsid w:val="0079364D"/>
    <w:rsid w:val="007A60AA"/>
    <w:rsid w:val="007B1A0C"/>
    <w:rsid w:val="007B3993"/>
    <w:rsid w:val="007C13D5"/>
    <w:rsid w:val="007C1FC2"/>
    <w:rsid w:val="007C6BE1"/>
    <w:rsid w:val="007D2585"/>
    <w:rsid w:val="007D5C31"/>
    <w:rsid w:val="007E009E"/>
    <w:rsid w:val="007E38EA"/>
    <w:rsid w:val="007E7D9E"/>
    <w:rsid w:val="007F3142"/>
    <w:rsid w:val="007F5C09"/>
    <w:rsid w:val="007F7763"/>
    <w:rsid w:val="008029AF"/>
    <w:rsid w:val="008064AA"/>
    <w:rsid w:val="008067A6"/>
    <w:rsid w:val="00810234"/>
    <w:rsid w:val="00817D8E"/>
    <w:rsid w:val="00817F90"/>
    <w:rsid w:val="008224ED"/>
    <w:rsid w:val="0082463A"/>
    <w:rsid w:val="008314D2"/>
    <w:rsid w:val="008404A4"/>
    <w:rsid w:val="00844427"/>
    <w:rsid w:val="008444B1"/>
    <w:rsid w:val="00844B4C"/>
    <w:rsid w:val="00845FFF"/>
    <w:rsid w:val="0085191B"/>
    <w:rsid w:val="00851E27"/>
    <w:rsid w:val="008533CA"/>
    <w:rsid w:val="008539D6"/>
    <w:rsid w:val="0085421B"/>
    <w:rsid w:val="00860049"/>
    <w:rsid w:val="008625B9"/>
    <w:rsid w:val="00872BBB"/>
    <w:rsid w:val="00872C49"/>
    <w:rsid w:val="00874B64"/>
    <w:rsid w:val="00886A25"/>
    <w:rsid w:val="008951DB"/>
    <w:rsid w:val="00896D7B"/>
    <w:rsid w:val="008A419C"/>
    <w:rsid w:val="008A6237"/>
    <w:rsid w:val="008A6FB5"/>
    <w:rsid w:val="008C0044"/>
    <w:rsid w:val="008C022E"/>
    <w:rsid w:val="008C3EC1"/>
    <w:rsid w:val="008C4017"/>
    <w:rsid w:val="008D1223"/>
    <w:rsid w:val="008D5D10"/>
    <w:rsid w:val="008D6956"/>
    <w:rsid w:val="008D7594"/>
    <w:rsid w:val="008E3624"/>
    <w:rsid w:val="008E39CC"/>
    <w:rsid w:val="008E6378"/>
    <w:rsid w:val="008E70CA"/>
    <w:rsid w:val="008F02F5"/>
    <w:rsid w:val="008F1D63"/>
    <w:rsid w:val="008F4B5E"/>
    <w:rsid w:val="00900422"/>
    <w:rsid w:val="00907E75"/>
    <w:rsid w:val="00912A37"/>
    <w:rsid w:val="00923E1F"/>
    <w:rsid w:val="00930A02"/>
    <w:rsid w:val="009333CE"/>
    <w:rsid w:val="00934343"/>
    <w:rsid w:val="00940246"/>
    <w:rsid w:val="00940B4C"/>
    <w:rsid w:val="009443A7"/>
    <w:rsid w:val="00955200"/>
    <w:rsid w:val="00957FFC"/>
    <w:rsid w:val="009648CC"/>
    <w:rsid w:val="009658B4"/>
    <w:rsid w:val="009726FF"/>
    <w:rsid w:val="00975A7F"/>
    <w:rsid w:val="009763C1"/>
    <w:rsid w:val="00980869"/>
    <w:rsid w:val="00984E03"/>
    <w:rsid w:val="00984F50"/>
    <w:rsid w:val="009924E2"/>
    <w:rsid w:val="009940D5"/>
    <w:rsid w:val="0099470C"/>
    <w:rsid w:val="00997508"/>
    <w:rsid w:val="009975A8"/>
    <w:rsid w:val="009A1CB2"/>
    <w:rsid w:val="009A4EC5"/>
    <w:rsid w:val="009A79D9"/>
    <w:rsid w:val="009C18C7"/>
    <w:rsid w:val="009D058D"/>
    <w:rsid w:val="009E16B6"/>
    <w:rsid w:val="009E17CB"/>
    <w:rsid w:val="009E2D27"/>
    <w:rsid w:val="009E3D73"/>
    <w:rsid w:val="009E451E"/>
    <w:rsid w:val="009F086C"/>
    <w:rsid w:val="009F3EA8"/>
    <w:rsid w:val="009F50D2"/>
    <w:rsid w:val="00A006C9"/>
    <w:rsid w:val="00A00C86"/>
    <w:rsid w:val="00A03347"/>
    <w:rsid w:val="00A04E95"/>
    <w:rsid w:val="00A072B5"/>
    <w:rsid w:val="00A116C4"/>
    <w:rsid w:val="00A201F8"/>
    <w:rsid w:val="00A24E97"/>
    <w:rsid w:val="00A276F5"/>
    <w:rsid w:val="00A410AD"/>
    <w:rsid w:val="00A42D48"/>
    <w:rsid w:val="00A50281"/>
    <w:rsid w:val="00A510B1"/>
    <w:rsid w:val="00A56671"/>
    <w:rsid w:val="00A57118"/>
    <w:rsid w:val="00A576E9"/>
    <w:rsid w:val="00A60861"/>
    <w:rsid w:val="00A61C5C"/>
    <w:rsid w:val="00A62414"/>
    <w:rsid w:val="00A63C7A"/>
    <w:rsid w:val="00A7086C"/>
    <w:rsid w:val="00A726C0"/>
    <w:rsid w:val="00A73C31"/>
    <w:rsid w:val="00A7720C"/>
    <w:rsid w:val="00A92FA5"/>
    <w:rsid w:val="00A956DC"/>
    <w:rsid w:val="00A95F8A"/>
    <w:rsid w:val="00A96A29"/>
    <w:rsid w:val="00A96F93"/>
    <w:rsid w:val="00A970D0"/>
    <w:rsid w:val="00AA0064"/>
    <w:rsid w:val="00AA133B"/>
    <w:rsid w:val="00AA31FE"/>
    <w:rsid w:val="00AA64FC"/>
    <w:rsid w:val="00AB0213"/>
    <w:rsid w:val="00AB1E5A"/>
    <w:rsid w:val="00AB7999"/>
    <w:rsid w:val="00AC2477"/>
    <w:rsid w:val="00AC75F6"/>
    <w:rsid w:val="00AD03AD"/>
    <w:rsid w:val="00AD6D2C"/>
    <w:rsid w:val="00AE067E"/>
    <w:rsid w:val="00AE64AF"/>
    <w:rsid w:val="00AF44F6"/>
    <w:rsid w:val="00B02FB4"/>
    <w:rsid w:val="00B050D4"/>
    <w:rsid w:val="00B06AD6"/>
    <w:rsid w:val="00B11939"/>
    <w:rsid w:val="00B14C98"/>
    <w:rsid w:val="00B228D7"/>
    <w:rsid w:val="00B27215"/>
    <w:rsid w:val="00B27785"/>
    <w:rsid w:val="00B30407"/>
    <w:rsid w:val="00B30D33"/>
    <w:rsid w:val="00B320BB"/>
    <w:rsid w:val="00B32942"/>
    <w:rsid w:val="00B349E1"/>
    <w:rsid w:val="00B355AB"/>
    <w:rsid w:val="00B35E66"/>
    <w:rsid w:val="00B36AF9"/>
    <w:rsid w:val="00B40936"/>
    <w:rsid w:val="00B42A3A"/>
    <w:rsid w:val="00B43A43"/>
    <w:rsid w:val="00B4400A"/>
    <w:rsid w:val="00B47021"/>
    <w:rsid w:val="00B47180"/>
    <w:rsid w:val="00B5417E"/>
    <w:rsid w:val="00B54773"/>
    <w:rsid w:val="00B56AB1"/>
    <w:rsid w:val="00B63172"/>
    <w:rsid w:val="00B640E0"/>
    <w:rsid w:val="00B6766F"/>
    <w:rsid w:val="00B7226D"/>
    <w:rsid w:val="00B7442B"/>
    <w:rsid w:val="00B7661E"/>
    <w:rsid w:val="00B902CB"/>
    <w:rsid w:val="00B91114"/>
    <w:rsid w:val="00B926FE"/>
    <w:rsid w:val="00B92F8E"/>
    <w:rsid w:val="00B93214"/>
    <w:rsid w:val="00BA4C75"/>
    <w:rsid w:val="00BA50B6"/>
    <w:rsid w:val="00BB0272"/>
    <w:rsid w:val="00BC13FE"/>
    <w:rsid w:val="00BC2B91"/>
    <w:rsid w:val="00BC32D1"/>
    <w:rsid w:val="00BC4A88"/>
    <w:rsid w:val="00BD08FF"/>
    <w:rsid w:val="00BD5F16"/>
    <w:rsid w:val="00BD60E7"/>
    <w:rsid w:val="00BE2A4B"/>
    <w:rsid w:val="00BE32E2"/>
    <w:rsid w:val="00BF2144"/>
    <w:rsid w:val="00BF2312"/>
    <w:rsid w:val="00BF3825"/>
    <w:rsid w:val="00BF3B94"/>
    <w:rsid w:val="00BF5584"/>
    <w:rsid w:val="00BF74C3"/>
    <w:rsid w:val="00C04BDB"/>
    <w:rsid w:val="00C06B4D"/>
    <w:rsid w:val="00C13C66"/>
    <w:rsid w:val="00C23199"/>
    <w:rsid w:val="00C23BBA"/>
    <w:rsid w:val="00C24C46"/>
    <w:rsid w:val="00C262F7"/>
    <w:rsid w:val="00C34B92"/>
    <w:rsid w:val="00C42C57"/>
    <w:rsid w:val="00C42CA0"/>
    <w:rsid w:val="00C43EE4"/>
    <w:rsid w:val="00C44328"/>
    <w:rsid w:val="00C44EF2"/>
    <w:rsid w:val="00C47730"/>
    <w:rsid w:val="00C513FC"/>
    <w:rsid w:val="00C53F09"/>
    <w:rsid w:val="00C67615"/>
    <w:rsid w:val="00C83C12"/>
    <w:rsid w:val="00C86EED"/>
    <w:rsid w:val="00C9634E"/>
    <w:rsid w:val="00C97925"/>
    <w:rsid w:val="00CA0438"/>
    <w:rsid w:val="00CB194E"/>
    <w:rsid w:val="00CC7C77"/>
    <w:rsid w:val="00CD0BF3"/>
    <w:rsid w:val="00CD1DE7"/>
    <w:rsid w:val="00CD3D07"/>
    <w:rsid w:val="00CE2ADE"/>
    <w:rsid w:val="00CF5E8D"/>
    <w:rsid w:val="00CF7182"/>
    <w:rsid w:val="00CF75EC"/>
    <w:rsid w:val="00D05C35"/>
    <w:rsid w:val="00D108B4"/>
    <w:rsid w:val="00D12832"/>
    <w:rsid w:val="00D13E5E"/>
    <w:rsid w:val="00D1497F"/>
    <w:rsid w:val="00D20B20"/>
    <w:rsid w:val="00D24851"/>
    <w:rsid w:val="00D4566C"/>
    <w:rsid w:val="00D45EB7"/>
    <w:rsid w:val="00D468D3"/>
    <w:rsid w:val="00D47369"/>
    <w:rsid w:val="00D64198"/>
    <w:rsid w:val="00D71678"/>
    <w:rsid w:val="00D75184"/>
    <w:rsid w:val="00D758D7"/>
    <w:rsid w:val="00D77C40"/>
    <w:rsid w:val="00D80708"/>
    <w:rsid w:val="00D80B01"/>
    <w:rsid w:val="00D8698E"/>
    <w:rsid w:val="00D8718E"/>
    <w:rsid w:val="00D96A59"/>
    <w:rsid w:val="00DA2A2A"/>
    <w:rsid w:val="00DA3376"/>
    <w:rsid w:val="00DB45A4"/>
    <w:rsid w:val="00DC70C5"/>
    <w:rsid w:val="00DC7A7F"/>
    <w:rsid w:val="00DD113F"/>
    <w:rsid w:val="00DD1D24"/>
    <w:rsid w:val="00DD2317"/>
    <w:rsid w:val="00DD394D"/>
    <w:rsid w:val="00DD4412"/>
    <w:rsid w:val="00DD60FC"/>
    <w:rsid w:val="00DE134F"/>
    <w:rsid w:val="00DE698E"/>
    <w:rsid w:val="00DE7B6F"/>
    <w:rsid w:val="00DF0F89"/>
    <w:rsid w:val="00DF50F8"/>
    <w:rsid w:val="00DF6FF6"/>
    <w:rsid w:val="00E01303"/>
    <w:rsid w:val="00E0145F"/>
    <w:rsid w:val="00E10E5B"/>
    <w:rsid w:val="00E1381A"/>
    <w:rsid w:val="00E172C2"/>
    <w:rsid w:val="00E26443"/>
    <w:rsid w:val="00E33AB8"/>
    <w:rsid w:val="00E342D5"/>
    <w:rsid w:val="00E371F0"/>
    <w:rsid w:val="00E415D1"/>
    <w:rsid w:val="00E43F03"/>
    <w:rsid w:val="00E44C56"/>
    <w:rsid w:val="00E46FB0"/>
    <w:rsid w:val="00E47C25"/>
    <w:rsid w:val="00E47DE6"/>
    <w:rsid w:val="00E518D7"/>
    <w:rsid w:val="00E51A4A"/>
    <w:rsid w:val="00E60C4C"/>
    <w:rsid w:val="00E86DE5"/>
    <w:rsid w:val="00E9447A"/>
    <w:rsid w:val="00E94DAF"/>
    <w:rsid w:val="00E951CD"/>
    <w:rsid w:val="00EB0F60"/>
    <w:rsid w:val="00EB4389"/>
    <w:rsid w:val="00EB51DA"/>
    <w:rsid w:val="00EC2117"/>
    <w:rsid w:val="00ED6C6E"/>
    <w:rsid w:val="00ED7166"/>
    <w:rsid w:val="00EF53DF"/>
    <w:rsid w:val="00F02CC6"/>
    <w:rsid w:val="00F03C63"/>
    <w:rsid w:val="00F03D2B"/>
    <w:rsid w:val="00F0555C"/>
    <w:rsid w:val="00F067B9"/>
    <w:rsid w:val="00F114BF"/>
    <w:rsid w:val="00F13523"/>
    <w:rsid w:val="00F144CD"/>
    <w:rsid w:val="00F1458D"/>
    <w:rsid w:val="00F16B5E"/>
    <w:rsid w:val="00F17980"/>
    <w:rsid w:val="00F22A8E"/>
    <w:rsid w:val="00F334E9"/>
    <w:rsid w:val="00F33728"/>
    <w:rsid w:val="00F379E2"/>
    <w:rsid w:val="00F40C12"/>
    <w:rsid w:val="00F42131"/>
    <w:rsid w:val="00F51855"/>
    <w:rsid w:val="00F542A7"/>
    <w:rsid w:val="00F5627F"/>
    <w:rsid w:val="00F603A1"/>
    <w:rsid w:val="00F61CCA"/>
    <w:rsid w:val="00F640D2"/>
    <w:rsid w:val="00F7044E"/>
    <w:rsid w:val="00F70E11"/>
    <w:rsid w:val="00F748EF"/>
    <w:rsid w:val="00F74BEC"/>
    <w:rsid w:val="00F80866"/>
    <w:rsid w:val="00F82E3B"/>
    <w:rsid w:val="00F91335"/>
    <w:rsid w:val="00FA0B4D"/>
    <w:rsid w:val="00FA5646"/>
    <w:rsid w:val="00FB7B8C"/>
    <w:rsid w:val="00FC16E3"/>
    <w:rsid w:val="00FC5F43"/>
    <w:rsid w:val="00FC5FDC"/>
    <w:rsid w:val="00FD0751"/>
    <w:rsid w:val="00FE2FFF"/>
    <w:rsid w:val="00FF3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 w:type="paragraph" w:styleId="ListParagraph">
    <w:name w:val="List Paragraph"/>
    <w:basedOn w:val="Normal"/>
    <w:uiPriority w:val="34"/>
    <w:qFormat/>
    <w:rsid w:val="001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9802">
      <w:bodyDiv w:val="1"/>
      <w:marLeft w:val="0"/>
      <w:marRight w:val="0"/>
      <w:marTop w:val="0"/>
      <w:marBottom w:val="0"/>
      <w:divBdr>
        <w:top w:val="none" w:sz="0" w:space="0" w:color="auto"/>
        <w:left w:val="none" w:sz="0" w:space="0" w:color="auto"/>
        <w:bottom w:val="none" w:sz="0" w:space="0" w:color="auto"/>
        <w:right w:val="none" w:sz="0" w:space="0" w:color="auto"/>
      </w:divBdr>
    </w:div>
    <w:div w:id="133832667">
      <w:bodyDiv w:val="1"/>
      <w:marLeft w:val="0"/>
      <w:marRight w:val="0"/>
      <w:marTop w:val="0"/>
      <w:marBottom w:val="0"/>
      <w:divBdr>
        <w:top w:val="none" w:sz="0" w:space="0" w:color="auto"/>
        <w:left w:val="none" w:sz="0" w:space="0" w:color="auto"/>
        <w:bottom w:val="none" w:sz="0" w:space="0" w:color="auto"/>
        <w:right w:val="none" w:sz="0" w:space="0" w:color="auto"/>
      </w:divBdr>
    </w:div>
    <w:div w:id="155608909">
      <w:bodyDiv w:val="1"/>
      <w:marLeft w:val="0"/>
      <w:marRight w:val="0"/>
      <w:marTop w:val="0"/>
      <w:marBottom w:val="0"/>
      <w:divBdr>
        <w:top w:val="none" w:sz="0" w:space="0" w:color="auto"/>
        <w:left w:val="none" w:sz="0" w:space="0" w:color="auto"/>
        <w:bottom w:val="none" w:sz="0" w:space="0" w:color="auto"/>
        <w:right w:val="none" w:sz="0" w:space="0" w:color="auto"/>
      </w:divBdr>
    </w:div>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186062668">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03434574">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690060915">
      <w:bodyDiv w:val="1"/>
      <w:marLeft w:val="0"/>
      <w:marRight w:val="0"/>
      <w:marTop w:val="0"/>
      <w:marBottom w:val="0"/>
      <w:divBdr>
        <w:top w:val="none" w:sz="0" w:space="0" w:color="auto"/>
        <w:left w:val="none" w:sz="0" w:space="0" w:color="auto"/>
        <w:bottom w:val="none" w:sz="0" w:space="0" w:color="auto"/>
        <w:right w:val="none" w:sz="0" w:space="0" w:color="auto"/>
      </w:divBdr>
    </w:div>
    <w:div w:id="718169564">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772439436">
      <w:bodyDiv w:val="1"/>
      <w:marLeft w:val="0"/>
      <w:marRight w:val="0"/>
      <w:marTop w:val="0"/>
      <w:marBottom w:val="0"/>
      <w:divBdr>
        <w:top w:val="none" w:sz="0" w:space="0" w:color="auto"/>
        <w:left w:val="none" w:sz="0" w:space="0" w:color="auto"/>
        <w:bottom w:val="none" w:sz="0" w:space="0" w:color="auto"/>
        <w:right w:val="none" w:sz="0" w:space="0" w:color="auto"/>
      </w:divBdr>
    </w:div>
    <w:div w:id="808281047">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56891501">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110124870">
      <w:bodyDiv w:val="1"/>
      <w:marLeft w:val="0"/>
      <w:marRight w:val="0"/>
      <w:marTop w:val="0"/>
      <w:marBottom w:val="0"/>
      <w:divBdr>
        <w:top w:val="none" w:sz="0" w:space="0" w:color="auto"/>
        <w:left w:val="none" w:sz="0" w:space="0" w:color="auto"/>
        <w:bottom w:val="none" w:sz="0" w:space="0" w:color="auto"/>
        <w:right w:val="none" w:sz="0" w:space="0" w:color="auto"/>
      </w:divBdr>
    </w:div>
    <w:div w:id="1120419397">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539127177">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652901379">
      <w:bodyDiv w:val="1"/>
      <w:marLeft w:val="0"/>
      <w:marRight w:val="0"/>
      <w:marTop w:val="0"/>
      <w:marBottom w:val="0"/>
      <w:divBdr>
        <w:top w:val="none" w:sz="0" w:space="0" w:color="auto"/>
        <w:left w:val="none" w:sz="0" w:space="0" w:color="auto"/>
        <w:bottom w:val="none" w:sz="0" w:space="0" w:color="auto"/>
        <w:right w:val="none" w:sz="0" w:space="0" w:color="auto"/>
      </w:divBdr>
    </w:div>
    <w:div w:id="1659267599">
      <w:bodyDiv w:val="1"/>
      <w:marLeft w:val="0"/>
      <w:marRight w:val="0"/>
      <w:marTop w:val="0"/>
      <w:marBottom w:val="0"/>
      <w:divBdr>
        <w:top w:val="none" w:sz="0" w:space="0" w:color="auto"/>
        <w:left w:val="none" w:sz="0" w:space="0" w:color="auto"/>
        <w:bottom w:val="none" w:sz="0" w:space="0" w:color="auto"/>
        <w:right w:val="none" w:sz="0" w:space="0" w:color="auto"/>
      </w:divBdr>
    </w:div>
    <w:div w:id="1700936815">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1956017727">
      <w:bodyDiv w:val="1"/>
      <w:marLeft w:val="0"/>
      <w:marRight w:val="0"/>
      <w:marTop w:val="0"/>
      <w:marBottom w:val="0"/>
      <w:divBdr>
        <w:top w:val="none" w:sz="0" w:space="0" w:color="auto"/>
        <w:left w:val="none" w:sz="0" w:space="0" w:color="auto"/>
        <w:bottom w:val="none" w:sz="0" w:space="0" w:color="auto"/>
        <w:right w:val="none" w:sz="0" w:space="0" w:color="auto"/>
      </w:divBdr>
    </w:div>
    <w:div w:id="1998534980">
      <w:bodyDiv w:val="1"/>
      <w:marLeft w:val="0"/>
      <w:marRight w:val="0"/>
      <w:marTop w:val="0"/>
      <w:marBottom w:val="0"/>
      <w:divBdr>
        <w:top w:val="none" w:sz="0" w:space="0" w:color="auto"/>
        <w:left w:val="none" w:sz="0" w:space="0" w:color="auto"/>
        <w:bottom w:val="none" w:sz="0" w:space="0" w:color="auto"/>
        <w:right w:val="none" w:sz="0" w:space="0" w:color="auto"/>
      </w:divBdr>
    </w:div>
    <w:div w:id="2006516085">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 w:id="21220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python-math0and0physics0solver.wikispaces.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Band-G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dummy%20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Band Gap (ln(</a:t>
            </a:r>
            <a:r>
              <a:rPr lang="el-GR">
                <a:latin typeface="Calibri" panose="020F0502020204030204" pitchFamily="34" charset="0"/>
                <a:cs typeface="Calibri" panose="020F0502020204030204" pitchFamily="34" charset="0"/>
              </a:rPr>
              <a:t>ρ</a:t>
            </a:r>
            <a:r>
              <a:rPr lang="en-AU">
                <a:latin typeface="Calibri" panose="020F0502020204030204" pitchFamily="34" charset="0"/>
                <a:cs typeface="Calibri" panose="020F0502020204030204" pitchFamily="34" charset="0"/>
              </a:rPr>
              <a:t>) Vs 1/T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683677227901675E-2"/>
          <c:y val="0.16028691876588938"/>
          <c:w val="0.82337953557332055"/>
          <c:h val="0.55602094578472527"/>
        </c:manualLayout>
      </c:layout>
      <c:scatterChart>
        <c:scatterStyle val="smoothMarker"/>
        <c:varyColors val="0"/>
        <c:ser>
          <c:idx val="0"/>
          <c:order val="0"/>
          <c:tx>
            <c:v>Measured</c:v>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Sheet1!$G$3:$G$35</c:f>
              <c:numCache>
                <c:formatCode>General</c:formatCode>
                <c:ptCount val="33"/>
                <c:pt idx="0">
                  <c:v>2.2565722667268421E-3</c:v>
                </c:pt>
                <c:pt idx="1">
                  <c:v>2.2823234052265209E-3</c:v>
                </c:pt>
                <c:pt idx="2">
                  <c:v>2.3086690522913541E-3</c:v>
                </c:pt>
                <c:pt idx="3">
                  <c:v>2.3356300362022656E-3</c:v>
                </c:pt>
                <c:pt idx="4">
                  <c:v>2.3632281696797826E-3</c:v>
                </c:pt>
                <c:pt idx="5">
                  <c:v>2.3914863087408826E-3</c:v>
                </c:pt>
                <c:pt idx="6">
                  <c:v>2.4204284158296022E-3</c:v>
                </c:pt>
                <c:pt idx="7">
                  <c:v>2.4500796275878966E-3</c:v>
                </c:pt>
                <c:pt idx="8">
                  <c:v>2.4804663276696021E-3</c:v>
                </c:pt>
                <c:pt idx="9">
                  <c:v>2.511616225040814E-3</c:v>
                </c:pt>
                <c:pt idx="10">
                  <c:v>2.5435584382551188E-3</c:v>
                </c:pt>
                <c:pt idx="11">
                  <c:v>2.5763235862424324E-3</c:v>
                </c:pt>
                <c:pt idx="12">
                  <c:v>2.6099438862064468E-3</c:v>
                </c:pt>
                <c:pt idx="13">
                  <c:v>2.6444532592886424E-3</c:v>
                </c:pt>
                <c:pt idx="14">
                  <c:v>2.6798874447273215E-3</c:v>
                </c:pt>
                <c:pt idx="15">
                  <c:v>2.7162841233192994E-3</c:v>
                </c:pt>
                <c:pt idx="16">
                  <c:v>2.7536830510808208E-3</c:v>
                </c:pt>
                <c:pt idx="17">
                  <c:v>2.7921262041044259E-3</c:v>
                </c:pt>
                <c:pt idx="18">
                  <c:v>2.831657935721365E-3</c:v>
                </c:pt>
                <c:pt idx="19">
                  <c:v>2.8723251472066642E-3</c:v>
                </c:pt>
                <c:pt idx="20">
                  <c:v>2.9141774734081308E-3</c:v>
                </c:pt>
                <c:pt idx="21">
                  <c:v>2.9572674848440043E-3</c:v>
                </c:pt>
                <c:pt idx="22">
                  <c:v>3.0016509079993999E-3</c:v>
                </c:pt>
                <c:pt idx="23">
                  <c:v>3.0473868657626088E-3</c:v>
                </c:pt>
                <c:pt idx="24">
                  <c:v>3.0945381401825778E-3</c:v>
                </c:pt>
                <c:pt idx="25">
                  <c:v>3.1138097462245057E-3</c:v>
                </c:pt>
                <c:pt idx="26">
                  <c:v>3.1333228889237038E-3</c:v>
                </c:pt>
                <c:pt idx="27">
                  <c:v>3.1530821377896896E-3</c:v>
                </c:pt>
                <c:pt idx="28">
                  <c:v>3.1730921783277807E-3</c:v>
                </c:pt>
                <c:pt idx="29">
                  <c:v>3.1933578157432542E-3</c:v>
                </c:pt>
                <c:pt idx="30">
                  <c:v>3.2138839787883662E-3</c:v>
                </c:pt>
                <c:pt idx="31">
                  <c:v>3.2346757237586934E-3</c:v>
                </c:pt>
                <c:pt idx="32">
                  <c:v>3.255738238645613E-3</c:v>
                </c:pt>
              </c:numCache>
            </c:numRef>
          </c:xVal>
          <c:yVal>
            <c:numRef>
              <c:f>Sheet1!$F$3:$F$35</c:f>
              <c:numCache>
                <c:formatCode>General</c:formatCode>
                <c:ptCount val="33"/>
                <c:pt idx="0">
                  <c:v>2.7906909811702647</c:v>
                </c:pt>
                <c:pt idx="1">
                  <c:v>2.83151297569052</c:v>
                </c:pt>
                <c:pt idx="2">
                  <c:v>2.9358729910147625</c:v>
                </c:pt>
                <c:pt idx="3">
                  <c:v>3.0385271450748461</c:v>
                </c:pt>
                <c:pt idx="4">
                  <c:v>3.1316175681408578</c:v>
                </c:pt>
                <c:pt idx="5">
                  <c:v>3.2502233105487046</c:v>
                </c:pt>
                <c:pt idx="6">
                  <c:v>3.3621412267526902</c:v>
                </c:pt>
                <c:pt idx="7">
                  <c:v>3.4942009487657564</c:v>
                </c:pt>
                <c:pt idx="8">
                  <c:v>3.6016211973865935</c:v>
                </c:pt>
                <c:pt idx="9">
                  <c:v>3.7478037075646751</c:v>
                </c:pt>
                <c:pt idx="10">
                  <c:v>3.8788319699710789</c:v>
                </c:pt>
                <c:pt idx="11">
                  <c:v>4.0314777586189168</c:v>
                </c:pt>
                <c:pt idx="12">
                  <c:v>4.1612369853220157</c:v>
                </c:pt>
                <c:pt idx="13">
                  <c:v>4.3266617417224928</c:v>
                </c:pt>
                <c:pt idx="14">
                  <c:v>4.4509012189777879</c:v>
                </c:pt>
                <c:pt idx="15">
                  <c:v>4.5380775988553426</c:v>
                </c:pt>
                <c:pt idx="16">
                  <c:v>4.7543007073249788</c:v>
                </c:pt>
                <c:pt idx="17">
                  <c:v>4.8920265074848368</c:v>
                </c:pt>
                <c:pt idx="18">
                  <c:v>5.0342777334023543</c:v>
                </c:pt>
                <c:pt idx="19">
                  <c:v>5.1539006959807452</c:v>
                </c:pt>
                <c:pt idx="20">
                  <c:v>5.270375686977113</c:v>
                </c:pt>
                <c:pt idx="21">
                  <c:v>5.6202210798101842</c:v>
                </c:pt>
                <c:pt idx="22">
                  <c:v>5.4423177923538946</c:v>
                </c:pt>
                <c:pt idx="23">
                  <c:v>5.4987411822724743</c:v>
                </c:pt>
                <c:pt idx="24">
                  <c:v>5.5335451044671666</c:v>
                </c:pt>
                <c:pt idx="25">
                  <c:v>5.53956317679273</c:v>
                </c:pt>
                <c:pt idx="26">
                  <c:v>5.5375611741220565</c:v>
                </c:pt>
                <c:pt idx="27">
                  <c:v>5.53956317679273</c:v>
                </c:pt>
                <c:pt idx="28">
                  <c:v>5.5593658040889098</c:v>
                </c:pt>
                <c:pt idx="29">
                  <c:v>5.5415611794554032</c:v>
                </c:pt>
                <c:pt idx="30">
                  <c:v>5.5388962878050263</c:v>
                </c:pt>
                <c:pt idx="31">
                  <c:v>5.535527265671158</c:v>
                </c:pt>
                <c:pt idx="32">
                  <c:v>5.529472756762452</c:v>
                </c:pt>
              </c:numCache>
            </c:numRef>
          </c:yVal>
          <c:smooth val="1"/>
          <c:extLst>
            <c:ext xmlns:c16="http://schemas.microsoft.com/office/drawing/2014/chart" uri="{C3380CC4-5D6E-409C-BE32-E72D297353CC}">
              <c16:uniqueId val="{00000001-5BF6-4FD5-B578-9FEA7AEC0B68}"/>
            </c:ext>
          </c:extLst>
        </c:ser>
        <c:ser>
          <c:idx val="1"/>
          <c:order val="1"/>
          <c:tx>
            <c:v>Calculated</c:v>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Sheet1!$G$3:$G$35</c:f>
              <c:numCache>
                <c:formatCode>General</c:formatCode>
                <c:ptCount val="33"/>
                <c:pt idx="0">
                  <c:v>2.2565722667268421E-3</c:v>
                </c:pt>
                <c:pt idx="1">
                  <c:v>2.2823234052265209E-3</c:v>
                </c:pt>
                <c:pt idx="2">
                  <c:v>2.3086690522913541E-3</c:v>
                </c:pt>
                <c:pt idx="3">
                  <c:v>2.3356300362022656E-3</c:v>
                </c:pt>
                <c:pt idx="4">
                  <c:v>2.3632281696797826E-3</c:v>
                </c:pt>
                <c:pt idx="5">
                  <c:v>2.3914863087408826E-3</c:v>
                </c:pt>
                <c:pt idx="6">
                  <c:v>2.4204284158296022E-3</c:v>
                </c:pt>
                <c:pt idx="7">
                  <c:v>2.4500796275878966E-3</c:v>
                </c:pt>
                <c:pt idx="8">
                  <c:v>2.4804663276696021E-3</c:v>
                </c:pt>
                <c:pt idx="9">
                  <c:v>2.511616225040814E-3</c:v>
                </c:pt>
                <c:pt idx="10">
                  <c:v>2.5435584382551188E-3</c:v>
                </c:pt>
                <c:pt idx="11">
                  <c:v>2.5763235862424324E-3</c:v>
                </c:pt>
                <c:pt idx="12">
                  <c:v>2.6099438862064468E-3</c:v>
                </c:pt>
                <c:pt idx="13">
                  <c:v>2.6444532592886424E-3</c:v>
                </c:pt>
                <c:pt idx="14">
                  <c:v>2.6798874447273215E-3</c:v>
                </c:pt>
                <c:pt idx="15">
                  <c:v>2.7162841233192994E-3</c:v>
                </c:pt>
                <c:pt idx="16">
                  <c:v>2.7536830510808208E-3</c:v>
                </c:pt>
                <c:pt idx="17">
                  <c:v>2.7921262041044259E-3</c:v>
                </c:pt>
                <c:pt idx="18">
                  <c:v>2.831657935721365E-3</c:v>
                </c:pt>
                <c:pt idx="19">
                  <c:v>2.8723251472066642E-3</c:v>
                </c:pt>
                <c:pt idx="20">
                  <c:v>2.9141774734081308E-3</c:v>
                </c:pt>
                <c:pt idx="21">
                  <c:v>2.9572674848440043E-3</c:v>
                </c:pt>
                <c:pt idx="22">
                  <c:v>3.0016509079993999E-3</c:v>
                </c:pt>
                <c:pt idx="23">
                  <c:v>3.0473868657626088E-3</c:v>
                </c:pt>
                <c:pt idx="24">
                  <c:v>3.0945381401825778E-3</c:v>
                </c:pt>
                <c:pt idx="25">
                  <c:v>3.1138097462245057E-3</c:v>
                </c:pt>
                <c:pt idx="26">
                  <c:v>3.1333228889237038E-3</c:v>
                </c:pt>
                <c:pt idx="27">
                  <c:v>3.1530821377896896E-3</c:v>
                </c:pt>
                <c:pt idx="28">
                  <c:v>3.1730921783277807E-3</c:v>
                </c:pt>
                <c:pt idx="29">
                  <c:v>3.1933578157432542E-3</c:v>
                </c:pt>
                <c:pt idx="30">
                  <c:v>3.2138839787883662E-3</c:v>
                </c:pt>
                <c:pt idx="31">
                  <c:v>3.2346757237586934E-3</c:v>
                </c:pt>
                <c:pt idx="32">
                  <c:v>3.255738238645613E-3</c:v>
                </c:pt>
              </c:numCache>
            </c:numRef>
          </c:xVal>
          <c:yVal>
            <c:numRef>
              <c:f>Sheet1!$Q$3:$Q$35</c:f>
              <c:numCache>
                <c:formatCode>General</c:formatCode>
                <c:ptCount val="33"/>
                <c:pt idx="0">
                  <c:v>-0.97945945585811478</c:v>
                </c:pt>
                <c:pt idx="1">
                  <c:v>-0.87140415426970519</c:v>
                </c:pt>
                <c:pt idx="2">
                  <c:v>-0.7615152195602326</c:v>
                </c:pt>
                <c:pt idx="3">
                  <c:v>-0.64984220538980708</c:v>
                </c:pt>
                <c:pt idx="4">
                  <c:v>-0.53645719773596801</c:v>
                </c:pt>
                <c:pt idx="5">
                  <c:v>-0.42145972097989826</c:v>
                </c:pt>
                <c:pt idx="6">
                  <c:v>-0.30498252206473114</c:v>
                </c:pt>
                <c:pt idx="7">
                  <c:v>-0.18719831749036356</c:v>
                </c:pt>
                <c:pt idx="8">
                  <c:v>-6.8327554701793164E-2</c:v>
                </c:pt>
                <c:pt idx="9">
                  <c:v>5.1352821788517085E-2</c:v>
                </c:pt>
                <c:pt idx="10">
                  <c:v>0.1714997096682904</c:v>
                </c:pt>
                <c:pt idx="11">
                  <c:v>0.2916935555816616</c:v>
                </c:pt>
                <c:pt idx="12">
                  <c:v>0.41142790553960268</c:v>
                </c:pt>
                <c:pt idx="13">
                  <c:v>0.53009955501268113</c:v>
                </c:pt>
                <c:pt idx="14">
                  <c:v>0.64700038894167755</c:v>
                </c:pt>
                <c:pt idx="15">
                  <c:v>0.76131235322759039</c:v>
                </c:pt>
                <c:pt idx="16">
                  <c:v>0.87210729575648027</c:v>
                </c:pt>
                <c:pt idx="17">
                  <c:v>0.97835355292705284</c:v>
                </c:pt>
                <c:pt idx="18">
                  <c:v>1.0789310352254096</c:v>
                </c:pt>
                <c:pt idx="19">
                  <c:v>1.1726561736637233</c:v>
                </c:pt>
                <c:pt idx="20">
                  <c:v>1.258317676886562</c:v>
                </c:pt>
                <c:pt idx="21">
                  <c:v>1.3347243190860349</c:v>
                </c:pt>
                <c:pt idx="22">
                  <c:v>1.4007680722706872</c:v>
                </c:pt>
                <c:pt idx="23">
                  <c:v>1.4555104654755679</c:v>
                </c:pt>
                <c:pt idx="24">
                  <c:v>1.4983041992089616</c:v>
                </c:pt>
                <c:pt idx="25">
                  <c:v>1.5120131234459888</c:v>
                </c:pt>
                <c:pt idx="26">
                  <c:v>1.5237854444248857</c:v>
                </c:pt>
                <c:pt idx="27">
                  <c:v>1.5336522464306992</c:v>
                </c:pt>
                <c:pt idx="28">
                  <c:v>1.5416631835078334</c:v>
                </c:pt>
                <c:pt idx="29">
                  <c:v>1.547886597018644</c:v>
                </c:pt>
                <c:pt idx="30">
                  <c:v>1.5524086505458261</c:v>
                </c:pt>
                <c:pt idx="31">
                  <c:v>1.5553314084051548</c:v>
                </c:pt>
                <c:pt idx="32">
                  <c:v>1.5567699301106039</c:v>
                </c:pt>
              </c:numCache>
            </c:numRef>
          </c:yVal>
          <c:smooth val="1"/>
          <c:extLst>
            <c:ext xmlns:c16="http://schemas.microsoft.com/office/drawing/2014/chart" uri="{C3380CC4-5D6E-409C-BE32-E72D297353CC}">
              <c16:uniqueId val="{00000003-5BF6-4FD5-B578-9FEA7AEC0B68}"/>
            </c:ext>
          </c:extLst>
        </c:ser>
        <c:dLbls>
          <c:showLegendKey val="0"/>
          <c:showVal val="0"/>
          <c:showCatName val="0"/>
          <c:showSerName val="0"/>
          <c:showPercent val="0"/>
          <c:showBubbleSize val="0"/>
        </c:dLbls>
        <c:axId val="437579496"/>
        <c:axId val="437583432"/>
      </c:scatterChart>
      <c:valAx>
        <c:axId val="437579496"/>
        <c:scaling>
          <c:orientation val="minMax"/>
          <c:min val="2.0000000000000005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1/T</a:t>
                </a:r>
                <a:r>
                  <a:rPr lang="en-AU" baseline="0"/>
                  <a:t> (K)</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37583432"/>
        <c:crosses val="autoZero"/>
        <c:crossBetween val="midCat"/>
      </c:valAx>
      <c:valAx>
        <c:axId val="43758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ln(</a:t>
                </a:r>
                <a:r>
                  <a:rPr lang="el-GR"/>
                  <a:t>ρ</a:t>
                </a:r>
                <a:r>
                  <a:rPr lang="en-AU"/>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79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Changing</a:t>
            </a:r>
            <a:r>
              <a:rPr lang="en-AU" baseline="0"/>
              <a:t> resistivity due to temperature of semiconductor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Resistance</c:v>
                </c:pt>
              </c:strCache>
            </c:strRef>
          </c:tx>
          <c:spPr>
            <a:ln w="19050" cap="rnd">
              <a:solidFill>
                <a:schemeClr val="accent1"/>
              </a:solidFill>
              <a:round/>
            </a:ln>
            <a:effectLst/>
          </c:spPr>
          <c:marker>
            <c:symbol val="none"/>
          </c:marker>
          <c:xVal>
            <c:numRef>
              <c:f>Sheet1!$A$2:$A$19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Sheet1!$B$2:$B$21</c:f>
              <c:numCache>
                <c:formatCode>General</c:formatCode>
                <c:ptCount val="20"/>
                <c:pt idx="0">
                  <c:v>1</c:v>
                </c:pt>
                <c:pt idx="1">
                  <c:v>1</c:v>
                </c:pt>
                <c:pt idx="2">
                  <c:v>1</c:v>
                </c:pt>
                <c:pt idx="3">
                  <c:v>1</c:v>
                </c:pt>
                <c:pt idx="4">
                  <c:v>1</c:v>
                </c:pt>
                <c:pt idx="5">
                  <c:v>1</c:v>
                </c:pt>
                <c:pt idx="6">
                  <c:v>1</c:v>
                </c:pt>
                <c:pt idx="7">
                  <c:v>2</c:v>
                </c:pt>
                <c:pt idx="8">
                  <c:v>3</c:v>
                </c:pt>
                <c:pt idx="9">
                  <c:v>4</c:v>
                </c:pt>
                <c:pt idx="10">
                  <c:v>5</c:v>
                </c:pt>
                <c:pt idx="11">
                  <c:v>6</c:v>
                </c:pt>
                <c:pt idx="12">
                  <c:v>7</c:v>
                </c:pt>
                <c:pt idx="13">
                  <c:v>8</c:v>
                </c:pt>
                <c:pt idx="14">
                  <c:v>9</c:v>
                </c:pt>
                <c:pt idx="15">
                  <c:v>10</c:v>
                </c:pt>
                <c:pt idx="16">
                  <c:v>11</c:v>
                </c:pt>
                <c:pt idx="17">
                  <c:v>12</c:v>
                </c:pt>
              </c:numCache>
            </c:numRef>
          </c:yVal>
          <c:smooth val="1"/>
          <c:extLst>
            <c:ext xmlns:c16="http://schemas.microsoft.com/office/drawing/2014/chart" uri="{C3380CC4-5D6E-409C-BE32-E72D297353CC}">
              <c16:uniqueId val="{00000000-8271-4AC6-83D4-18746E45117D}"/>
            </c:ext>
          </c:extLst>
        </c:ser>
        <c:dLbls>
          <c:showLegendKey val="0"/>
          <c:showVal val="0"/>
          <c:showCatName val="0"/>
          <c:showSerName val="0"/>
          <c:showPercent val="0"/>
          <c:showBubbleSize val="0"/>
        </c:dLbls>
        <c:axId val="495672104"/>
        <c:axId val="495667512"/>
      </c:scatterChart>
      <c:valAx>
        <c:axId val="49567210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67512"/>
        <c:crosses val="autoZero"/>
        <c:crossBetween val="midCat"/>
      </c:valAx>
      <c:valAx>
        <c:axId val="495667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Conductivity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7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Mat18</b:Tag>
    <b:SourceType>InternetSite</b:SourceType>
    <b:Guid>{3EEB7076-1612-4B4F-87CC-0F4D04668226}</b:Guid>
    <b:Title>Energy band structure of germanium </b:Title>
    <b:Year>2018</b:Year>
    <b:Author>
      <b:Author>
        <b:NameList>
          <b:Person>
            <b:Last>Design</b:Last>
            <b:First>Material</b:First>
          </b:Person>
        </b:NameList>
      </b:Author>
    </b:Author>
    <b:ProductionCompany>materials design</b:ProductionCompany>
    <b:URL>http://www.materialsdesign.com/appnote/energy-band-structure-germanium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0B9AE-9562-423E-BB77-19937803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PHYS2170: Measurement of Bandgap in Germanium</vt:lpstr>
    </vt:vector>
  </TitlesOfParts>
  <Company>3175353</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Measurement of Bandgap in Germanium</dc:title>
  <dc:subject/>
  <dc:creator>Thomas Courtney</dc:creator>
  <cp:keywords/>
  <dc:description/>
  <cp:lastModifiedBy>Thomas Courtney</cp:lastModifiedBy>
  <cp:revision>379</cp:revision>
  <cp:lastPrinted>2018-05-10T11:52:00Z</cp:lastPrinted>
  <dcterms:created xsi:type="dcterms:W3CDTF">2018-03-26T00:28:00Z</dcterms:created>
  <dcterms:modified xsi:type="dcterms:W3CDTF">2018-05-10T11:57:00Z</dcterms:modified>
</cp:coreProperties>
</file>