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3D45F4" w:rsidRDefault="003D45F4">
                                      <w:pPr>
                                        <w:pStyle w:val="NoSpacing"/>
                                        <w:spacing w:before="120"/>
                                        <w:jc w:val="center"/>
                                        <w:rPr>
                                          <w:color w:val="FFFFFF" w:themeColor="background1"/>
                                        </w:rPr>
                                      </w:pPr>
                                      <w:r>
                                        <w:rPr>
                                          <w:color w:val="FFFFFF" w:themeColor="background1"/>
                                        </w:rPr>
                                        <w:t>Thomas Courtney</w:t>
                                      </w:r>
                                    </w:p>
                                  </w:sdtContent>
                                </w:sdt>
                                <w:p w14:paraId="69D25F8F" w14:textId="045D2725" w:rsidR="003D45F4" w:rsidRDefault="00C42C5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D45F4">
                                        <w:rPr>
                                          <w:caps/>
                                          <w:color w:val="FFFFFF" w:themeColor="background1"/>
                                        </w:rPr>
                                        <w:t>3175353</w:t>
                                      </w:r>
                                    </w:sdtContent>
                                  </w:sdt>
                                  <w:r w:rsidR="003D45F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D45F4">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3A97CC5" w:rsidR="003D45F4" w:rsidRDefault="003D45F4">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4021C1"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 of Bandgap in Germanium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3D45F4" w:rsidRDefault="003D45F4">
                                <w:pPr>
                                  <w:pStyle w:val="NoSpacing"/>
                                  <w:spacing w:before="120"/>
                                  <w:jc w:val="center"/>
                                  <w:rPr>
                                    <w:color w:val="FFFFFF" w:themeColor="background1"/>
                                  </w:rPr>
                                </w:pPr>
                                <w:r>
                                  <w:rPr>
                                    <w:color w:val="FFFFFF" w:themeColor="background1"/>
                                  </w:rPr>
                                  <w:t>Thomas Courtney</w:t>
                                </w:r>
                              </w:p>
                            </w:sdtContent>
                          </w:sdt>
                          <w:p w14:paraId="69D25F8F" w14:textId="045D2725" w:rsidR="003D45F4" w:rsidRDefault="00C42C5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D45F4">
                                  <w:rPr>
                                    <w:caps/>
                                    <w:color w:val="FFFFFF" w:themeColor="background1"/>
                                  </w:rPr>
                                  <w:t>3175353</w:t>
                                </w:r>
                              </w:sdtContent>
                            </w:sdt>
                            <w:r w:rsidR="003D45F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D45F4">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3A97CC5" w:rsidR="003D45F4" w:rsidRDefault="003D45F4">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4021C1"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 of Bandgap in Germanium</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41FA9E73" w14:textId="3797F601" w:rsidR="00664F8A"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2982045" w:history="1">
            <w:r w:rsidR="00664F8A" w:rsidRPr="00CC77CE">
              <w:rPr>
                <w:rStyle w:val="Hyperlink"/>
                <w:noProof/>
              </w:rPr>
              <w:t>Abstract</w:t>
            </w:r>
            <w:r w:rsidR="00664F8A">
              <w:rPr>
                <w:noProof/>
                <w:webHidden/>
              </w:rPr>
              <w:tab/>
            </w:r>
            <w:r w:rsidR="00664F8A">
              <w:rPr>
                <w:noProof/>
                <w:webHidden/>
              </w:rPr>
              <w:fldChar w:fldCharType="begin"/>
            </w:r>
            <w:r w:rsidR="00664F8A">
              <w:rPr>
                <w:noProof/>
                <w:webHidden/>
              </w:rPr>
              <w:instrText xml:space="preserve"> PAGEREF _Toc512982045 \h </w:instrText>
            </w:r>
            <w:r w:rsidR="00664F8A">
              <w:rPr>
                <w:noProof/>
                <w:webHidden/>
              </w:rPr>
            </w:r>
            <w:r w:rsidR="00664F8A">
              <w:rPr>
                <w:noProof/>
                <w:webHidden/>
              </w:rPr>
              <w:fldChar w:fldCharType="separate"/>
            </w:r>
            <w:r w:rsidR="00D96A59">
              <w:rPr>
                <w:noProof/>
                <w:webHidden/>
              </w:rPr>
              <w:t>2</w:t>
            </w:r>
            <w:r w:rsidR="00664F8A">
              <w:rPr>
                <w:noProof/>
                <w:webHidden/>
              </w:rPr>
              <w:fldChar w:fldCharType="end"/>
            </w:r>
          </w:hyperlink>
        </w:p>
        <w:p w14:paraId="469D82E2" w14:textId="3A40AAA7" w:rsidR="00664F8A" w:rsidRDefault="00C42C57">
          <w:pPr>
            <w:pStyle w:val="TOC1"/>
            <w:tabs>
              <w:tab w:val="right" w:leader="dot" w:pos="9016"/>
            </w:tabs>
            <w:rPr>
              <w:rFonts w:eastAsiaTheme="minorEastAsia"/>
              <w:noProof/>
              <w:lang w:val="en-US"/>
            </w:rPr>
          </w:pPr>
          <w:hyperlink w:anchor="_Toc512982046" w:history="1">
            <w:r w:rsidR="00664F8A" w:rsidRPr="00CC77CE">
              <w:rPr>
                <w:rStyle w:val="Hyperlink"/>
                <w:noProof/>
              </w:rPr>
              <w:t>Introduction</w:t>
            </w:r>
            <w:r w:rsidR="00664F8A">
              <w:rPr>
                <w:noProof/>
                <w:webHidden/>
              </w:rPr>
              <w:tab/>
            </w:r>
            <w:r w:rsidR="00664F8A">
              <w:rPr>
                <w:noProof/>
                <w:webHidden/>
              </w:rPr>
              <w:fldChar w:fldCharType="begin"/>
            </w:r>
            <w:r w:rsidR="00664F8A">
              <w:rPr>
                <w:noProof/>
                <w:webHidden/>
              </w:rPr>
              <w:instrText xml:space="preserve"> PAGEREF _Toc512982046 \h </w:instrText>
            </w:r>
            <w:r w:rsidR="00664F8A">
              <w:rPr>
                <w:noProof/>
                <w:webHidden/>
              </w:rPr>
            </w:r>
            <w:r w:rsidR="00664F8A">
              <w:rPr>
                <w:noProof/>
                <w:webHidden/>
              </w:rPr>
              <w:fldChar w:fldCharType="separate"/>
            </w:r>
            <w:r w:rsidR="00D96A59">
              <w:rPr>
                <w:noProof/>
                <w:webHidden/>
              </w:rPr>
              <w:t>2</w:t>
            </w:r>
            <w:r w:rsidR="00664F8A">
              <w:rPr>
                <w:noProof/>
                <w:webHidden/>
              </w:rPr>
              <w:fldChar w:fldCharType="end"/>
            </w:r>
          </w:hyperlink>
        </w:p>
        <w:p w14:paraId="23B30187" w14:textId="691393C2" w:rsidR="00664F8A" w:rsidRDefault="00C42C57">
          <w:pPr>
            <w:pStyle w:val="TOC1"/>
            <w:tabs>
              <w:tab w:val="right" w:leader="dot" w:pos="9016"/>
            </w:tabs>
            <w:rPr>
              <w:rFonts w:eastAsiaTheme="minorEastAsia"/>
              <w:noProof/>
              <w:lang w:val="en-US"/>
            </w:rPr>
          </w:pPr>
          <w:hyperlink w:anchor="_Toc512982047" w:history="1">
            <w:r w:rsidR="00664F8A" w:rsidRPr="00CC77CE">
              <w:rPr>
                <w:rStyle w:val="Hyperlink"/>
                <w:noProof/>
              </w:rPr>
              <w:t>Discussion</w:t>
            </w:r>
            <w:r w:rsidR="00664F8A">
              <w:rPr>
                <w:noProof/>
                <w:webHidden/>
              </w:rPr>
              <w:tab/>
            </w:r>
            <w:r w:rsidR="00664F8A">
              <w:rPr>
                <w:noProof/>
                <w:webHidden/>
              </w:rPr>
              <w:fldChar w:fldCharType="begin"/>
            </w:r>
            <w:r w:rsidR="00664F8A">
              <w:rPr>
                <w:noProof/>
                <w:webHidden/>
              </w:rPr>
              <w:instrText xml:space="preserve"> PAGEREF _Toc512982047 \h </w:instrText>
            </w:r>
            <w:r w:rsidR="00664F8A">
              <w:rPr>
                <w:noProof/>
                <w:webHidden/>
              </w:rPr>
            </w:r>
            <w:r w:rsidR="00664F8A">
              <w:rPr>
                <w:noProof/>
                <w:webHidden/>
              </w:rPr>
              <w:fldChar w:fldCharType="separate"/>
            </w:r>
            <w:r w:rsidR="00D96A59">
              <w:rPr>
                <w:noProof/>
                <w:webHidden/>
              </w:rPr>
              <w:t>4</w:t>
            </w:r>
            <w:r w:rsidR="00664F8A">
              <w:rPr>
                <w:noProof/>
                <w:webHidden/>
              </w:rPr>
              <w:fldChar w:fldCharType="end"/>
            </w:r>
          </w:hyperlink>
        </w:p>
        <w:p w14:paraId="254E6153" w14:textId="53C55626" w:rsidR="00664F8A" w:rsidRDefault="00C42C57">
          <w:pPr>
            <w:pStyle w:val="TOC2"/>
            <w:tabs>
              <w:tab w:val="right" w:leader="dot" w:pos="9016"/>
            </w:tabs>
            <w:rPr>
              <w:rFonts w:eastAsiaTheme="minorEastAsia"/>
              <w:noProof/>
              <w:lang w:val="en-US"/>
            </w:rPr>
          </w:pPr>
          <w:hyperlink w:anchor="_Toc512982048" w:history="1">
            <w:r w:rsidR="00664F8A" w:rsidRPr="00CC77CE">
              <w:rPr>
                <w:rStyle w:val="Hyperlink"/>
                <w:noProof/>
              </w:rPr>
              <w:t>Part One – Two Square Wells</w:t>
            </w:r>
            <w:r w:rsidR="00664F8A">
              <w:rPr>
                <w:noProof/>
                <w:webHidden/>
              </w:rPr>
              <w:tab/>
            </w:r>
            <w:r w:rsidR="00664F8A">
              <w:rPr>
                <w:noProof/>
                <w:webHidden/>
              </w:rPr>
              <w:fldChar w:fldCharType="begin"/>
            </w:r>
            <w:r w:rsidR="00664F8A">
              <w:rPr>
                <w:noProof/>
                <w:webHidden/>
              </w:rPr>
              <w:instrText xml:space="preserve"> PAGEREF _Toc512982048 \h </w:instrText>
            </w:r>
            <w:r w:rsidR="00664F8A">
              <w:rPr>
                <w:noProof/>
                <w:webHidden/>
              </w:rPr>
            </w:r>
            <w:r w:rsidR="00664F8A">
              <w:rPr>
                <w:noProof/>
                <w:webHidden/>
              </w:rPr>
              <w:fldChar w:fldCharType="separate"/>
            </w:r>
            <w:r w:rsidR="00D96A59">
              <w:rPr>
                <w:noProof/>
                <w:webHidden/>
              </w:rPr>
              <w:t>5</w:t>
            </w:r>
            <w:r w:rsidR="00664F8A">
              <w:rPr>
                <w:noProof/>
                <w:webHidden/>
              </w:rPr>
              <w:fldChar w:fldCharType="end"/>
            </w:r>
          </w:hyperlink>
        </w:p>
        <w:p w14:paraId="4AF8795B" w14:textId="52378D82" w:rsidR="00664F8A" w:rsidRDefault="00C42C57">
          <w:pPr>
            <w:pStyle w:val="TOC3"/>
            <w:tabs>
              <w:tab w:val="right" w:leader="dot" w:pos="9016"/>
            </w:tabs>
            <w:rPr>
              <w:rFonts w:eastAsiaTheme="minorEastAsia"/>
              <w:noProof/>
              <w:lang w:val="en-US"/>
            </w:rPr>
          </w:pPr>
          <w:hyperlink w:anchor="_Toc512982049" w:history="1">
            <w:r w:rsidR="00664F8A" w:rsidRPr="00CC77CE">
              <w:rPr>
                <w:rStyle w:val="Hyperlink"/>
                <w:noProof/>
              </w:rPr>
              <w:t>Energy Levels</w:t>
            </w:r>
            <w:r w:rsidR="00664F8A">
              <w:rPr>
                <w:noProof/>
                <w:webHidden/>
              </w:rPr>
              <w:tab/>
            </w:r>
            <w:r w:rsidR="00664F8A">
              <w:rPr>
                <w:noProof/>
                <w:webHidden/>
              </w:rPr>
              <w:fldChar w:fldCharType="begin"/>
            </w:r>
            <w:r w:rsidR="00664F8A">
              <w:rPr>
                <w:noProof/>
                <w:webHidden/>
              </w:rPr>
              <w:instrText xml:space="preserve"> PAGEREF _Toc512982049 \h </w:instrText>
            </w:r>
            <w:r w:rsidR="00664F8A">
              <w:rPr>
                <w:noProof/>
                <w:webHidden/>
              </w:rPr>
            </w:r>
            <w:r w:rsidR="00664F8A">
              <w:rPr>
                <w:noProof/>
                <w:webHidden/>
              </w:rPr>
              <w:fldChar w:fldCharType="separate"/>
            </w:r>
            <w:r w:rsidR="00D96A59">
              <w:rPr>
                <w:noProof/>
                <w:webHidden/>
              </w:rPr>
              <w:t>5</w:t>
            </w:r>
            <w:r w:rsidR="00664F8A">
              <w:rPr>
                <w:noProof/>
                <w:webHidden/>
              </w:rPr>
              <w:fldChar w:fldCharType="end"/>
            </w:r>
          </w:hyperlink>
        </w:p>
        <w:p w14:paraId="3954677C" w14:textId="087E98B1" w:rsidR="00664F8A" w:rsidRDefault="00C42C57">
          <w:pPr>
            <w:pStyle w:val="TOC3"/>
            <w:tabs>
              <w:tab w:val="right" w:leader="dot" w:pos="9016"/>
            </w:tabs>
            <w:rPr>
              <w:rFonts w:eastAsiaTheme="minorEastAsia"/>
              <w:noProof/>
              <w:lang w:val="en-US"/>
            </w:rPr>
          </w:pPr>
          <w:hyperlink w:anchor="_Toc512982050" w:history="1">
            <w:r w:rsidR="00664F8A" w:rsidRPr="00CC77CE">
              <w:rPr>
                <w:rStyle w:val="Hyperlink"/>
                <w:noProof/>
              </w:rPr>
              <w:t>Waveforms</w:t>
            </w:r>
            <w:r w:rsidR="00664F8A">
              <w:rPr>
                <w:noProof/>
                <w:webHidden/>
              </w:rPr>
              <w:tab/>
            </w:r>
            <w:r w:rsidR="00664F8A">
              <w:rPr>
                <w:noProof/>
                <w:webHidden/>
              </w:rPr>
              <w:fldChar w:fldCharType="begin"/>
            </w:r>
            <w:r w:rsidR="00664F8A">
              <w:rPr>
                <w:noProof/>
                <w:webHidden/>
              </w:rPr>
              <w:instrText xml:space="preserve"> PAGEREF _Toc512982050 \h </w:instrText>
            </w:r>
            <w:r w:rsidR="00664F8A">
              <w:rPr>
                <w:noProof/>
                <w:webHidden/>
              </w:rPr>
            </w:r>
            <w:r w:rsidR="00664F8A">
              <w:rPr>
                <w:noProof/>
                <w:webHidden/>
              </w:rPr>
              <w:fldChar w:fldCharType="separate"/>
            </w:r>
            <w:r w:rsidR="00D96A59">
              <w:rPr>
                <w:noProof/>
                <w:webHidden/>
              </w:rPr>
              <w:t>6</w:t>
            </w:r>
            <w:r w:rsidR="00664F8A">
              <w:rPr>
                <w:noProof/>
                <w:webHidden/>
              </w:rPr>
              <w:fldChar w:fldCharType="end"/>
            </w:r>
          </w:hyperlink>
        </w:p>
        <w:p w14:paraId="7612C833" w14:textId="56F61483" w:rsidR="00664F8A" w:rsidRDefault="00C42C57">
          <w:pPr>
            <w:pStyle w:val="TOC2"/>
            <w:tabs>
              <w:tab w:val="right" w:leader="dot" w:pos="9016"/>
            </w:tabs>
            <w:rPr>
              <w:rFonts w:eastAsiaTheme="minorEastAsia"/>
              <w:noProof/>
              <w:lang w:val="en-US"/>
            </w:rPr>
          </w:pPr>
          <w:hyperlink w:anchor="_Toc512982051" w:history="1">
            <w:r w:rsidR="00664F8A" w:rsidRPr="00CC77CE">
              <w:rPr>
                <w:rStyle w:val="Hyperlink"/>
                <w:noProof/>
              </w:rPr>
              <w:t>Part Two – Regular Lattice of Wells</w:t>
            </w:r>
            <w:r w:rsidR="00664F8A">
              <w:rPr>
                <w:noProof/>
                <w:webHidden/>
              </w:rPr>
              <w:tab/>
            </w:r>
            <w:r w:rsidR="00664F8A">
              <w:rPr>
                <w:noProof/>
                <w:webHidden/>
              </w:rPr>
              <w:fldChar w:fldCharType="begin"/>
            </w:r>
            <w:r w:rsidR="00664F8A">
              <w:rPr>
                <w:noProof/>
                <w:webHidden/>
              </w:rPr>
              <w:instrText xml:space="preserve"> PAGEREF _Toc512982051 \h </w:instrText>
            </w:r>
            <w:r w:rsidR="00664F8A">
              <w:rPr>
                <w:noProof/>
                <w:webHidden/>
              </w:rPr>
            </w:r>
            <w:r w:rsidR="00664F8A">
              <w:rPr>
                <w:noProof/>
                <w:webHidden/>
              </w:rPr>
              <w:fldChar w:fldCharType="separate"/>
            </w:r>
            <w:r w:rsidR="00D96A59">
              <w:rPr>
                <w:noProof/>
                <w:webHidden/>
              </w:rPr>
              <w:t>7</w:t>
            </w:r>
            <w:r w:rsidR="00664F8A">
              <w:rPr>
                <w:noProof/>
                <w:webHidden/>
              </w:rPr>
              <w:fldChar w:fldCharType="end"/>
            </w:r>
          </w:hyperlink>
        </w:p>
        <w:p w14:paraId="499749A8" w14:textId="2A3698D7" w:rsidR="00664F8A" w:rsidRDefault="00C42C57">
          <w:pPr>
            <w:pStyle w:val="TOC2"/>
            <w:tabs>
              <w:tab w:val="right" w:leader="dot" w:pos="9016"/>
            </w:tabs>
            <w:rPr>
              <w:rFonts w:eastAsiaTheme="minorEastAsia"/>
              <w:noProof/>
              <w:lang w:val="en-US"/>
            </w:rPr>
          </w:pPr>
          <w:hyperlink w:anchor="_Toc512982052" w:history="1">
            <w:r w:rsidR="00664F8A" w:rsidRPr="00CC77CE">
              <w:rPr>
                <w:rStyle w:val="Hyperlink"/>
                <w:noProof/>
              </w:rPr>
              <w:t>Part Three – Irregular Lattice of Wells</w:t>
            </w:r>
            <w:r w:rsidR="00664F8A">
              <w:rPr>
                <w:noProof/>
                <w:webHidden/>
              </w:rPr>
              <w:tab/>
            </w:r>
            <w:r w:rsidR="00664F8A">
              <w:rPr>
                <w:noProof/>
                <w:webHidden/>
              </w:rPr>
              <w:fldChar w:fldCharType="begin"/>
            </w:r>
            <w:r w:rsidR="00664F8A">
              <w:rPr>
                <w:noProof/>
                <w:webHidden/>
              </w:rPr>
              <w:instrText xml:space="preserve"> PAGEREF _Toc512982052 \h </w:instrText>
            </w:r>
            <w:r w:rsidR="00664F8A">
              <w:rPr>
                <w:noProof/>
                <w:webHidden/>
              </w:rPr>
            </w:r>
            <w:r w:rsidR="00664F8A">
              <w:rPr>
                <w:noProof/>
                <w:webHidden/>
              </w:rPr>
              <w:fldChar w:fldCharType="separate"/>
            </w:r>
            <w:r w:rsidR="00D96A59">
              <w:rPr>
                <w:noProof/>
                <w:webHidden/>
              </w:rPr>
              <w:t>8</w:t>
            </w:r>
            <w:r w:rsidR="00664F8A">
              <w:rPr>
                <w:noProof/>
                <w:webHidden/>
              </w:rPr>
              <w:fldChar w:fldCharType="end"/>
            </w:r>
          </w:hyperlink>
        </w:p>
        <w:p w14:paraId="4BF1990F" w14:textId="01B38E10" w:rsidR="00664F8A" w:rsidRDefault="00C42C57">
          <w:pPr>
            <w:pStyle w:val="TOC1"/>
            <w:tabs>
              <w:tab w:val="right" w:leader="dot" w:pos="9016"/>
            </w:tabs>
            <w:rPr>
              <w:rFonts w:eastAsiaTheme="minorEastAsia"/>
              <w:noProof/>
              <w:lang w:val="en-US"/>
            </w:rPr>
          </w:pPr>
          <w:hyperlink w:anchor="_Toc512982053" w:history="1">
            <w:r w:rsidR="00664F8A" w:rsidRPr="00CC77CE">
              <w:rPr>
                <w:rStyle w:val="Hyperlink"/>
                <w:noProof/>
              </w:rPr>
              <w:t>Conclusion</w:t>
            </w:r>
            <w:r w:rsidR="00664F8A">
              <w:rPr>
                <w:noProof/>
                <w:webHidden/>
              </w:rPr>
              <w:tab/>
            </w:r>
            <w:r w:rsidR="00664F8A">
              <w:rPr>
                <w:noProof/>
                <w:webHidden/>
              </w:rPr>
              <w:fldChar w:fldCharType="begin"/>
            </w:r>
            <w:r w:rsidR="00664F8A">
              <w:rPr>
                <w:noProof/>
                <w:webHidden/>
              </w:rPr>
              <w:instrText xml:space="preserve"> PAGEREF _Toc512982053 \h </w:instrText>
            </w:r>
            <w:r w:rsidR="00664F8A">
              <w:rPr>
                <w:noProof/>
                <w:webHidden/>
              </w:rPr>
            </w:r>
            <w:r w:rsidR="00664F8A">
              <w:rPr>
                <w:noProof/>
                <w:webHidden/>
              </w:rPr>
              <w:fldChar w:fldCharType="separate"/>
            </w:r>
            <w:r w:rsidR="00D96A59">
              <w:rPr>
                <w:noProof/>
                <w:webHidden/>
              </w:rPr>
              <w:t>10</w:t>
            </w:r>
            <w:r w:rsidR="00664F8A">
              <w:rPr>
                <w:noProof/>
                <w:webHidden/>
              </w:rPr>
              <w:fldChar w:fldCharType="end"/>
            </w:r>
          </w:hyperlink>
        </w:p>
        <w:p w14:paraId="0E89A4ED" w14:textId="039F0CA2" w:rsidR="00664F8A" w:rsidRDefault="00C42C57">
          <w:pPr>
            <w:pStyle w:val="TOC1"/>
            <w:tabs>
              <w:tab w:val="right" w:leader="dot" w:pos="9016"/>
            </w:tabs>
            <w:rPr>
              <w:rFonts w:eastAsiaTheme="minorEastAsia"/>
              <w:noProof/>
              <w:lang w:val="en-US"/>
            </w:rPr>
          </w:pPr>
          <w:hyperlink w:anchor="_Toc512982054" w:history="1">
            <w:r w:rsidR="00664F8A" w:rsidRPr="00CC77CE">
              <w:rPr>
                <w:rStyle w:val="Hyperlink"/>
                <w:noProof/>
              </w:rPr>
              <w:t>Bibliography</w:t>
            </w:r>
            <w:r w:rsidR="00664F8A">
              <w:rPr>
                <w:noProof/>
                <w:webHidden/>
              </w:rPr>
              <w:tab/>
            </w:r>
            <w:r w:rsidR="00664F8A">
              <w:rPr>
                <w:noProof/>
                <w:webHidden/>
              </w:rPr>
              <w:fldChar w:fldCharType="begin"/>
            </w:r>
            <w:r w:rsidR="00664F8A">
              <w:rPr>
                <w:noProof/>
                <w:webHidden/>
              </w:rPr>
              <w:instrText xml:space="preserve"> PAGEREF _Toc512982054 \h </w:instrText>
            </w:r>
            <w:r w:rsidR="00664F8A">
              <w:rPr>
                <w:noProof/>
                <w:webHidden/>
              </w:rPr>
            </w:r>
            <w:r w:rsidR="00664F8A">
              <w:rPr>
                <w:noProof/>
                <w:webHidden/>
              </w:rPr>
              <w:fldChar w:fldCharType="separate"/>
            </w:r>
            <w:r w:rsidR="00D96A59">
              <w:rPr>
                <w:noProof/>
                <w:webHidden/>
              </w:rPr>
              <w:t>10</w:t>
            </w:r>
            <w:r w:rsidR="00664F8A">
              <w:rPr>
                <w:noProof/>
                <w:webHidden/>
              </w:rPr>
              <w:fldChar w:fldCharType="end"/>
            </w:r>
          </w:hyperlink>
        </w:p>
        <w:p w14:paraId="1F51BDE2" w14:textId="3123B59A" w:rsidR="00451A57" w:rsidRDefault="00451A57">
          <w:r>
            <w:rPr>
              <w:b/>
              <w:bCs/>
              <w:noProof/>
            </w:rPr>
            <w:fldChar w:fldCharType="end"/>
          </w:r>
        </w:p>
      </w:sdtContent>
    </w:sdt>
    <w:p w14:paraId="2EE179DF" w14:textId="69C692B9" w:rsidR="006F6F01" w:rsidRDefault="006F6F01" w:rsidP="006F6F01">
      <w:pPr>
        <w:pStyle w:val="Title"/>
      </w:pPr>
    </w:p>
    <w:p w14:paraId="01F7A897" w14:textId="150B531E" w:rsidR="00451A57" w:rsidRDefault="00451A57" w:rsidP="00451A57"/>
    <w:p w14:paraId="6E806A75" w14:textId="4F810310" w:rsidR="00451A57" w:rsidRDefault="00451A57" w:rsidP="00451A57"/>
    <w:p w14:paraId="235F60B2" w14:textId="1D0D4503" w:rsidR="00451A57" w:rsidRDefault="00451A57" w:rsidP="00451A57"/>
    <w:p w14:paraId="211D4E59" w14:textId="7C536007" w:rsidR="00451A57" w:rsidRDefault="00451A57" w:rsidP="00451A57"/>
    <w:p w14:paraId="2597F97C" w14:textId="524AD726" w:rsidR="00451A57" w:rsidRDefault="00451A57" w:rsidP="00451A57"/>
    <w:p w14:paraId="1C2CA320" w14:textId="777ABFB0" w:rsidR="00451A57" w:rsidRDefault="00451A57" w:rsidP="00451A57"/>
    <w:p w14:paraId="3B18C490" w14:textId="4039AB71" w:rsidR="00451A57" w:rsidRDefault="00451A57" w:rsidP="00451A57"/>
    <w:p w14:paraId="7F72F3CD" w14:textId="77FFF2EF" w:rsidR="00451A57" w:rsidRDefault="00451A57" w:rsidP="00451A57"/>
    <w:p w14:paraId="3117B795" w14:textId="75EA933C" w:rsidR="00451A57" w:rsidRDefault="00451A57" w:rsidP="00451A57"/>
    <w:p w14:paraId="431F6945" w14:textId="27165B4D" w:rsidR="00451A57" w:rsidRDefault="00451A57" w:rsidP="00451A57"/>
    <w:p w14:paraId="1FB96DA5" w14:textId="27B01029" w:rsidR="00451A57" w:rsidRDefault="00451A57" w:rsidP="00451A57"/>
    <w:p w14:paraId="2868B7BB" w14:textId="545D5BAC" w:rsidR="00451A57" w:rsidRDefault="00451A57" w:rsidP="00451A57"/>
    <w:p w14:paraId="1C92AE0D" w14:textId="422BF706" w:rsidR="00451A57" w:rsidRDefault="00451A57" w:rsidP="00451A57"/>
    <w:p w14:paraId="2BB073E7" w14:textId="2B5B2CC7" w:rsidR="00451A57" w:rsidRDefault="00451A57" w:rsidP="00451A57"/>
    <w:p w14:paraId="63D1892F" w14:textId="7888C76F" w:rsidR="00451A57" w:rsidRDefault="00451A57" w:rsidP="00451A57"/>
    <w:p w14:paraId="3257D4BA" w14:textId="6E88B085" w:rsidR="00451A57" w:rsidRDefault="00451A57" w:rsidP="00451A57"/>
    <w:p w14:paraId="0CE8CD10" w14:textId="5A0FA445" w:rsidR="00451A57" w:rsidRDefault="00451A57" w:rsidP="00451A57"/>
    <w:p w14:paraId="46038A2F" w14:textId="794D5096" w:rsidR="001038A3" w:rsidRDefault="001038A3" w:rsidP="00451A57">
      <w:pPr>
        <w:pStyle w:val="Heading1"/>
      </w:pPr>
      <w:bookmarkStart w:id="0" w:name="_Toc512982045"/>
      <w:r>
        <w:lastRenderedPageBreak/>
        <w:t>Abstract</w:t>
      </w:r>
      <w:bookmarkEnd w:id="0"/>
    </w:p>
    <w:p w14:paraId="2F2DD85C" w14:textId="3396ED25" w:rsidR="002034F0" w:rsidRPr="00D45EB7" w:rsidRDefault="00C24C46" w:rsidP="001038A3">
      <w:r>
        <w:t xml:space="preserve">This report details the </w:t>
      </w:r>
      <w:r w:rsidR="00D80708">
        <w:t xml:space="preserve">effects </w:t>
      </w:r>
      <w:r w:rsidR="00E86DE5">
        <w:t xml:space="preserve">of temperature on the conductivity of a germanium crystal. The conductivity is calculated </w:t>
      </w:r>
      <w:r w:rsidR="00A072B5">
        <w:t xml:space="preserve">by </w:t>
      </w:r>
      <w:r w:rsidR="00D45EB7">
        <w:t>using data obtained via the four</w:t>
      </w:r>
      <w:r w:rsidR="00E47C25">
        <w:t>-</w:t>
      </w:r>
      <w:bookmarkStart w:id="1" w:name="_GoBack"/>
      <w:bookmarkEnd w:id="1"/>
      <w:r w:rsidR="00D45EB7">
        <w:t>probe method</w:t>
      </w:r>
      <w:r w:rsidR="00A072B5">
        <w:t>.</w:t>
      </w:r>
      <w:r w:rsidR="002034F0">
        <w:t xml:space="preserve"> It was found that an increase in temperature increased the conductivity of the material. This is as the thermal agitation of </w:t>
      </w:r>
      <w:r w:rsidR="00C67615">
        <w:t xml:space="preserve">the </w:t>
      </w:r>
      <w:r w:rsidR="002034F0">
        <w:t>electrons in the valence band forced them across the band gap of the material and into the conduction band</w:t>
      </w:r>
      <w:r w:rsidR="00D45EB7">
        <w:t xml:space="preserve">, thus engaging the </w:t>
      </w:r>
      <w:r w:rsidR="00D45EB7">
        <w:rPr>
          <w:i/>
        </w:rPr>
        <w:t xml:space="preserve">intrinsic </w:t>
      </w:r>
      <w:r w:rsidR="00D45EB7">
        <w:t>conductivity of the germanium.</w:t>
      </w:r>
    </w:p>
    <w:p w14:paraId="72BA57DD" w14:textId="77777777" w:rsidR="005E3E9C" w:rsidRDefault="005E3E9C" w:rsidP="00451A57">
      <w:pPr>
        <w:pStyle w:val="Heading1"/>
      </w:pPr>
    </w:p>
    <w:p w14:paraId="227E888F" w14:textId="1B5DB172" w:rsidR="00451A57" w:rsidRDefault="00451A57" w:rsidP="00451A57">
      <w:pPr>
        <w:pStyle w:val="Heading1"/>
      </w:pPr>
      <w:bookmarkStart w:id="2" w:name="_Toc512982046"/>
      <w:r>
        <w:t>Introduction</w:t>
      </w:r>
      <w:bookmarkEnd w:id="2"/>
    </w:p>
    <w:p w14:paraId="746D1B48" w14:textId="776D5AA4" w:rsidR="00907E75" w:rsidRPr="00907E75" w:rsidRDefault="00907E75" w:rsidP="00907E75">
      <w:pPr>
        <w:pStyle w:val="Heading3"/>
      </w:pPr>
      <w:r>
        <w:t>Kronig-Penney Model</w:t>
      </w:r>
    </w:p>
    <w:p w14:paraId="16BC6406" w14:textId="5FA1BD95" w:rsidR="00D8698E" w:rsidRDefault="00CB194E" w:rsidP="00451A57">
      <w:r>
        <w:t xml:space="preserve">Semiconductors exhibit unique conductive properties. </w:t>
      </w:r>
      <w:r w:rsidR="00FB7B8C">
        <w:t>Semiconductors</w:t>
      </w:r>
      <w:r>
        <w:t xml:space="preserve"> have been utilised, most notably, to create computers</w:t>
      </w:r>
      <w:r w:rsidR="0035667E">
        <w:t>.</w:t>
      </w:r>
      <w:r w:rsidR="00FB7B8C">
        <w:t xml:space="preserve"> </w:t>
      </w:r>
      <w:r w:rsidR="0035667E">
        <w:t xml:space="preserve">This </w:t>
      </w:r>
      <w:r w:rsidR="00FB7B8C">
        <w:t xml:space="preserve">was </w:t>
      </w:r>
      <w:r w:rsidR="0035667E">
        <w:t xml:space="preserve">only </w:t>
      </w:r>
      <w:r w:rsidR="00FB7B8C">
        <w:t xml:space="preserve">possible </w:t>
      </w:r>
      <w:r w:rsidR="0035667E">
        <w:t>because of an understanding of their physical behaviours</w:t>
      </w:r>
      <w:r>
        <w:t xml:space="preserve">. These </w:t>
      </w:r>
      <w:r w:rsidR="00FB7B8C">
        <w:t>behaviours</w:t>
      </w:r>
      <w:r>
        <w:t xml:space="preserve"> may be modelled using quantum mechanical systems. The Kronig-Penney Model approximates the potential energy of an electron in a material using a series of equally spaced quantum wells (see </w:t>
      </w:r>
      <w:r w:rsidR="0085421B">
        <w:t>F</w:t>
      </w:r>
      <w:r>
        <w:t>igure 1)</w:t>
      </w:r>
      <w:r w:rsidR="0079364D">
        <w:t>. This is known as a periodic lattice</w:t>
      </w:r>
      <w:r>
        <w:t>.</w:t>
      </w:r>
    </w:p>
    <w:p w14:paraId="5556E02F" w14:textId="77777777" w:rsidR="00D8698E" w:rsidRDefault="00D8698E" w:rsidP="00D8698E">
      <w:pPr>
        <w:keepNext/>
        <w:jc w:val="center"/>
      </w:pPr>
      <w:r>
        <w:rPr>
          <w:noProof/>
        </w:rPr>
        <w:drawing>
          <wp:inline distT="0" distB="0" distL="0" distR="0" wp14:anchorId="3DFF37DF" wp14:editId="215AD339">
            <wp:extent cx="3119058" cy="926922"/>
            <wp:effectExtent l="19050" t="19050" r="2476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3118" cy="945959"/>
                    </a:xfrm>
                    <a:prstGeom prst="rect">
                      <a:avLst/>
                    </a:prstGeom>
                    <a:ln>
                      <a:solidFill>
                        <a:schemeClr val="tx1"/>
                      </a:solidFill>
                    </a:ln>
                  </pic:spPr>
                </pic:pic>
              </a:graphicData>
            </a:graphic>
          </wp:inline>
        </w:drawing>
      </w:r>
    </w:p>
    <w:p w14:paraId="4C4035A8" w14:textId="01DE4F1F" w:rsidR="00CB194E" w:rsidRDefault="00D8698E" w:rsidP="00D8698E">
      <w:pPr>
        <w:pStyle w:val="Caption"/>
        <w:jc w:val="center"/>
      </w:pPr>
      <w:r>
        <w:t xml:space="preserve">Figure </w:t>
      </w:r>
      <w:r w:rsidR="00C42C57">
        <w:fldChar w:fldCharType="begin"/>
      </w:r>
      <w:r w:rsidR="00C42C57">
        <w:instrText xml:space="preserve"> SEQ Figure \* ARABIC </w:instrText>
      </w:r>
      <w:r w:rsidR="00C42C57">
        <w:fldChar w:fldCharType="separate"/>
      </w:r>
      <w:r w:rsidR="00D96A59">
        <w:rPr>
          <w:noProof/>
        </w:rPr>
        <w:t>1</w:t>
      </w:r>
      <w:r w:rsidR="00C42C57">
        <w:rPr>
          <w:noProof/>
        </w:rPr>
        <w:fldChar w:fldCharType="end"/>
      </w:r>
      <w:r w:rsidR="00FF36CF">
        <w:t>:</w:t>
      </w:r>
      <w:r>
        <w:t xml:space="preserve"> Kronig-Penney Model of an </w:t>
      </w:r>
      <w:r w:rsidR="005834E2">
        <w:t>e</w:t>
      </w:r>
      <w:r>
        <w:t xml:space="preserve">lectron in a </w:t>
      </w:r>
      <w:r w:rsidR="005834E2">
        <w:t>p</w:t>
      </w:r>
      <w:r>
        <w:t xml:space="preserve">eriodic </w:t>
      </w:r>
      <w:r w:rsidR="005834E2">
        <w:t>l</w:t>
      </w:r>
      <w:r>
        <w:t>attice (source:</w:t>
      </w:r>
      <w:r w:rsidR="00EB0F60">
        <w:t xml:space="preserve"> Graz University of Technology</w:t>
      </w:r>
      <w:r>
        <w:t>)</w:t>
      </w:r>
    </w:p>
    <w:p w14:paraId="64C93090" w14:textId="6E2D6D53" w:rsidR="0021553A" w:rsidRDefault="0021553A" w:rsidP="00451A57">
      <w:r>
        <w:t>This enables the use of Schrödinger’s Equation to model the interaction of electrons in structure of greater complexity such as molecules and solids</w:t>
      </w:r>
      <w:r w:rsidR="00FB7B8C">
        <w:t>.</w:t>
      </w:r>
      <w:r w:rsidR="008444B1">
        <w:t xml:space="preserve"> </w:t>
      </w:r>
      <w:r w:rsidR="00B5417E">
        <w:t xml:space="preserve">The model, by giving the allowed energies of the electrons, gives a crude approximation of the </w:t>
      </w:r>
      <w:r w:rsidR="00900422">
        <w:t xml:space="preserve">electrical </w:t>
      </w:r>
      <w:r w:rsidR="00B5417E">
        <w:t xml:space="preserve">behaviour of </w:t>
      </w:r>
      <w:r w:rsidR="00DC70C5">
        <w:t xml:space="preserve">a </w:t>
      </w:r>
      <w:r w:rsidR="00B5417E">
        <w:t xml:space="preserve">material. </w:t>
      </w:r>
      <w:r w:rsidR="00DC70C5">
        <w:t>The magnitude of the energies and their spacing tells us how conductive or nonconductive a material would be (see Figure 2).</w:t>
      </w:r>
    </w:p>
    <w:p w14:paraId="3D75AAC8" w14:textId="66258356" w:rsidR="00DC70C5" w:rsidRDefault="00DC70C5" w:rsidP="00451A57"/>
    <w:p w14:paraId="5650A47E" w14:textId="77777777" w:rsidR="00DC70C5" w:rsidRDefault="00DC70C5" w:rsidP="00DC70C5">
      <w:pPr>
        <w:keepNext/>
        <w:jc w:val="center"/>
      </w:pPr>
      <w:r>
        <w:rPr>
          <w:noProof/>
        </w:rPr>
        <w:drawing>
          <wp:inline distT="0" distB="0" distL="0" distR="0" wp14:anchorId="7DEA7D72" wp14:editId="66BD84D0">
            <wp:extent cx="2939544" cy="1545911"/>
            <wp:effectExtent l="19050" t="19050" r="13335" b="16510"/>
            <wp:docPr id="8" name="Picture 8" descr="http://hyperphysics.phy-astr.gsu.edu/hbase/Solids/imgsol/ban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yperphysics.phy-astr.gsu.edu/hbase/Solids/imgsol/band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326" cy="1556314"/>
                    </a:xfrm>
                    <a:prstGeom prst="rect">
                      <a:avLst/>
                    </a:prstGeom>
                    <a:noFill/>
                    <a:ln>
                      <a:solidFill>
                        <a:schemeClr val="tx1"/>
                      </a:solidFill>
                    </a:ln>
                  </pic:spPr>
                </pic:pic>
              </a:graphicData>
            </a:graphic>
          </wp:inline>
        </w:drawing>
      </w:r>
    </w:p>
    <w:p w14:paraId="482C5B6D" w14:textId="6E8C90ED" w:rsidR="00DC70C5" w:rsidRDefault="00DC70C5" w:rsidP="00DC70C5">
      <w:pPr>
        <w:pStyle w:val="Caption"/>
        <w:jc w:val="center"/>
        <w:rPr>
          <w:noProof/>
        </w:rPr>
      </w:pPr>
      <w:r>
        <w:t xml:space="preserve">Figure </w:t>
      </w:r>
      <w:r w:rsidR="00C42C57">
        <w:fldChar w:fldCharType="begin"/>
      </w:r>
      <w:r w:rsidR="00C42C57">
        <w:instrText xml:space="preserve"> SEQ Figure \* ARABIC </w:instrText>
      </w:r>
      <w:r w:rsidR="00C42C57">
        <w:fldChar w:fldCharType="separate"/>
      </w:r>
      <w:r w:rsidR="00D96A59">
        <w:rPr>
          <w:noProof/>
        </w:rPr>
        <w:t>2</w:t>
      </w:r>
      <w:r w:rsidR="00C42C57">
        <w:rPr>
          <w:noProof/>
        </w:rPr>
        <w:fldChar w:fldCharType="end"/>
      </w:r>
      <w:r>
        <w:t xml:space="preserve">: Energy </w:t>
      </w:r>
      <w:r w:rsidR="003F3BC2">
        <w:t>b</w:t>
      </w:r>
      <w:r>
        <w:t xml:space="preserve">ands of a </w:t>
      </w:r>
      <w:r w:rsidR="00EF53DF">
        <w:t>m</w:t>
      </w:r>
      <w:r>
        <w:t>aterial</w:t>
      </w:r>
      <w:r>
        <w:rPr>
          <w:noProof/>
        </w:rPr>
        <w:t xml:space="preserve"> (Source: HyperPhysics)</w:t>
      </w:r>
    </w:p>
    <w:p w14:paraId="5B4B6BC1" w14:textId="4A04E380" w:rsidR="008A419C" w:rsidRDefault="00E1381A" w:rsidP="00DC70C5">
      <w:r>
        <w:t>The smaller the “band gap” between the valence and conduction band and the larger the conduction band the greater the conductivity of the material.</w:t>
      </w:r>
      <w:r w:rsidR="00514392">
        <w:t xml:space="preserve"> The properties may be manipulated through “doping” which in the </w:t>
      </w:r>
      <w:r w:rsidR="00782458">
        <w:t>Kronig</w:t>
      </w:r>
      <w:r w:rsidR="00514392">
        <w:t>-Penny model is simulated by creating irregularities in the array of wells such that the wells are no longer periodic or square.</w:t>
      </w:r>
      <w:r>
        <w:t xml:space="preserve"> </w:t>
      </w:r>
      <w:r w:rsidR="00BF2144">
        <w:t>Furthermore,</w:t>
      </w:r>
      <w:r w:rsidR="008A419C">
        <w:t xml:space="preserve"> by manipulating the number of wells</w:t>
      </w:r>
      <w:r w:rsidR="006F42AC">
        <w:t xml:space="preserve">, </w:t>
      </w:r>
      <w:r w:rsidR="008A419C">
        <w:t>the</w:t>
      </w:r>
      <w:r w:rsidR="006F42AC">
        <w:t xml:space="preserve">ir </w:t>
      </w:r>
      <w:r w:rsidR="008A419C">
        <w:t xml:space="preserve">separation </w:t>
      </w:r>
      <w:r w:rsidR="006F42AC">
        <w:t xml:space="preserve">and dimensions </w:t>
      </w:r>
      <w:r w:rsidR="008A419C">
        <w:t xml:space="preserve">you may simulated different </w:t>
      </w:r>
      <w:r w:rsidR="00EC2117">
        <w:t>scenarios</w:t>
      </w:r>
      <w:r w:rsidR="008A419C">
        <w:t>.</w:t>
      </w:r>
    </w:p>
    <w:p w14:paraId="00545996" w14:textId="383BD1AA" w:rsidR="00A63C7A" w:rsidRDefault="004A3085" w:rsidP="00CE2ADE">
      <w:r>
        <w:lastRenderedPageBreak/>
        <w:t xml:space="preserve">The solutions for Schrödinger’s Equation for a periodic structure are called “Bloch Functions” </w:t>
      </w:r>
      <w:r w:rsidR="00A63C7A">
        <w:t xml:space="preserve">(see Equation 1) </w:t>
      </w:r>
      <w:r>
        <w:t xml:space="preserve">that </w:t>
      </w:r>
      <w:r w:rsidR="00B4400A">
        <w:t>describe the wavefunctions of particles in a periodically repeating environment</w:t>
      </w:r>
      <w:r w:rsidR="00B27785">
        <w:t>.</w:t>
      </w:r>
    </w:p>
    <w:p w14:paraId="7073BEFA" w14:textId="77777777" w:rsidR="00E51A4A" w:rsidRDefault="00E51A4A" w:rsidP="00CE2ADE"/>
    <w:p w14:paraId="3791ACED" w14:textId="11E7F240" w:rsidR="00CE2ADE" w:rsidRPr="00B47180" w:rsidRDefault="00A63C7A" w:rsidP="00CE2ADE">
      <w:pPr>
        <w:rPr>
          <w:rFonts w:eastAsiaTheme="minorEastAsia"/>
        </w:rPr>
      </w:pPr>
      <m:oMathPara>
        <m:oMath>
          <m:r>
            <m:rPr>
              <m:sty m:val="p"/>
            </m:rP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ikx</m:t>
              </m:r>
            </m:sup>
          </m:sSup>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0A453507" w14:textId="2FF7EC7A" w:rsidR="00B47180" w:rsidRPr="00A63C7A" w:rsidRDefault="00B47180" w:rsidP="00CE2ADE"/>
    <w:p w14:paraId="2890F905" w14:textId="2ECC20D0" w:rsidR="00CE2ADE" w:rsidRDefault="00872BBB" w:rsidP="00CE2ADE">
      <w:r>
        <w:t xml:space="preserve">The Kronig-Penney model determines the allowable energies using transcendental equation (see Equation 3) </w:t>
      </w:r>
      <w:r w:rsidR="00B47180">
        <w:t xml:space="preserve">which may have a value of only </w:t>
      </w:r>
      <w:r w:rsidR="00B47180">
        <w:rPr>
          <w:rFonts w:cstheme="minorHAnsi"/>
        </w:rPr>
        <w:t>±</w:t>
      </w:r>
      <w:r w:rsidR="00B47180">
        <w:t xml:space="preserve">1. </w:t>
      </w:r>
      <w:r w:rsidR="00C97925">
        <w:t>Any energy that yields a value outside of this range is not allowed.</w:t>
      </w:r>
    </w:p>
    <w:p w14:paraId="68139D9B" w14:textId="77777777" w:rsidR="00845FFF" w:rsidRDefault="00845FFF" w:rsidP="00CE2ADE"/>
    <w:p w14:paraId="71830DAE" w14:textId="4794CE69" w:rsidR="00B27215" w:rsidRPr="00CE2ADE" w:rsidRDefault="00C42C57" w:rsidP="00CE2ADE">
      <m:oMathPara>
        <m:oMath>
          <m:d>
            <m:dPr>
              <m:ctrlPr>
                <w:rPr>
                  <w:rFonts w:ascii="Cambria Math" w:hAnsi="Cambria Math"/>
                  <w:i/>
                </w:rPr>
              </m:ctrlPr>
            </m:dPr>
            <m:e>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ab</m:t>
                  </m:r>
                </m:num>
                <m:den>
                  <m:sSup>
                    <m:sSupPr>
                      <m:ctrlPr>
                        <w:rPr>
                          <w:rFonts w:ascii="Cambria Math" w:hAnsi="Cambria Math"/>
                          <w:i/>
                        </w:rPr>
                      </m:ctrlPr>
                    </m:sSupPr>
                    <m:e>
                      <m:r>
                        <w:rPr>
                          <w:rFonts w:ascii="Cambria Math" w:hAnsi="Cambria Math"/>
                        </w:rPr>
                        <m:t>ħ</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αa</m:t>
                          </m:r>
                        </m:e>
                      </m:d>
                    </m:e>
                  </m:func>
                </m:num>
                <m:den>
                  <m:r>
                    <w:rPr>
                      <w:rFonts w:ascii="Cambria Math" w:hAnsi="Cambria Math"/>
                    </w:rPr>
                    <m:t>αa</m:t>
                  </m:r>
                </m:den>
              </m:f>
            </m:e>
          </m:d>
          <m:r>
            <w:rPr>
              <w:rFonts w:ascii="Cambria Math" w:hAnsi="Cambria Math"/>
            </w:rPr>
            <m:t>+cos</m:t>
          </m:r>
          <m:d>
            <m:dPr>
              <m:ctrlPr>
                <w:rPr>
                  <w:rFonts w:ascii="Cambria Math" w:hAnsi="Cambria Math"/>
                  <w:i/>
                </w:rPr>
              </m:ctrlPr>
            </m:dPr>
            <m:e>
              <m:r>
                <w:rPr>
                  <w:rFonts w:ascii="Cambria Math" w:hAnsi="Cambria Math"/>
                </w:rPr>
                <m:t>αa</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ka</m:t>
                  </m:r>
                </m:e>
              </m:d>
            </m:e>
          </m:func>
          <m:r>
            <w:rPr>
              <w:rFonts w:ascii="Cambria Math" w:hAnsi="Cambria Math"/>
            </w:rPr>
            <m:t xml:space="preserve">                                  (2)</m:t>
          </m:r>
        </m:oMath>
      </m:oMathPara>
    </w:p>
    <w:p w14:paraId="30CAF804" w14:textId="77777777" w:rsidR="005963E4" w:rsidRDefault="005963E4" w:rsidP="00CE2ADE">
      <w:pPr>
        <w:rPr>
          <w:rFonts w:eastAsiaTheme="minorEastAsia"/>
        </w:rPr>
      </w:pPr>
    </w:p>
    <w:p w14:paraId="185615D8" w14:textId="777B4AE9" w:rsidR="00CE2ADE" w:rsidRPr="00D20B20" w:rsidRDefault="00845FFF" w:rsidP="00CE2ADE">
      <w:pPr>
        <w:rPr>
          <w:rFonts w:eastAsiaTheme="minorEastAsia"/>
        </w:rPr>
      </w:pPr>
      <m:oMathPara>
        <m:oMath>
          <m:r>
            <w:rPr>
              <w:rFonts w:ascii="Cambria Math" w:hAnsi="Cambria Math"/>
            </w:rPr>
            <m:t xml:space="preserve">Where </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ħ</m:t>
                  </m:r>
                </m:e>
                <m:sup>
                  <m:r>
                    <w:rPr>
                      <w:rFonts w:ascii="Cambria Math" w:hAnsi="Cambria Math"/>
                    </w:rPr>
                    <m:t>2</m:t>
                  </m:r>
                </m:sup>
              </m:sSup>
            </m:den>
          </m:f>
        </m:oMath>
      </m:oMathPara>
    </w:p>
    <w:p w14:paraId="4FF5D56D" w14:textId="40D9C6EA" w:rsidR="00D20B20" w:rsidRPr="00845FFF" w:rsidRDefault="00D20B20" w:rsidP="00975A7F">
      <w:pPr>
        <w:pStyle w:val="Heading3"/>
        <w:rPr>
          <w:rFonts w:eastAsiaTheme="minorEastAsia"/>
        </w:rPr>
      </w:pPr>
    </w:p>
    <w:p w14:paraId="29C0CDB2" w14:textId="77777777" w:rsidR="00845FFF" w:rsidRPr="00845FFF" w:rsidRDefault="00845FFF" w:rsidP="00CE2ADE">
      <w:pPr>
        <w:rPr>
          <w:rFonts w:eastAsiaTheme="minorEastAsia"/>
        </w:rPr>
      </w:pPr>
    </w:p>
    <w:p w14:paraId="7EC6443D" w14:textId="77777777" w:rsidR="00CE2ADE" w:rsidRPr="00CE2ADE" w:rsidRDefault="00CE2ADE" w:rsidP="00CE2ADE"/>
    <w:p w14:paraId="6088831A" w14:textId="77777777" w:rsidR="00CE2ADE" w:rsidRPr="00CE2ADE" w:rsidRDefault="00CE2ADE" w:rsidP="00CE2ADE"/>
    <w:p w14:paraId="3E1C584E" w14:textId="77777777" w:rsidR="00CE2ADE" w:rsidRPr="00CE2ADE" w:rsidRDefault="00CE2ADE" w:rsidP="00CE2ADE"/>
    <w:p w14:paraId="6D76EF43" w14:textId="77777777" w:rsidR="00CE2ADE" w:rsidRPr="00CE2ADE" w:rsidRDefault="00CE2ADE" w:rsidP="00CE2ADE"/>
    <w:p w14:paraId="6F63B428" w14:textId="77777777" w:rsidR="00CE2ADE" w:rsidRPr="00CE2ADE" w:rsidRDefault="00CE2ADE" w:rsidP="00CE2ADE"/>
    <w:p w14:paraId="1BA2A981" w14:textId="77777777" w:rsidR="00CE2ADE" w:rsidRPr="00CE2ADE" w:rsidRDefault="00CE2ADE" w:rsidP="00CE2ADE"/>
    <w:p w14:paraId="18290B9D" w14:textId="77777777" w:rsidR="00CE2ADE" w:rsidRPr="00CE2ADE" w:rsidRDefault="00CE2ADE" w:rsidP="00CE2ADE"/>
    <w:p w14:paraId="56CA53E2" w14:textId="77777777" w:rsidR="00CE2ADE" w:rsidRPr="00CE2ADE" w:rsidRDefault="00CE2ADE" w:rsidP="00CE2ADE"/>
    <w:p w14:paraId="5E3E7526" w14:textId="77777777" w:rsidR="00CE2ADE" w:rsidRPr="00CE2ADE" w:rsidRDefault="00CE2ADE" w:rsidP="00CE2ADE"/>
    <w:p w14:paraId="19EE9099" w14:textId="77777777" w:rsidR="00CE2ADE" w:rsidRPr="00CE2ADE" w:rsidRDefault="00CE2ADE" w:rsidP="00CE2ADE"/>
    <w:p w14:paraId="2CC226EB" w14:textId="77777777" w:rsidR="00CE2ADE" w:rsidRPr="00CE2ADE" w:rsidRDefault="00CE2ADE" w:rsidP="00CE2ADE"/>
    <w:p w14:paraId="6E841AD8" w14:textId="77777777" w:rsidR="00CE2ADE" w:rsidRPr="00CE2ADE" w:rsidRDefault="00CE2ADE" w:rsidP="00CE2ADE"/>
    <w:p w14:paraId="678BFEBB" w14:textId="43B88BB8" w:rsidR="00CE2ADE" w:rsidRDefault="00CE2ADE" w:rsidP="00CE2ADE"/>
    <w:p w14:paraId="38819592" w14:textId="64DC833C" w:rsidR="00CE2ADE" w:rsidRDefault="00CE2ADE" w:rsidP="004D6AEA">
      <w:pPr>
        <w:pStyle w:val="Heading1"/>
        <w:rPr>
          <w:rFonts w:asciiTheme="minorHAnsi" w:eastAsiaTheme="minorHAnsi" w:hAnsiTheme="minorHAnsi" w:cstheme="minorBidi"/>
          <w:color w:val="auto"/>
          <w:sz w:val="22"/>
          <w:szCs w:val="22"/>
        </w:rPr>
      </w:pPr>
    </w:p>
    <w:p w14:paraId="7AA37CF2" w14:textId="6CFD3C2F" w:rsidR="00C43EE4" w:rsidRDefault="00C43EE4" w:rsidP="00C43EE4"/>
    <w:p w14:paraId="49FAC30C" w14:textId="77777777" w:rsidR="00C43EE4" w:rsidRPr="00C43EE4" w:rsidRDefault="00C43EE4" w:rsidP="00C43EE4"/>
    <w:p w14:paraId="53469980" w14:textId="5B7CE7FA" w:rsidR="00AA0064" w:rsidRDefault="004D6AEA" w:rsidP="004D6AEA">
      <w:pPr>
        <w:pStyle w:val="Heading1"/>
      </w:pPr>
      <w:bookmarkStart w:id="3" w:name="_Toc512982047"/>
      <w:r>
        <w:lastRenderedPageBreak/>
        <w:t>Discussion</w:t>
      </w:r>
      <w:bookmarkEnd w:id="3"/>
    </w:p>
    <w:p w14:paraId="61DC48FF" w14:textId="5AE93D0C" w:rsidR="00B11939" w:rsidRDefault="00B11939" w:rsidP="00B11939"/>
    <w:p w14:paraId="40D7CA1B" w14:textId="1867FE5F" w:rsidR="00B11939" w:rsidRDefault="00E47DE6" w:rsidP="00B11939">
      <w:r>
        <w:t>T</w:t>
      </w:r>
      <w:r w:rsidR="00B11939" w:rsidRPr="00B11939">
        <w:t xml:space="preserve">he </w:t>
      </w:r>
      <w:r w:rsidR="00B11939">
        <w:t>Kronig</w:t>
      </w:r>
      <w:r w:rsidR="00B11939" w:rsidRPr="00B11939">
        <w:t xml:space="preserve">-Penney </w:t>
      </w:r>
      <w:r w:rsidR="00B11939">
        <w:t>model</w:t>
      </w:r>
      <w:r>
        <w:t xml:space="preserve"> was used</w:t>
      </w:r>
      <w:r w:rsidR="00B11939">
        <w:t xml:space="preserve"> to calculate the energies for a </w:t>
      </w:r>
      <w:r w:rsidR="002F7A41">
        <w:t>periodic lattice</w:t>
      </w:r>
      <w:r w:rsidR="00B11939">
        <w:t xml:space="preserve"> </w:t>
      </w:r>
      <w:r w:rsidR="003737F1">
        <w:t>of</w:t>
      </w:r>
      <w:r w:rsidR="002F7A41">
        <w:t xml:space="preserve"> wells of </w:t>
      </w:r>
      <w:r w:rsidR="003737F1">
        <w:t>depth 300eV and width 0.2nm</w:t>
      </w:r>
      <w:r>
        <w:t>. The</w:t>
      </w:r>
      <w:r w:rsidR="003737F1">
        <w:t xml:space="preserve"> allowable energies obtained </w:t>
      </w:r>
      <w:r w:rsidR="002F7A41">
        <w:t>are comparable to energies</w:t>
      </w:r>
      <w:r w:rsidR="00E172C2">
        <w:t xml:space="preserve"> for a single well of the same width and depth, see Table 1 &amp; 2.</w:t>
      </w:r>
    </w:p>
    <w:p w14:paraId="6C9304D2" w14:textId="31911874" w:rsidR="00E44C56" w:rsidRDefault="00E44C56" w:rsidP="00B11939"/>
    <w:tbl>
      <w:tblPr>
        <w:tblStyle w:val="TableGrid"/>
        <w:tblW w:w="0" w:type="auto"/>
        <w:tblLook w:val="04A0" w:firstRow="1" w:lastRow="0" w:firstColumn="1" w:lastColumn="0" w:noHBand="0" w:noVBand="1"/>
      </w:tblPr>
      <w:tblGrid>
        <w:gridCol w:w="4508"/>
        <w:gridCol w:w="4508"/>
      </w:tblGrid>
      <w:tr w:rsidR="00007BCA" w14:paraId="71FE6F86" w14:textId="77777777" w:rsidTr="00007BCA">
        <w:tc>
          <w:tcPr>
            <w:tcW w:w="4508" w:type="dxa"/>
          </w:tcPr>
          <w:p w14:paraId="19CFDC64" w14:textId="051805C3" w:rsidR="00007BCA" w:rsidRPr="00AA64FC" w:rsidRDefault="00007BCA" w:rsidP="00007BCA">
            <w:pPr>
              <w:jc w:val="center"/>
              <w:rPr>
                <w:b/>
              </w:rPr>
            </w:pPr>
            <w:r w:rsidRPr="00AA64FC">
              <w:rPr>
                <w:b/>
              </w:rPr>
              <w:t>Allowable Energy Level</w:t>
            </w:r>
          </w:p>
        </w:tc>
        <w:tc>
          <w:tcPr>
            <w:tcW w:w="4508" w:type="dxa"/>
          </w:tcPr>
          <w:p w14:paraId="5646B79A" w14:textId="0A5AF067" w:rsidR="00007BCA" w:rsidRPr="00AA64FC" w:rsidRDefault="00007BCA" w:rsidP="00007BCA">
            <w:pPr>
              <w:jc w:val="center"/>
              <w:rPr>
                <w:b/>
              </w:rPr>
            </w:pPr>
            <w:r w:rsidRPr="00AA64FC">
              <w:rPr>
                <w:b/>
              </w:rPr>
              <w:t>Energy (eV)</w:t>
            </w:r>
          </w:p>
        </w:tc>
      </w:tr>
      <w:tr w:rsidR="00007BCA" w14:paraId="448181C6" w14:textId="77777777" w:rsidTr="00007BCA">
        <w:tc>
          <w:tcPr>
            <w:tcW w:w="4508" w:type="dxa"/>
          </w:tcPr>
          <w:p w14:paraId="49096D0D" w14:textId="5DC54362" w:rsidR="00007BCA" w:rsidRDefault="00007BCA" w:rsidP="00007BCA">
            <w:pPr>
              <w:jc w:val="center"/>
            </w:pPr>
            <w:r>
              <w:t>1</w:t>
            </w:r>
          </w:p>
        </w:tc>
        <w:tc>
          <w:tcPr>
            <w:tcW w:w="4508" w:type="dxa"/>
          </w:tcPr>
          <w:p w14:paraId="09A971DB" w14:textId="29005C04" w:rsidR="00007BCA" w:rsidRDefault="00007BCA" w:rsidP="00007BCA">
            <w:pPr>
              <w:jc w:val="center"/>
            </w:pPr>
            <w:r>
              <w:t>9</w:t>
            </w:r>
          </w:p>
        </w:tc>
      </w:tr>
      <w:tr w:rsidR="00007BCA" w14:paraId="648721C6" w14:textId="77777777" w:rsidTr="00007BCA">
        <w:tc>
          <w:tcPr>
            <w:tcW w:w="4508" w:type="dxa"/>
          </w:tcPr>
          <w:p w14:paraId="375C7102" w14:textId="353C711E" w:rsidR="00007BCA" w:rsidRDefault="00007BCA" w:rsidP="00007BCA">
            <w:pPr>
              <w:jc w:val="center"/>
            </w:pPr>
            <w:r>
              <w:t>2</w:t>
            </w:r>
          </w:p>
        </w:tc>
        <w:tc>
          <w:tcPr>
            <w:tcW w:w="4508" w:type="dxa"/>
          </w:tcPr>
          <w:p w14:paraId="706818AA" w14:textId="03F6D7D0" w:rsidR="00007BCA" w:rsidRDefault="00007BCA" w:rsidP="00007BCA">
            <w:pPr>
              <w:jc w:val="center"/>
            </w:pPr>
            <w:r>
              <w:t>37</w:t>
            </w:r>
          </w:p>
        </w:tc>
      </w:tr>
      <w:tr w:rsidR="00007BCA" w14:paraId="477E237F" w14:textId="77777777" w:rsidTr="00007BCA">
        <w:tc>
          <w:tcPr>
            <w:tcW w:w="4508" w:type="dxa"/>
          </w:tcPr>
          <w:p w14:paraId="2F27980D" w14:textId="6ACC60B7" w:rsidR="00007BCA" w:rsidRDefault="00007BCA" w:rsidP="00007BCA">
            <w:pPr>
              <w:jc w:val="center"/>
            </w:pPr>
            <w:r>
              <w:t>3</w:t>
            </w:r>
          </w:p>
        </w:tc>
        <w:tc>
          <w:tcPr>
            <w:tcW w:w="4508" w:type="dxa"/>
          </w:tcPr>
          <w:p w14:paraId="1D00EC83" w14:textId="424B64A8" w:rsidR="00007BCA" w:rsidRDefault="00007BCA" w:rsidP="00007BCA">
            <w:pPr>
              <w:jc w:val="center"/>
            </w:pPr>
            <w:r>
              <w:t>83</w:t>
            </w:r>
          </w:p>
        </w:tc>
      </w:tr>
      <w:tr w:rsidR="00007BCA" w14:paraId="4150EAD0" w14:textId="77777777" w:rsidTr="00007BCA">
        <w:tc>
          <w:tcPr>
            <w:tcW w:w="4508" w:type="dxa"/>
          </w:tcPr>
          <w:p w14:paraId="4D24AB08" w14:textId="3DA73DFF" w:rsidR="00007BCA" w:rsidRDefault="00007BCA" w:rsidP="00007BCA">
            <w:pPr>
              <w:jc w:val="center"/>
            </w:pPr>
            <w:r>
              <w:t>4</w:t>
            </w:r>
          </w:p>
        </w:tc>
        <w:tc>
          <w:tcPr>
            <w:tcW w:w="4508" w:type="dxa"/>
          </w:tcPr>
          <w:p w14:paraId="12C24154" w14:textId="0272D951" w:rsidR="00007BCA" w:rsidRDefault="00007BCA" w:rsidP="00007BCA">
            <w:pPr>
              <w:jc w:val="center"/>
            </w:pPr>
            <w:r>
              <w:t>149</w:t>
            </w:r>
          </w:p>
        </w:tc>
      </w:tr>
      <w:tr w:rsidR="00007BCA" w14:paraId="44C628E7" w14:textId="77777777" w:rsidTr="00007BCA">
        <w:tc>
          <w:tcPr>
            <w:tcW w:w="4508" w:type="dxa"/>
          </w:tcPr>
          <w:p w14:paraId="584D0959" w14:textId="540240AB" w:rsidR="00007BCA" w:rsidRDefault="00007BCA" w:rsidP="00007BCA">
            <w:pPr>
              <w:jc w:val="center"/>
            </w:pPr>
            <w:r>
              <w:t>5</w:t>
            </w:r>
          </w:p>
        </w:tc>
        <w:tc>
          <w:tcPr>
            <w:tcW w:w="4508" w:type="dxa"/>
          </w:tcPr>
          <w:p w14:paraId="1E6C88BB" w14:textId="3D85F3FF" w:rsidR="00007BCA" w:rsidRDefault="00007BCA" w:rsidP="00E44C56">
            <w:pPr>
              <w:keepNext/>
              <w:jc w:val="center"/>
            </w:pPr>
            <w:r>
              <w:t>323</w:t>
            </w:r>
          </w:p>
        </w:tc>
      </w:tr>
    </w:tbl>
    <w:p w14:paraId="5A32A176" w14:textId="13812D62" w:rsidR="00007BCA" w:rsidRPr="00B11939" w:rsidRDefault="00E44C56" w:rsidP="00E44C56">
      <w:pPr>
        <w:pStyle w:val="Caption"/>
      </w:pPr>
      <w:r>
        <w:t xml:space="preserve">Table </w:t>
      </w:r>
      <w:r w:rsidR="005A7DAF">
        <w:t>1</w:t>
      </w:r>
      <w:r>
        <w:t>:</w:t>
      </w:r>
      <w:r w:rsidR="00AA64FC">
        <w:t xml:space="preserve"> Allowable </w:t>
      </w:r>
      <w:r w:rsidR="00DE698E">
        <w:t>e</w:t>
      </w:r>
      <w:r w:rsidR="00AA64FC">
        <w:t xml:space="preserve">nergy </w:t>
      </w:r>
      <w:r w:rsidR="00DE698E">
        <w:t>l</w:t>
      </w:r>
      <w:r w:rsidR="00AA64FC">
        <w:t xml:space="preserve">evels for a </w:t>
      </w:r>
      <w:r w:rsidR="00DE698E">
        <w:t>p</w:t>
      </w:r>
      <w:r w:rsidR="00AA64FC">
        <w:t xml:space="preserve">eriodic </w:t>
      </w:r>
      <w:r w:rsidR="00DE698E">
        <w:t>l</w:t>
      </w:r>
      <w:r w:rsidR="00AA64FC">
        <w:t xml:space="preserve">attice calculated using the Kronig-Penney Method. Depth 300eV and </w:t>
      </w:r>
      <w:r w:rsidR="00DE698E">
        <w:t>width</w:t>
      </w:r>
      <w:r w:rsidR="007D5C31">
        <w:t xml:space="preserve"> </w:t>
      </w:r>
      <w:r w:rsidR="00AA64FC">
        <w:t>0.2nm.</w:t>
      </w:r>
    </w:p>
    <w:tbl>
      <w:tblPr>
        <w:tblStyle w:val="TableGrid"/>
        <w:tblW w:w="9016" w:type="dxa"/>
        <w:tblLook w:val="04A0" w:firstRow="1" w:lastRow="0" w:firstColumn="1" w:lastColumn="0" w:noHBand="0" w:noVBand="1"/>
      </w:tblPr>
      <w:tblGrid>
        <w:gridCol w:w="4508"/>
        <w:gridCol w:w="4508"/>
      </w:tblGrid>
      <w:tr w:rsidR="00007BCA" w14:paraId="4C1F1299" w14:textId="77777777" w:rsidTr="00007BCA">
        <w:tc>
          <w:tcPr>
            <w:tcW w:w="4508" w:type="dxa"/>
          </w:tcPr>
          <w:p w14:paraId="56D2DA9C" w14:textId="3C93C30C" w:rsidR="00007BCA" w:rsidRPr="00AA64FC" w:rsidRDefault="00007BCA" w:rsidP="00007BCA">
            <w:pPr>
              <w:jc w:val="center"/>
              <w:rPr>
                <w:b/>
              </w:rPr>
            </w:pPr>
            <w:r w:rsidRPr="00AA64FC">
              <w:rPr>
                <w:b/>
              </w:rPr>
              <w:t>Allowable Energy Level</w:t>
            </w:r>
          </w:p>
        </w:tc>
        <w:tc>
          <w:tcPr>
            <w:tcW w:w="4508" w:type="dxa"/>
          </w:tcPr>
          <w:p w14:paraId="72197D24" w14:textId="0BAE7F13" w:rsidR="00007BCA" w:rsidRPr="00AA64FC" w:rsidRDefault="00007BCA" w:rsidP="00007BCA">
            <w:pPr>
              <w:jc w:val="center"/>
              <w:rPr>
                <w:b/>
              </w:rPr>
            </w:pPr>
            <w:r w:rsidRPr="00AA64FC">
              <w:rPr>
                <w:b/>
              </w:rPr>
              <w:t>Energy (eV)</w:t>
            </w:r>
          </w:p>
        </w:tc>
      </w:tr>
      <w:tr w:rsidR="00007BCA" w14:paraId="7F3C2E79" w14:textId="77777777" w:rsidTr="00007BCA">
        <w:tc>
          <w:tcPr>
            <w:tcW w:w="4508" w:type="dxa"/>
          </w:tcPr>
          <w:p w14:paraId="56B44A75" w14:textId="404DBBF7" w:rsidR="00007BCA" w:rsidRDefault="00007BCA" w:rsidP="00007BCA">
            <w:pPr>
              <w:jc w:val="center"/>
            </w:pPr>
            <w:r>
              <w:t>1</w:t>
            </w:r>
          </w:p>
        </w:tc>
        <w:tc>
          <w:tcPr>
            <w:tcW w:w="4508" w:type="dxa"/>
          </w:tcPr>
          <w:p w14:paraId="5D993F2C" w14:textId="171EBC7E" w:rsidR="00007BCA" w:rsidRDefault="00007BCA" w:rsidP="00007BCA">
            <w:pPr>
              <w:jc w:val="center"/>
            </w:pPr>
            <w:r>
              <w:t>7.59</w:t>
            </w:r>
          </w:p>
        </w:tc>
      </w:tr>
      <w:tr w:rsidR="00007BCA" w14:paraId="2C1993DE" w14:textId="77777777" w:rsidTr="00007BCA">
        <w:tc>
          <w:tcPr>
            <w:tcW w:w="4508" w:type="dxa"/>
          </w:tcPr>
          <w:p w14:paraId="774DA382" w14:textId="0130D830" w:rsidR="00007BCA" w:rsidRDefault="00007BCA" w:rsidP="00007BCA">
            <w:pPr>
              <w:jc w:val="center"/>
            </w:pPr>
            <w:r>
              <w:t>2</w:t>
            </w:r>
          </w:p>
        </w:tc>
        <w:tc>
          <w:tcPr>
            <w:tcW w:w="4508" w:type="dxa"/>
          </w:tcPr>
          <w:p w14:paraId="7886B353" w14:textId="2F4631C2" w:rsidR="00007BCA" w:rsidRDefault="00007BCA" w:rsidP="00007BCA">
            <w:pPr>
              <w:jc w:val="center"/>
            </w:pPr>
            <w:r>
              <w:t>30.28</w:t>
            </w:r>
          </w:p>
        </w:tc>
      </w:tr>
      <w:tr w:rsidR="00007BCA" w14:paraId="548129AC" w14:textId="77777777" w:rsidTr="00007BCA">
        <w:tc>
          <w:tcPr>
            <w:tcW w:w="4508" w:type="dxa"/>
          </w:tcPr>
          <w:p w14:paraId="5AB3B1E0" w14:textId="49E25AAA" w:rsidR="00007BCA" w:rsidRDefault="00007BCA" w:rsidP="00007BCA">
            <w:pPr>
              <w:jc w:val="center"/>
            </w:pPr>
            <w:r>
              <w:t>3</w:t>
            </w:r>
          </w:p>
        </w:tc>
        <w:tc>
          <w:tcPr>
            <w:tcW w:w="4508" w:type="dxa"/>
          </w:tcPr>
          <w:p w14:paraId="3ABBB3F2" w14:textId="3B300366" w:rsidR="00007BCA" w:rsidRDefault="00007BCA" w:rsidP="00007BCA">
            <w:pPr>
              <w:jc w:val="center"/>
            </w:pPr>
            <w:r>
              <w:t>67.8</w:t>
            </w:r>
          </w:p>
        </w:tc>
      </w:tr>
      <w:tr w:rsidR="00007BCA" w14:paraId="21643C96" w14:textId="77777777" w:rsidTr="00007BCA">
        <w:tc>
          <w:tcPr>
            <w:tcW w:w="4508" w:type="dxa"/>
          </w:tcPr>
          <w:p w14:paraId="0094374B" w14:textId="0BBD1290" w:rsidR="00007BCA" w:rsidRDefault="00007BCA" w:rsidP="00007BCA">
            <w:pPr>
              <w:jc w:val="center"/>
            </w:pPr>
            <w:r>
              <w:t>4</w:t>
            </w:r>
          </w:p>
        </w:tc>
        <w:tc>
          <w:tcPr>
            <w:tcW w:w="4508" w:type="dxa"/>
          </w:tcPr>
          <w:p w14:paraId="5119F11E" w14:textId="3695B414" w:rsidR="00007BCA" w:rsidRDefault="00007BCA" w:rsidP="00007BCA">
            <w:pPr>
              <w:jc w:val="center"/>
            </w:pPr>
            <w:r>
              <w:t>119.56</w:t>
            </w:r>
          </w:p>
        </w:tc>
      </w:tr>
      <w:tr w:rsidR="00007BCA" w14:paraId="59268BD4" w14:textId="77777777" w:rsidTr="00007BCA">
        <w:tc>
          <w:tcPr>
            <w:tcW w:w="4508" w:type="dxa"/>
          </w:tcPr>
          <w:p w14:paraId="260B09B9" w14:textId="6F7DE558" w:rsidR="00007BCA" w:rsidRDefault="00007BCA" w:rsidP="00007BCA">
            <w:pPr>
              <w:jc w:val="center"/>
            </w:pPr>
            <w:r>
              <w:t>5</w:t>
            </w:r>
          </w:p>
        </w:tc>
        <w:tc>
          <w:tcPr>
            <w:tcW w:w="4508" w:type="dxa"/>
          </w:tcPr>
          <w:p w14:paraId="1080B92E" w14:textId="52E621AA" w:rsidR="00007BCA" w:rsidRDefault="00007BCA" w:rsidP="00007BCA">
            <w:pPr>
              <w:jc w:val="center"/>
            </w:pPr>
            <w:r>
              <w:t>184.33</w:t>
            </w:r>
          </w:p>
        </w:tc>
      </w:tr>
      <w:tr w:rsidR="00007BCA" w14:paraId="6E37D32F" w14:textId="77777777" w:rsidTr="00007BCA">
        <w:tc>
          <w:tcPr>
            <w:tcW w:w="4508" w:type="dxa"/>
          </w:tcPr>
          <w:p w14:paraId="5E209F57" w14:textId="4BD4424D" w:rsidR="00007BCA" w:rsidRDefault="00007BCA" w:rsidP="00007BCA">
            <w:pPr>
              <w:jc w:val="center"/>
            </w:pPr>
            <w:r>
              <w:t>6</w:t>
            </w:r>
          </w:p>
        </w:tc>
        <w:tc>
          <w:tcPr>
            <w:tcW w:w="4508" w:type="dxa"/>
          </w:tcPr>
          <w:p w14:paraId="248DC04C" w14:textId="2B4BFD20" w:rsidR="00007BCA" w:rsidRDefault="00007BCA" w:rsidP="00E44C56">
            <w:pPr>
              <w:keepNext/>
              <w:jc w:val="center"/>
            </w:pPr>
            <w:r>
              <w:t>258.57</w:t>
            </w:r>
          </w:p>
        </w:tc>
      </w:tr>
    </w:tbl>
    <w:p w14:paraId="7DF86EEE" w14:textId="2135B25E" w:rsidR="00B30D33" w:rsidRDefault="00E44C56" w:rsidP="00E44C56">
      <w:pPr>
        <w:pStyle w:val="Caption"/>
      </w:pPr>
      <w:r>
        <w:t xml:space="preserve">Table </w:t>
      </w:r>
      <w:r w:rsidR="0006025B">
        <w:t>2</w:t>
      </w:r>
      <w:r>
        <w:t xml:space="preserve">: </w:t>
      </w:r>
      <w:r w:rsidR="00AA64FC">
        <w:t xml:space="preserve">Allowable </w:t>
      </w:r>
      <w:r w:rsidR="0045589F">
        <w:t>e</w:t>
      </w:r>
      <w:r w:rsidR="00AA64FC">
        <w:t xml:space="preserve">nergy </w:t>
      </w:r>
      <w:r w:rsidR="0045589F">
        <w:t>l</w:t>
      </w:r>
      <w:r w:rsidR="00AA64FC">
        <w:t xml:space="preserve">evels for a </w:t>
      </w:r>
      <w:r w:rsidR="0045589F">
        <w:t>s</w:t>
      </w:r>
      <w:r w:rsidR="00AA64FC">
        <w:t xml:space="preserve">ingle </w:t>
      </w:r>
      <w:r w:rsidR="0045589F">
        <w:t>w</w:t>
      </w:r>
      <w:r w:rsidR="00AA64FC">
        <w:t xml:space="preserve">ell of </w:t>
      </w:r>
      <w:r w:rsidR="0045589F">
        <w:t>d</w:t>
      </w:r>
      <w:r w:rsidR="00AA64FC">
        <w:t xml:space="preserve">epth 300eV and </w:t>
      </w:r>
      <w:r w:rsidR="0045589F">
        <w:t>w</w:t>
      </w:r>
      <w:r w:rsidR="00AA64FC">
        <w:t>idth 0.2nm.</w:t>
      </w:r>
    </w:p>
    <w:p w14:paraId="250CE91F" w14:textId="5D3F33C4" w:rsidR="00B32942" w:rsidRDefault="00FE2FFF" w:rsidP="00B32942">
      <w:r>
        <w:t xml:space="preserve">The difference in results shows that </w:t>
      </w:r>
      <w:r w:rsidR="00B32942">
        <w:t xml:space="preserve">that the Kronig-Penney Model </w:t>
      </w:r>
      <w:r w:rsidR="007C6BE1">
        <w:t>is an approximation</w:t>
      </w:r>
      <w:r w:rsidR="00435700">
        <w:t xml:space="preserve">, despite this is can still be used to </w:t>
      </w:r>
      <w:r w:rsidR="00B35E66">
        <w:t xml:space="preserve">develop a </w:t>
      </w:r>
      <w:r w:rsidR="00664F8A">
        <w:t>high-level</w:t>
      </w:r>
      <w:r w:rsidR="00B35E66">
        <w:t xml:space="preserve"> understanding of the electrical properties of a material.</w:t>
      </w:r>
      <w:r w:rsidR="00B42A3A">
        <w:t xml:space="preserve"> </w:t>
      </w:r>
    </w:p>
    <w:p w14:paraId="77E20197" w14:textId="77777777" w:rsidR="00A57118" w:rsidRPr="00B32942" w:rsidRDefault="00A57118" w:rsidP="00874B64"/>
    <w:p w14:paraId="28DD5D62" w14:textId="77777777" w:rsidR="00874B64" w:rsidRDefault="00874B64" w:rsidP="00874B64"/>
    <w:p w14:paraId="7089CF1E" w14:textId="77777777" w:rsidR="00874B64" w:rsidRDefault="00874B64" w:rsidP="00874B64"/>
    <w:p w14:paraId="123B78FE" w14:textId="77777777" w:rsidR="00874B64" w:rsidRDefault="00874B64" w:rsidP="00874B64"/>
    <w:p w14:paraId="4579AA8F" w14:textId="77777777" w:rsidR="00874B64" w:rsidRDefault="00874B64" w:rsidP="00874B64"/>
    <w:p w14:paraId="44A3FFDD" w14:textId="77777777" w:rsidR="00874B64" w:rsidRDefault="00874B64" w:rsidP="00874B64"/>
    <w:p w14:paraId="042288C1" w14:textId="77777777" w:rsidR="00874B64" w:rsidRDefault="00874B64" w:rsidP="00874B64"/>
    <w:p w14:paraId="5A33569E" w14:textId="77777777" w:rsidR="00874B64" w:rsidRDefault="00874B64" w:rsidP="00874B64"/>
    <w:p w14:paraId="45349236" w14:textId="77777777" w:rsidR="00874B64" w:rsidRDefault="00874B64" w:rsidP="00874B64"/>
    <w:p w14:paraId="241FEBB1" w14:textId="77777777" w:rsidR="00874B64" w:rsidRDefault="00874B64" w:rsidP="00874B64"/>
    <w:p w14:paraId="1048FB1F" w14:textId="77777777" w:rsidR="00874B64" w:rsidRDefault="00874B64" w:rsidP="00874B64"/>
    <w:p w14:paraId="716D42FD" w14:textId="77777777" w:rsidR="00874B64" w:rsidRDefault="00874B64" w:rsidP="00874B64"/>
    <w:p w14:paraId="7DE0EB8B" w14:textId="77777777" w:rsidR="00874B64" w:rsidRDefault="00874B64" w:rsidP="00874B64"/>
    <w:p w14:paraId="51E92BDA" w14:textId="77777777" w:rsidR="00874B64" w:rsidRDefault="00874B64" w:rsidP="00874B64"/>
    <w:p w14:paraId="15690D22" w14:textId="76706BEC" w:rsidR="00B30D33" w:rsidRPr="00B30D33" w:rsidRDefault="00B30D33" w:rsidP="00B30D33">
      <w:pPr>
        <w:pStyle w:val="Heading2"/>
      </w:pPr>
      <w:bookmarkStart w:id="4" w:name="_Toc512982048"/>
      <w:r>
        <w:lastRenderedPageBreak/>
        <w:t>Part One</w:t>
      </w:r>
      <w:r w:rsidR="009940D5">
        <w:t xml:space="preserve"> – </w:t>
      </w:r>
      <w:r w:rsidR="007119D6">
        <w:t>Two Square Wells</w:t>
      </w:r>
      <w:bookmarkEnd w:id="4"/>
    </w:p>
    <w:p w14:paraId="693D9D73" w14:textId="1C04045C" w:rsidR="00751150" w:rsidRDefault="00751150" w:rsidP="00751150"/>
    <w:p w14:paraId="6127F518" w14:textId="1B06AD4A" w:rsidR="007C1FC2" w:rsidRDefault="007C1FC2" w:rsidP="007C1FC2">
      <w:pPr>
        <w:pStyle w:val="Heading3"/>
      </w:pPr>
      <w:bookmarkStart w:id="5" w:name="_Toc512982049"/>
      <w:r>
        <w:t>Energy Levels</w:t>
      </w:r>
      <w:bookmarkEnd w:id="5"/>
    </w:p>
    <w:p w14:paraId="16ABA8D8" w14:textId="0F5E6184" w:rsidR="00984E03" w:rsidRDefault="00061BF9">
      <w:pPr>
        <w:rPr>
          <w:rFonts w:cstheme="minorHAnsi"/>
        </w:rPr>
      </w:pPr>
      <w:r>
        <w:rPr>
          <w:rFonts w:cstheme="minorHAnsi"/>
        </w:rPr>
        <w:t xml:space="preserve">By simulating only two quantum wells the effect of altering their separation distance was </w:t>
      </w:r>
      <w:r w:rsidR="00EB51DA">
        <w:rPr>
          <w:rFonts w:cstheme="minorHAnsi"/>
        </w:rPr>
        <w:t>isolated</w:t>
      </w:r>
      <w:r w:rsidR="009A79D9">
        <w:rPr>
          <w:rFonts w:cstheme="minorHAnsi"/>
        </w:rPr>
        <w:t xml:space="preserve">. </w:t>
      </w:r>
      <w:r w:rsidR="00984E03">
        <w:rPr>
          <w:rFonts w:cstheme="minorHAnsi"/>
        </w:rPr>
        <w:t>For two wells</w:t>
      </w:r>
      <w:r w:rsidR="00874B64">
        <w:rPr>
          <w:rFonts w:cstheme="minorHAnsi"/>
        </w:rPr>
        <w:t>,</w:t>
      </w:r>
      <w:r w:rsidR="00984E03">
        <w:rPr>
          <w:rFonts w:cstheme="minorHAnsi"/>
        </w:rPr>
        <w:t xml:space="preserve"> four energy levels were possible and </w:t>
      </w:r>
      <w:r w:rsidR="00874B64">
        <w:rPr>
          <w:rFonts w:cstheme="minorHAnsi"/>
        </w:rPr>
        <w:t xml:space="preserve">resided in two </w:t>
      </w:r>
      <w:r w:rsidR="00984E03">
        <w:rPr>
          <w:rFonts w:cstheme="minorHAnsi"/>
        </w:rPr>
        <w:t xml:space="preserve">groups </w:t>
      </w:r>
      <w:r w:rsidR="00874B64">
        <w:rPr>
          <w:rFonts w:cstheme="minorHAnsi"/>
        </w:rPr>
        <w:t>separated by an energy gap</w:t>
      </w:r>
      <w:r w:rsidR="00984E03">
        <w:rPr>
          <w:rFonts w:cstheme="minorHAnsi"/>
        </w:rPr>
        <w:t xml:space="preserve">. Increased </w:t>
      </w:r>
      <w:r w:rsidR="00874B64">
        <w:rPr>
          <w:rFonts w:cstheme="minorHAnsi"/>
        </w:rPr>
        <w:t xml:space="preserve">well </w:t>
      </w:r>
      <w:r w:rsidR="00984E03">
        <w:rPr>
          <w:rFonts w:cstheme="minorHAnsi"/>
        </w:rPr>
        <w:t xml:space="preserve">separation </w:t>
      </w:r>
      <w:r w:rsidR="00874B64">
        <w:rPr>
          <w:rFonts w:cstheme="minorHAnsi"/>
        </w:rPr>
        <w:t>caused the difference between levels within groups to increase.</w:t>
      </w:r>
    </w:p>
    <w:p w14:paraId="49C4264C" w14:textId="16378E84" w:rsidR="007C1FC2" w:rsidRDefault="00EB51DA">
      <w:pPr>
        <w:rPr>
          <w:rFonts w:cstheme="minorHAnsi"/>
        </w:rPr>
      </w:pPr>
      <w:r w:rsidRPr="00EB51DA">
        <w:rPr>
          <w:rFonts w:cstheme="minorHAnsi"/>
        </w:rPr>
        <w:t xml:space="preserve">This behaviour is </w:t>
      </w:r>
      <w:r w:rsidR="00874B64">
        <w:rPr>
          <w:rFonts w:cstheme="minorHAnsi"/>
        </w:rPr>
        <w:t xml:space="preserve">explained by </w:t>
      </w:r>
      <w:r w:rsidRPr="00EB51DA">
        <w:rPr>
          <w:rFonts w:cstheme="minorHAnsi"/>
        </w:rPr>
        <w:t>Pauli</w:t>
      </w:r>
      <w:r w:rsidR="009975A8">
        <w:rPr>
          <w:rFonts w:cstheme="minorHAnsi"/>
        </w:rPr>
        <w:t>’s</w:t>
      </w:r>
      <w:r w:rsidRPr="00EB51DA">
        <w:rPr>
          <w:rFonts w:cstheme="minorHAnsi"/>
        </w:rPr>
        <w:t xml:space="preserve"> Exclusion principle</w:t>
      </w:r>
      <w:r w:rsidR="00874B64">
        <w:rPr>
          <w:rFonts w:cstheme="minorHAnsi"/>
        </w:rPr>
        <w:t xml:space="preserve">. It </w:t>
      </w:r>
      <w:r w:rsidRPr="00EB51DA">
        <w:rPr>
          <w:rFonts w:cstheme="minorHAnsi"/>
        </w:rPr>
        <w:t xml:space="preserve">states that no two electrons may occupy the same </w:t>
      </w:r>
      <w:r w:rsidR="00874B64">
        <w:rPr>
          <w:rFonts w:cstheme="minorHAnsi"/>
        </w:rPr>
        <w:t xml:space="preserve">quantum </w:t>
      </w:r>
      <w:r w:rsidRPr="00EB51DA">
        <w:rPr>
          <w:rFonts w:cstheme="minorHAnsi"/>
        </w:rPr>
        <w:t xml:space="preserve">state. </w:t>
      </w:r>
      <w:r w:rsidR="00984E03">
        <w:rPr>
          <w:rFonts w:cstheme="minorHAnsi"/>
        </w:rPr>
        <w:t xml:space="preserve">By bringing the wells closer together the </w:t>
      </w:r>
      <w:r w:rsidR="00874B64">
        <w:rPr>
          <w:rFonts w:cstheme="minorHAnsi"/>
        </w:rPr>
        <w:t xml:space="preserve">waveforms are forced to reside in the same space, nature’s way of dealing with this is to create more available space i.e. more energy levels. </w:t>
      </w:r>
      <w:r w:rsidR="006A3824">
        <w:rPr>
          <w:rFonts w:cstheme="minorHAnsi"/>
        </w:rPr>
        <w:t>A potential well is analogous to an atom which has associated electron</w:t>
      </w:r>
      <w:r w:rsidR="00B320BB">
        <w:rPr>
          <w:rFonts w:cstheme="minorHAnsi"/>
        </w:rPr>
        <w:t>s.</w:t>
      </w:r>
      <w:r w:rsidR="006A3824">
        <w:rPr>
          <w:rFonts w:cstheme="minorHAnsi"/>
        </w:rPr>
        <w:t xml:space="preserve"> More energy levels must be created to accommodate </w:t>
      </w:r>
      <w:r w:rsidR="00FD0751">
        <w:rPr>
          <w:rFonts w:cstheme="minorHAnsi"/>
        </w:rPr>
        <w:t xml:space="preserve">more </w:t>
      </w:r>
      <w:r w:rsidR="006A3824">
        <w:rPr>
          <w:rFonts w:cstheme="minorHAnsi"/>
        </w:rPr>
        <w:t>electron</w:t>
      </w:r>
      <w:r w:rsidR="00FD0751">
        <w:rPr>
          <w:rFonts w:cstheme="minorHAnsi"/>
        </w:rPr>
        <w:t>s</w:t>
      </w:r>
      <w:r w:rsidR="006A3824">
        <w:rPr>
          <w:rFonts w:cstheme="minorHAnsi"/>
        </w:rPr>
        <w:t xml:space="preserve">. </w:t>
      </w:r>
      <w:r w:rsidR="00041E1F">
        <w:rPr>
          <w:rFonts w:cstheme="minorHAnsi"/>
        </w:rPr>
        <w:t xml:space="preserve">Figure </w:t>
      </w:r>
      <w:r w:rsidR="007C1FC2">
        <w:rPr>
          <w:rFonts w:cstheme="minorHAnsi"/>
        </w:rPr>
        <w:t>4</w:t>
      </w:r>
      <w:r w:rsidR="00041E1F">
        <w:rPr>
          <w:rFonts w:cstheme="minorHAnsi"/>
        </w:rPr>
        <w:t xml:space="preserve"> displays the energy levels at different separations.</w:t>
      </w:r>
    </w:p>
    <w:p w14:paraId="1E7D9808" w14:textId="77777777" w:rsidR="007C1FC2" w:rsidRDefault="007C1FC2" w:rsidP="007C1FC2">
      <w:pPr>
        <w:rPr>
          <w:rFonts w:cstheme="minorHAnsi"/>
          <w:sz w:val="24"/>
        </w:rPr>
      </w:pPr>
      <w:r>
        <w:rPr>
          <w:noProof/>
        </w:rPr>
        <w:drawing>
          <wp:inline distT="0" distB="0" distL="0" distR="0" wp14:anchorId="10E9C9BC" wp14:editId="1CDE1A9D">
            <wp:extent cx="4817660" cy="3459708"/>
            <wp:effectExtent l="0" t="0" r="2540" b="7620"/>
            <wp:docPr id="4" name="Chart 4">
              <a:extLst xmlns:a="http://schemas.openxmlformats.org/drawingml/2006/main">
                <a:ext uri="{FF2B5EF4-FFF2-40B4-BE49-F238E27FC236}">
                  <a16:creationId xmlns:a16="http://schemas.microsoft.com/office/drawing/2014/main" id="{6962F614-2472-4A16-9F53-96907A809C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3E1CF5" w14:textId="3AEE2AD6" w:rsidR="007C1FC2" w:rsidRDefault="007C1FC2" w:rsidP="007C1FC2">
      <w:pPr>
        <w:pStyle w:val="Caption"/>
        <w:rPr>
          <w:rFonts w:cstheme="minorHAnsi"/>
          <w:sz w:val="24"/>
        </w:rPr>
      </w:pPr>
      <w:r>
        <w:t>Figure 4: Allowed energies for a two-well lattice of depth 300eV and width 0.05nm with varying separation. (</w:t>
      </w:r>
      <w:proofErr w:type="gramStart"/>
      <w:r>
        <w:t>Luke</w:t>
      </w:r>
      <w:proofErr w:type="gramEnd"/>
      <w:r>
        <w:t xml:space="preserve"> I didn’t include the Single Well for comparison as it was near impossible to do well in excel in the same chart as the rest of the data).</w:t>
      </w:r>
    </w:p>
    <w:p w14:paraId="6348BA70" w14:textId="0F838180" w:rsidR="00A410AD" w:rsidRPr="00A410AD" w:rsidRDefault="007C1FC2" w:rsidP="007C1FC2">
      <w:pPr>
        <w:rPr>
          <w:rFonts w:cstheme="minorHAnsi"/>
        </w:rPr>
      </w:pPr>
      <w:r>
        <w:rPr>
          <w:rFonts w:cstheme="minorHAnsi"/>
        </w:rPr>
        <w:t xml:space="preserve">We also see that for wells very close together at 0.01nm and 0nm the number of available states reduces to 3. This may be as the increased wave interactions have diverged the energy levels so much that one of the magnitudes is too great to reside in a well of those dimensions. </w:t>
      </w:r>
      <w:r w:rsidR="002F00B3">
        <w:rPr>
          <w:rFonts w:cstheme="minorHAnsi"/>
        </w:rPr>
        <w:t>The energy levels of the two-well structure</w:t>
      </w:r>
      <w:r w:rsidR="000E10CA">
        <w:rPr>
          <w:rFonts w:cstheme="minorHAnsi"/>
        </w:rPr>
        <w:t xml:space="preserve"> are</w:t>
      </w:r>
      <w:r w:rsidR="002F00B3">
        <w:rPr>
          <w:rFonts w:cstheme="minorHAnsi"/>
        </w:rPr>
        <w:t xml:space="preserve"> </w:t>
      </w:r>
      <w:r w:rsidR="00DF6FF6">
        <w:rPr>
          <w:rFonts w:cstheme="minorHAnsi"/>
        </w:rPr>
        <w:t xml:space="preserve">similar to </w:t>
      </w:r>
      <w:r w:rsidR="002F00B3">
        <w:rPr>
          <w:rFonts w:cstheme="minorHAnsi"/>
        </w:rPr>
        <w:t xml:space="preserve">that of </w:t>
      </w:r>
      <w:r w:rsidR="00DF6FF6">
        <w:rPr>
          <w:rFonts w:cstheme="minorHAnsi"/>
        </w:rPr>
        <w:t>a</w:t>
      </w:r>
      <w:r w:rsidR="002F00B3">
        <w:rPr>
          <w:rFonts w:cstheme="minorHAnsi"/>
        </w:rPr>
        <w:t xml:space="preserve"> single well</w:t>
      </w:r>
      <w:r w:rsidR="00DF6FF6">
        <w:rPr>
          <w:rFonts w:cstheme="minorHAnsi"/>
        </w:rPr>
        <w:t xml:space="preserve"> of the same dimensions</w:t>
      </w:r>
      <w:r w:rsidR="002F00B3">
        <w:rPr>
          <w:rFonts w:cstheme="minorHAnsi"/>
        </w:rPr>
        <w:t xml:space="preserve">.  </w:t>
      </w:r>
    </w:p>
    <w:tbl>
      <w:tblPr>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220"/>
        <w:gridCol w:w="1220"/>
        <w:gridCol w:w="1220"/>
        <w:gridCol w:w="1220"/>
        <w:gridCol w:w="1560"/>
      </w:tblGrid>
      <w:tr w:rsidR="007C1FC2" w:rsidRPr="00A24E97" w14:paraId="0691C4EF" w14:textId="77777777" w:rsidTr="003D45F4">
        <w:trPr>
          <w:trHeight w:val="300"/>
        </w:trPr>
        <w:tc>
          <w:tcPr>
            <w:tcW w:w="2040" w:type="dxa"/>
            <w:shd w:val="clear" w:color="auto" w:fill="auto"/>
            <w:noWrap/>
            <w:vAlign w:val="bottom"/>
            <w:hideMark/>
          </w:tcPr>
          <w:p w14:paraId="4264950A"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Separation (nm)</w:t>
            </w:r>
          </w:p>
        </w:tc>
        <w:tc>
          <w:tcPr>
            <w:tcW w:w="1220" w:type="dxa"/>
            <w:shd w:val="clear" w:color="auto" w:fill="auto"/>
            <w:noWrap/>
            <w:vAlign w:val="bottom"/>
            <w:hideMark/>
          </w:tcPr>
          <w:p w14:paraId="27B66DBC"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w:t>
            </w:r>
          </w:p>
        </w:tc>
        <w:tc>
          <w:tcPr>
            <w:tcW w:w="1220" w:type="dxa"/>
            <w:shd w:val="clear" w:color="auto" w:fill="auto"/>
            <w:noWrap/>
            <w:vAlign w:val="bottom"/>
            <w:hideMark/>
          </w:tcPr>
          <w:p w14:paraId="1C9C9B9E"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0.01</w:t>
            </w:r>
          </w:p>
        </w:tc>
        <w:tc>
          <w:tcPr>
            <w:tcW w:w="1220" w:type="dxa"/>
            <w:shd w:val="clear" w:color="auto" w:fill="auto"/>
            <w:noWrap/>
            <w:vAlign w:val="bottom"/>
            <w:hideMark/>
          </w:tcPr>
          <w:p w14:paraId="3F0AB977"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0.05</w:t>
            </w:r>
          </w:p>
        </w:tc>
        <w:tc>
          <w:tcPr>
            <w:tcW w:w="1220" w:type="dxa"/>
            <w:shd w:val="clear" w:color="auto" w:fill="auto"/>
            <w:noWrap/>
            <w:vAlign w:val="bottom"/>
            <w:hideMark/>
          </w:tcPr>
          <w:p w14:paraId="1979E57F"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0.1</w:t>
            </w:r>
          </w:p>
        </w:tc>
        <w:tc>
          <w:tcPr>
            <w:tcW w:w="1560" w:type="dxa"/>
            <w:shd w:val="clear" w:color="auto" w:fill="auto"/>
            <w:noWrap/>
            <w:vAlign w:val="bottom"/>
            <w:hideMark/>
          </w:tcPr>
          <w:p w14:paraId="7465F5C0"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Single Well</w:t>
            </w:r>
          </w:p>
        </w:tc>
      </w:tr>
      <w:tr w:rsidR="007C1FC2" w:rsidRPr="00A24E97" w14:paraId="03A38E80" w14:textId="77777777" w:rsidTr="003D45F4">
        <w:trPr>
          <w:trHeight w:val="300"/>
        </w:trPr>
        <w:tc>
          <w:tcPr>
            <w:tcW w:w="2040" w:type="dxa"/>
            <w:shd w:val="clear" w:color="auto" w:fill="auto"/>
            <w:noWrap/>
            <w:vAlign w:val="bottom"/>
            <w:hideMark/>
          </w:tcPr>
          <w:p w14:paraId="213CB3CE"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1</w:t>
            </w:r>
          </w:p>
        </w:tc>
        <w:tc>
          <w:tcPr>
            <w:tcW w:w="1220" w:type="dxa"/>
            <w:shd w:val="clear" w:color="auto" w:fill="auto"/>
            <w:noWrap/>
            <w:vAlign w:val="bottom"/>
            <w:hideMark/>
          </w:tcPr>
          <w:p w14:paraId="30CABB68"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24.6</w:t>
            </w:r>
          </w:p>
        </w:tc>
        <w:tc>
          <w:tcPr>
            <w:tcW w:w="1220" w:type="dxa"/>
            <w:shd w:val="clear" w:color="auto" w:fill="auto"/>
            <w:noWrap/>
            <w:vAlign w:val="bottom"/>
            <w:hideMark/>
          </w:tcPr>
          <w:p w14:paraId="6C8448E4"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60.96</w:t>
            </w:r>
          </w:p>
        </w:tc>
        <w:tc>
          <w:tcPr>
            <w:tcW w:w="1220" w:type="dxa"/>
            <w:shd w:val="clear" w:color="auto" w:fill="auto"/>
            <w:noWrap/>
            <w:vAlign w:val="bottom"/>
            <w:hideMark/>
          </w:tcPr>
          <w:p w14:paraId="29ED30F1"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69.52</w:t>
            </w:r>
          </w:p>
        </w:tc>
        <w:tc>
          <w:tcPr>
            <w:tcW w:w="1220" w:type="dxa"/>
            <w:shd w:val="clear" w:color="auto" w:fill="auto"/>
            <w:noWrap/>
            <w:vAlign w:val="bottom"/>
            <w:hideMark/>
          </w:tcPr>
          <w:p w14:paraId="0B7B466D"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70.29</w:t>
            </w:r>
          </w:p>
        </w:tc>
        <w:tc>
          <w:tcPr>
            <w:tcW w:w="1560" w:type="dxa"/>
            <w:shd w:val="clear" w:color="auto" w:fill="auto"/>
            <w:noWrap/>
            <w:vAlign w:val="bottom"/>
            <w:hideMark/>
          </w:tcPr>
          <w:p w14:paraId="134971E8" w14:textId="7FF5F9A8"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w:t>
            </w:r>
            <w:r w:rsidR="009E3D73">
              <w:rPr>
                <w:rFonts w:ascii="Calibri" w:eastAsia="Times New Roman" w:hAnsi="Calibri" w:cs="Calibri"/>
                <w:color w:val="000000"/>
                <w:lang w:val="en-US"/>
              </w:rPr>
              <w:t>0.08</w:t>
            </w:r>
          </w:p>
        </w:tc>
      </w:tr>
      <w:tr w:rsidR="007C1FC2" w:rsidRPr="00A24E97" w14:paraId="2D47BF53" w14:textId="77777777" w:rsidTr="003D45F4">
        <w:trPr>
          <w:trHeight w:val="300"/>
        </w:trPr>
        <w:tc>
          <w:tcPr>
            <w:tcW w:w="2040" w:type="dxa"/>
            <w:shd w:val="clear" w:color="auto" w:fill="auto"/>
            <w:noWrap/>
            <w:vAlign w:val="bottom"/>
            <w:hideMark/>
          </w:tcPr>
          <w:p w14:paraId="349E8756"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2</w:t>
            </w:r>
          </w:p>
        </w:tc>
        <w:tc>
          <w:tcPr>
            <w:tcW w:w="1220" w:type="dxa"/>
            <w:shd w:val="clear" w:color="auto" w:fill="auto"/>
            <w:noWrap/>
            <w:vAlign w:val="bottom"/>
            <w:hideMark/>
          </w:tcPr>
          <w:p w14:paraId="40BAC8FB"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96.65</w:t>
            </w:r>
          </w:p>
        </w:tc>
        <w:tc>
          <w:tcPr>
            <w:tcW w:w="1220" w:type="dxa"/>
            <w:shd w:val="clear" w:color="auto" w:fill="auto"/>
            <w:noWrap/>
            <w:vAlign w:val="bottom"/>
            <w:hideMark/>
          </w:tcPr>
          <w:p w14:paraId="58BD1DBF"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97.88</w:t>
            </w:r>
          </w:p>
        </w:tc>
        <w:tc>
          <w:tcPr>
            <w:tcW w:w="1220" w:type="dxa"/>
            <w:shd w:val="clear" w:color="auto" w:fill="auto"/>
            <w:noWrap/>
            <w:vAlign w:val="bottom"/>
            <w:hideMark/>
          </w:tcPr>
          <w:p w14:paraId="6A2B1D0C"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71.09</w:t>
            </w:r>
          </w:p>
        </w:tc>
        <w:tc>
          <w:tcPr>
            <w:tcW w:w="1220" w:type="dxa"/>
            <w:shd w:val="clear" w:color="auto" w:fill="auto"/>
            <w:noWrap/>
            <w:vAlign w:val="bottom"/>
            <w:hideMark/>
          </w:tcPr>
          <w:p w14:paraId="13064E72"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70.31</w:t>
            </w:r>
          </w:p>
        </w:tc>
        <w:tc>
          <w:tcPr>
            <w:tcW w:w="1560" w:type="dxa"/>
            <w:shd w:val="clear" w:color="auto" w:fill="auto"/>
            <w:noWrap/>
            <w:vAlign w:val="bottom"/>
            <w:hideMark/>
          </w:tcPr>
          <w:p w14:paraId="73FC3344" w14:textId="5B4BA0A4" w:rsidR="007C1FC2" w:rsidRPr="00A24E97" w:rsidRDefault="009E3D73" w:rsidP="003D45F4">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247.32</w:t>
            </w:r>
          </w:p>
        </w:tc>
      </w:tr>
      <w:tr w:rsidR="007C1FC2" w:rsidRPr="00A24E97" w14:paraId="4BCC3B22" w14:textId="77777777" w:rsidTr="003D45F4">
        <w:trPr>
          <w:trHeight w:val="300"/>
        </w:trPr>
        <w:tc>
          <w:tcPr>
            <w:tcW w:w="2040" w:type="dxa"/>
            <w:shd w:val="clear" w:color="auto" w:fill="auto"/>
            <w:noWrap/>
            <w:vAlign w:val="bottom"/>
            <w:hideMark/>
          </w:tcPr>
          <w:p w14:paraId="3483A44D"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3</w:t>
            </w:r>
          </w:p>
        </w:tc>
        <w:tc>
          <w:tcPr>
            <w:tcW w:w="1220" w:type="dxa"/>
            <w:shd w:val="clear" w:color="auto" w:fill="auto"/>
            <w:noWrap/>
            <w:vAlign w:val="bottom"/>
            <w:hideMark/>
          </w:tcPr>
          <w:p w14:paraId="3942ECF3"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208.44</w:t>
            </w:r>
          </w:p>
        </w:tc>
        <w:tc>
          <w:tcPr>
            <w:tcW w:w="1220" w:type="dxa"/>
            <w:shd w:val="clear" w:color="auto" w:fill="auto"/>
            <w:noWrap/>
            <w:vAlign w:val="bottom"/>
            <w:hideMark/>
          </w:tcPr>
          <w:p w14:paraId="5788EAFC"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251.71</w:t>
            </w:r>
          </w:p>
        </w:tc>
        <w:tc>
          <w:tcPr>
            <w:tcW w:w="1220" w:type="dxa"/>
            <w:shd w:val="clear" w:color="auto" w:fill="auto"/>
            <w:noWrap/>
            <w:vAlign w:val="bottom"/>
            <w:hideMark/>
          </w:tcPr>
          <w:p w14:paraId="3AABB50A"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241.73</w:t>
            </w:r>
          </w:p>
        </w:tc>
        <w:tc>
          <w:tcPr>
            <w:tcW w:w="1220" w:type="dxa"/>
            <w:shd w:val="clear" w:color="auto" w:fill="auto"/>
            <w:noWrap/>
            <w:vAlign w:val="bottom"/>
            <w:hideMark/>
          </w:tcPr>
          <w:p w14:paraId="684D2542"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246.92</w:t>
            </w:r>
          </w:p>
        </w:tc>
        <w:tc>
          <w:tcPr>
            <w:tcW w:w="1560" w:type="dxa"/>
            <w:shd w:val="clear" w:color="auto" w:fill="auto"/>
            <w:noWrap/>
            <w:vAlign w:val="bottom"/>
            <w:hideMark/>
          </w:tcPr>
          <w:p w14:paraId="729B5301" w14:textId="710CE828" w:rsidR="007C1FC2" w:rsidRPr="00A24E97" w:rsidRDefault="009E3D73" w:rsidP="003D45F4">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7C1FC2" w:rsidRPr="00A24E97" w14:paraId="6ABC7855" w14:textId="77777777" w:rsidTr="003D45F4">
        <w:trPr>
          <w:trHeight w:val="300"/>
        </w:trPr>
        <w:tc>
          <w:tcPr>
            <w:tcW w:w="2040" w:type="dxa"/>
            <w:shd w:val="clear" w:color="auto" w:fill="auto"/>
            <w:noWrap/>
            <w:vAlign w:val="bottom"/>
            <w:hideMark/>
          </w:tcPr>
          <w:p w14:paraId="7505653C"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sidRPr="00A24E97">
              <w:rPr>
                <w:rFonts w:ascii="Calibri" w:eastAsia="Times New Roman" w:hAnsi="Calibri" w:cs="Calibri"/>
                <w:b/>
                <w:bCs/>
                <w:color w:val="000000"/>
                <w:lang w:val="en-US"/>
              </w:rPr>
              <w:t>4</w:t>
            </w:r>
          </w:p>
        </w:tc>
        <w:tc>
          <w:tcPr>
            <w:tcW w:w="1220" w:type="dxa"/>
            <w:shd w:val="clear" w:color="auto" w:fill="auto"/>
            <w:noWrap/>
            <w:vAlign w:val="bottom"/>
            <w:hideMark/>
          </w:tcPr>
          <w:p w14:paraId="6B099F7D" w14:textId="77777777" w:rsidR="007C1FC2" w:rsidRPr="00A24E97" w:rsidRDefault="007C1FC2" w:rsidP="003D45F4">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w:t>
            </w:r>
          </w:p>
        </w:tc>
        <w:tc>
          <w:tcPr>
            <w:tcW w:w="1220" w:type="dxa"/>
            <w:shd w:val="clear" w:color="auto" w:fill="auto"/>
            <w:noWrap/>
            <w:vAlign w:val="bottom"/>
            <w:hideMark/>
          </w:tcPr>
          <w:p w14:paraId="6B385F71" w14:textId="77777777" w:rsidR="007C1FC2" w:rsidRPr="00A24E97" w:rsidRDefault="007C1FC2" w:rsidP="003D45F4">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1220" w:type="dxa"/>
            <w:shd w:val="clear" w:color="auto" w:fill="auto"/>
            <w:noWrap/>
            <w:vAlign w:val="bottom"/>
            <w:hideMark/>
          </w:tcPr>
          <w:p w14:paraId="6CB25494"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258.81</w:t>
            </w:r>
          </w:p>
        </w:tc>
        <w:tc>
          <w:tcPr>
            <w:tcW w:w="1220" w:type="dxa"/>
            <w:shd w:val="clear" w:color="auto" w:fill="auto"/>
            <w:noWrap/>
            <w:vAlign w:val="bottom"/>
            <w:hideMark/>
          </w:tcPr>
          <w:p w14:paraId="1063AC94" w14:textId="77777777" w:rsidR="007C1FC2" w:rsidRPr="00A24E97" w:rsidRDefault="007C1FC2" w:rsidP="003D45F4">
            <w:pPr>
              <w:spacing w:after="0" w:line="240" w:lineRule="auto"/>
              <w:jc w:val="center"/>
              <w:rPr>
                <w:rFonts w:ascii="Calibri" w:eastAsia="Times New Roman" w:hAnsi="Calibri" w:cs="Calibri"/>
                <w:color w:val="000000"/>
                <w:lang w:val="en-US"/>
              </w:rPr>
            </w:pPr>
            <w:r w:rsidRPr="00A24E97">
              <w:rPr>
                <w:rFonts w:ascii="Calibri" w:eastAsia="Times New Roman" w:hAnsi="Calibri" w:cs="Calibri"/>
                <w:color w:val="000000"/>
                <w:lang w:val="en-US"/>
              </w:rPr>
              <w:t>249.1</w:t>
            </w:r>
          </w:p>
        </w:tc>
        <w:tc>
          <w:tcPr>
            <w:tcW w:w="1560" w:type="dxa"/>
            <w:shd w:val="clear" w:color="auto" w:fill="auto"/>
            <w:noWrap/>
            <w:vAlign w:val="bottom"/>
            <w:hideMark/>
          </w:tcPr>
          <w:p w14:paraId="5AE05227" w14:textId="208A4188" w:rsidR="007C1FC2" w:rsidRPr="00A24E97" w:rsidRDefault="009E3D73" w:rsidP="003D45F4">
            <w:pPr>
              <w:keepNext/>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bl>
    <w:p w14:paraId="5B6150BC" w14:textId="7BBE9027" w:rsidR="007C1FC2" w:rsidRDefault="007C1FC2" w:rsidP="007C1FC2">
      <w:pPr>
        <w:pStyle w:val="Caption"/>
      </w:pPr>
      <w:r>
        <w:t xml:space="preserve">Table </w:t>
      </w:r>
      <w:r w:rsidR="00C42C57">
        <w:fldChar w:fldCharType="begin"/>
      </w:r>
      <w:r w:rsidR="00C42C57">
        <w:instrText xml:space="preserve"> SEQ Figure \* ARABIC </w:instrText>
      </w:r>
      <w:r w:rsidR="00C42C57">
        <w:fldChar w:fldCharType="separate"/>
      </w:r>
      <w:r w:rsidR="00D96A59">
        <w:rPr>
          <w:noProof/>
        </w:rPr>
        <w:t>3</w:t>
      </w:r>
      <w:r w:rsidR="00C42C57">
        <w:rPr>
          <w:noProof/>
        </w:rPr>
        <w:fldChar w:fldCharType="end"/>
      </w:r>
      <w:r>
        <w:t>: Allowed energies for a two-well lattice of depth 300eV and width 0.05nm with varying separation.</w:t>
      </w:r>
    </w:p>
    <w:p w14:paraId="2CD9FBF5" w14:textId="2BF4C836" w:rsidR="00874B64" w:rsidRDefault="007C1FC2" w:rsidP="007C1FC2">
      <w:pPr>
        <w:pStyle w:val="Heading3"/>
      </w:pPr>
      <w:bookmarkStart w:id="6" w:name="_Toc512982050"/>
      <w:r>
        <w:lastRenderedPageBreak/>
        <w:t>Waveforms</w:t>
      </w:r>
      <w:bookmarkEnd w:id="6"/>
    </w:p>
    <w:p w14:paraId="4FCDBE4C" w14:textId="77777777" w:rsidR="007C1FC2" w:rsidRPr="00EB51DA" w:rsidRDefault="007C1FC2" w:rsidP="007C1FC2">
      <w:pPr>
        <w:rPr>
          <w:rFonts w:cstheme="minorHAnsi"/>
        </w:rPr>
      </w:pPr>
      <w:r w:rsidRPr="00EB51DA">
        <w:rPr>
          <w:rFonts w:cstheme="minorHAnsi"/>
        </w:rPr>
        <w:t>The wavefunctions for the double well were similar to those in the single well of the same dimensions (see figures 3&amp;4).</w:t>
      </w:r>
    </w:p>
    <w:p w14:paraId="230A3AAF" w14:textId="77777777" w:rsidR="007C1FC2" w:rsidRPr="00041E1F" w:rsidRDefault="007C1FC2" w:rsidP="007C1FC2">
      <w:pPr>
        <w:rPr>
          <w:rFonts w:cstheme="minorHAnsi"/>
        </w:rPr>
      </w:pPr>
      <w:r w:rsidRPr="00041E1F">
        <w:rPr>
          <w:rFonts w:cstheme="minorHAnsi"/>
        </w:rPr>
        <w:t xml:space="preserve">It looks like the waves in the double well are the same as in the single well but have continued propagating through the wells, repeating periodically. There are four energy levels in the double-well lattice, two of which mirror exactly the shape of the single well and two others that are the inverse of the single well shapes. </w:t>
      </w:r>
    </w:p>
    <w:p w14:paraId="5A7A1394" w14:textId="77AB0C32" w:rsidR="007C1FC2" w:rsidRPr="00041E1F" w:rsidRDefault="007C1FC2" w:rsidP="007C1FC2">
      <w:pPr>
        <w:rPr>
          <w:rFonts w:cstheme="minorHAnsi"/>
        </w:rPr>
      </w:pPr>
      <w:r w:rsidRPr="00041E1F">
        <w:rPr>
          <w:rFonts w:cstheme="minorHAnsi"/>
        </w:rPr>
        <w:t xml:space="preserve">Bloch’s theorem states that each wavefunction is an energy eigenstate </w:t>
      </w:r>
      <w:sdt>
        <w:sdtPr>
          <w:rPr>
            <w:rFonts w:cstheme="minorHAnsi"/>
          </w:rPr>
          <w:id w:val="2008166964"/>
          <w:citation/>
        </w:sdtPr>
        <w:sdtEndPr/>
        <w:sdtContent>
          <w:r w:rsidRPr="00041E1F">
            <w:rPr>
              <w:rFonts w:cstheme="minorHAnsi"/>
            </w:rPr>
            <w:fldChar w:fldCharType="begin"/>
          </w:r>
          <w:r w:rsidRPr="00041E1F">
            <w:rPr>
              <w:rFonts w:cstheme="minorHAnsi"/>
              <w:lang w:val="en-US"/>
            </w:rPr>
            <w:instrText xml:space="preserve"> CITATION Fel28 \l 1033 </w:instrText>
          </w:r>
          <w:r w:rsidRPr="00041E1F">
            <w:rPr>
              <w:rFonts w:cstheme="minorHAnsi"/>
            </w:rPr>
            <w:fldChar w:fldCharType="separate"/>
          </w:r>
          <w:r w:rsidR="001D400B" w:rsidRPr="001D400B">
            <w:rPr>
              <w:rFonts w:cstheme="minorHAnsi"/>
              <w:noProof/>
              <w:lang w:val="en-US"/>
            </w:rPr>
            <w:t>[1]</w:t>
          </w:r>
          <w:r w:rsidRPr="00041E1F">
            <w:rPr>
              <w:rFonts w:cstheme="minorHAnsi"/>
            </w:rPr>
            <w:fldChar w:fldCharType="end"/>
          </w:r>
        </w:sdtContent>
      </w:sdt>
      <w:r w:rsidRPr="00041E1F">
        <w:rPr>
          <w:rFonts w:cstheme="minorHAnsi"/>
        </w:rPr>
        <w:t xml:space="preserve"> (i.e. corresponding to an eigenvalue of a wavefunction) and that each wave may be described by a Bloch function (see equation 1). Bloch functions may be used to calculate the predicted behaviour of electron’s in a periodic lattice helping to understand the properties of the material they reside in.</w:t>
      </w:r>
    </w:p>
    <w:p w14:paraId="22591D82" w14:textId="77777777" w:rsidR="007C1FC2" w:rsidRDefault="007C1FC2">
      <w:pPr>
        <w:rPr>
          <w:rFonts w:cstheme="minorHAnsi"/>
        </w:rPr>
      </w:pPr>
    </w:p>
    <w:p w14:paraId="48336801" w14:textId="5213D876" w:rsidR="00A956DC" w:rsidRDefault="00A956DC" w:rsidP="00A956DC">
      <w:pPr>
        <w:keepNext/>
      </w:pPr>
      <w:r>
        <w:rPr>
          <w:noProof/>
        </w:rPr>
        <w:drawing>
          <wp:inline distT="0" distB="0" distL="0" distR="0" wp14:anchorId="6C812694" wp14:editId="64DE1620">
            <wp:extent cx="3365550" cy="2126121"/>
            <wp:effectExtent l="19050" t="19050" r="2540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5550" cy="2126121"/>
                    </a:xfrm>
                    <a:prstGeom prst="rect">
                      <a:avLst/>
                    </a:prstGeom>
                    <a:ln>
                      <a:solidFill>
                        <a:schemeClr val="tx1"/>
                      </a:solidFill>
                    </a:ln>
                  </pic:spPr>
                </pic:pic>
              </a:graphicData>
            </a:graphic>
          </wp:inline>
        </w:drawing>
      </w:r>
    </w:p>
    <w:p w14:paraId="3A0551FF" w14:textId="03FABD20" w:rsidR="00A956DC" w:rsidRDefault="00A956DC" w:rsidP="00A956DC">
      <w:pPr>
        <w:pStyle w:val="Caption"/>
        <w:rPr>
          <w:rFonts w:cstheme="minorHAnsi"/>
          <w:b/>
          <w:sz w:val="24"/>
        </w:rPr>
      </w:pPr>
      <w:r>
        <w:t xml:space="preserve">Figure </w:t>
      </w:r>
      <w:r w:rsidR="007C1FC2">
        <w:t>4</w:t>
      </w:r>
      <w:r>
        <w:t>: Wavefunctions for a double well of depth 300eV, width 0.2nm and separation 0.1nm</w:t>
      </w:r>
    </w:p>
    <w:p w14:paraId="70CB9D1F" w14:textId="506016AF" w:rsidR="00A956DC" w:rsidRDefault="00A956DC" w:rsidP="00A956DC">
      <w:pPr>
        <w:keepNext/>
      </w:pPr>
      <w:r>
        <w:rPr>
          <w:noProof/>
        </w:rPr>
        <w:drawing>
          <wp:inline distT="0" distB="0" distL="0" distR="0" wp14:anchorId="7AE05B6D" wp14:editId="5D292577">
            <wp:extent cx="3376199" cy="2154169"/>
            <wp:effectExtent l="19050" t="19050" r="1524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6199" cy="2154169"/>
                    </a:xfrm>
                    <a:prstGeom prst="rect">
                      <a:avLst/>
                    </a:prstGeom>
                    <a:ln>
                      <a:solidFill>
                        <a:schemeClr val="tx1"/>
                      </a:solidFill>
                    </a:ln>
                  </pic:spPr>
                </pic:pic>
              </a:graphicData>
            </a:graphic>
          </wp:inline>
        </w:drawing>
      </w:r>
    </w:p>
    <w:p w14:paraId="252EDCF4" w14:textId="4BD2466A" w:rsidR="00AD03AD" w:rsidRDefault="00A956DC" w:rsidP="00A956DC">
      <w:pPr>
        <w:pStyle w:val="Caption"/>
      </w:pPr>
      <w:r>
        <w:t xml:space="preserve">Figure </w:t>
      </w:r>
      <w:r w:rsidR="007C1FC2">
        <w:t>5</w:t>
      </w:r>
      <w:r>
        <w:t>: Wavefunctions for a single well of depth 300eV and width 0.2nm</w:t>
      </w:r>
    </w:p>
    <w:p w14:paraId="7EF961BB" w14:textId="4898B2DC" w:rsidR="0071528A" w:rsidRDefault="0071528A">
      <w:pPr>
        <w:rPr>
          <w:rFonts w:cstheme="minorHAnsi"/>
          <w:sz w:val="24"/>
        </w:rPr>
      </w:pPr>
    </w:p>
    <w:p w14:paraId="25127AB7" w14:textId="2C4ED2B7" w:rsidR="0071528A" w:rsidRPr="002C1C42" w:rsidRDefault="00D75184">
      <w:pPr>
        <w:rPr>
          <w:rFonts w:cstheme="minorHAnsi"/>
        </w:rPr>
      </w:pPr>
      <w:r w:rsidRPr="002C1C42">
        <w:rPr>
          <w:rFonts w:cstheme="minorHAnsi"/>
        </w:rPr>
        <w:t>This shows that electron behaviour in a material is periodic and hence predictable.</w:t>
      </w:r>
    </w:p>
    <w:p w14:paraId="3459E583" w14:textId="77C69B91" w:rsidR="0071528A" w:rsidRDefault="0071528A">
      <w:pPr>
        <w:rPr>
          <w:rFonts w:cstheme="minorHAnsi"/>
          <w:sz w:val="24"/>
        </w:rPr>
      </w:pPr>
    </w:p>
    <w:p w14:paraId="0FE71341" w14:textId="68FF61ED" w:rsidR="009E17CB" w:rsidRDefault="009E17CB" w:rsidP="009E17CB">
      <w:pPr>
        <w:pStyle w:val="Heading2"/>
      </w:pPr>
      <w:bookmarkStart w:id="7" w:name="_Toc512982051"/>
      <w:r w:rsidRPr="009E17CB">
        <w:lastRenderedPageBreak/>
        <w:t>Part Two</w:t>
      </w:r>
      <w:r w:rsidR="00AA133B">
        <w:t xml:space="preserve"> – </w:t>
      </w:r>
      <w:r w:rsidR="007119D6">
        <w:t>Regular Lattice of Wells</w:t>
      </w:r>
      <w:bookmarkEnd w:id="7"/>
    </w:p>
    <w:p w14:paraId="118A35D1" w14:textId="3D299BC8" w:rsidR="006760F2" w:rsidRDefault="006760F2" w:rsidP="006760F2"/>
    <w:p w14:paraId="5CCEC0A7" w14:textId="499B306A" w:rsidR="00E33AB8" w:rsidRDefault="000F055F" w:rsidP="006760F2">
      <w:r>
        <w:t xml:space="preserve">A regular lattice of a greater number of wells allowed for a greater number of </w:t>
      </w:r>
      <w:r w:rsidR="00E33AB8">
        <w:t>allowable</w:t>
      </w:r>
      <w:r>
        <w:t xml:space="preserve"> energy levels. </w:t>
      </w:r>
      <w:r w:rsidR="00F1458D">
        <w:t xml:space="preserve">The well dimensions were all 300eV deep, 0.05nm wide and 0.05nm apart. </w:t>
      </w:r>
      <w:r>
        <w:t xml:space="preserve">The energy levels were discretely grouped into two “bands” and the number of energy levels in each band were directly proportional to the number of wells. </w:t>
      </w:r>
      <w:r w:rsidR="00133979">
        <w:t>As discussed in Part One of the discussion the increased energy levels are explained by Pauli’s Exclusion principle.</w:t>
      </w:r>
      <w:r w:rsidR="00F03D2B">
        <w:t xml:space="preserve"> </w:t>
      </w:r>
    </w:p>
    <w:p w14:paraId="60874DFB" w14:textId="619D284D" w:rsidR="006E7285" w:rsidRDefault="00E0145F" w:rsidP="006760F2">
      <w:r>
        <w:t xml:space="preserve">The energy levels are distinctly grouped into two “bands” which may be described as </w:t>
      </w:r>
      <w:r w:rsidR="00E33AB8">
        <w:t xml:space="preserve">the conduction and valence bands of the material </w:t>
      </w:r>
      <w:r>
        <w:t>being modelled</w:t>
      </w:r>
      <w:r w:rsidR="00E33AB8">
        <w:t>.</w:t>
      </w:r>
      <w:r w:rsidR="00EB4389">
        <w:t xml:space="preserve"> </w:t>
      </w:r>
      <w:r w:rsidR="00A73C31">
        <w:t xml:space="preserve">Valence electrons are those electrons that reside in outer most “complete” shell of an atom. Conduction electrons are those that reside in an incomplete outer shell of an atom and so are “loose” and may be transferred to other atoms. Therefore, the more electrons in the conduction band of a lattice, the greater the current carrying capacity of that </w:t>
      </w:r>
      <w:r w:rsidR="0004022C">
        <w:t>lattice structure or material</w:t>
      </w:r>
      <w:r w:rsidR="00A73C31">
        <w:t>.</w:t>
      </w:r>
    </w:p>
    <w:p w14:paraId="04BB316F" w14:textId="19C243DD" w:rsidR="00F03D2B" w:rsidRDefault="00F03D2B" w:rsidP="00F03D2B">
      <w:r>
        <w:t xml:space="preserve">The number of levels is proportional to the number of wells in the lattice, where n is the number of wells, the number of energy levels is 2n (see table 6). </w:t>
      </w:r>
    </w:p>
    <w:tbl>
      <w:tblPr>
        <w:tblStyle w:val="TableGrid"/>
        <w:tblW w:w="0" w:type="auto"/>
        <w:tblLook w:val="04A0" w:firstRow="1" w:lastRow="0" w:firstColumn="1" w:lastColumn="0" w:noHBand="0" w:noVBand="1"/>
      </w:tblPr>
      <w:tblGrid>
        <w:gridCol w:w="4508"/>
        <w:gridCol w:w="4508"/>
      </w:tblGrid>
      <w:tr w:rsidR="00F03D2B" w14:paraId="2A7EA985" w14:textId="77777777" w:rsidTr="00F03D2B">
        <w:tc>
          <w:tcPr>
            <w:tcW w:w="4508" w:type="dxa"/>
          </w:tcPr>
          <w:p w14:paraId="2CF54ED3" w14:textId="36BB32E0" w:rsidR="00F03D2B" w:rsidRPr="00F03D2B" w:rsidRDefault="00F03D2B" w:rsidP="006760F2">
            <w:pPr>
              <w:rPr>
                <w:b/>
              </w:rPr>
            </w:pPr>
            <w:r w:rsidRPr="00F03D2B">
              <w:rPr>
                <w:b/>
              </w:rPr>
              <w:t>Number of Wells</w:t>
            </w:r>
          </w:p>
        </w:tc>
        <w:tc>
          <w:tcPr>
            <w:tcW w:w="4508" w:type="dxa"/>
          </w:tcPr>
          <w:p w14:paraId="59DDBBE8" w14:textId="664B669F" w:rsidR="00F03D2B" w:rsidRPr="00F03D2B" w:rsidRDefault="00F03D2B" w:rsidP="006760F2">
            <w:pPr>
              <w:rPr>
                <w:b/>
              </w:rPr>
            </w:pPr>
            <w:r w:rsidRPr="00F03D2B">
              <w:rPr>
                <w:b/>
              </w:rPr>
              <w:t>Number of States per Group</w:t>
            </w:r>
          </w:p>
        </w:tc>
      </w:tr>
      <w:tr w:rsidR="00F03D2B" w14:paraId="2F6DF20E" w14:textId="77777777" w:rsidTr="00F03D2B">
        <w:tc>
          <w:tcPr>
            <w:tcW w:w="4508" w:type="dxa"/>
          </w:tcPr>
          <w:p w14:paraId="583A1EEB" w14:textId="75ACBE5F" w:rsidR="00F03D2B" w:rsidRDefault="00F03D2B" w:rsidP="006760F2">
            <w:r>
              <w:t>1</w:t>
            </w:r>
          </w:p>
        </w:tc>
        <w:tc>
          <w:tcPr>
            <w:tcW w:w="4508" w:type="dxa"/>
          </w:tcPr>
          <w:p w14:paraId="48C101C6" w14:textId="34E059B1" w:rsidR="00F03D2B" w:rsidRDefault="00F03D2B" w:rsidP="006760F2">
            <w:r>
              <w:t>1</w:t>
            </w:r>
          </w:p>
        </w:tc>
      </w:tr>
      <w:tr w:rsidR="00F03D2B" w14:paraId="61AB7ACF" w14:textId="77777777" w:rsidTr="00F03D2B">
        <w:tc>
          <w:tcPr>
            <w:tcW w:w="4508" w:type="dxa"/>
          </w:tcPr>
          <w:p w14:paraId="27EBD6DC" w14:textId="2D112035" w:rsidR="00F03D2B" w:rsidRDefault="00F03D2B" w:rsidP="006760F2">
            <w:r>
              <w:t>4</w:t>
            </w:r>
          </w:p>
        </w:tc>
        <w:tc>
          <w:tcPr>
            <w:tcW w:w="4508" w:type="dxa"/>
          </w:tcPr>
          <w:p w14:paraId="1D9E6C3F" w14:textId="1DDD9AB1" w:rsidR="00F03D2B" w:rsidRDefault="00F03D2B" w:rsidP="006760F2">
            <w:r>
              <w:t>4</w:t>
            </w:r>
          </w:p>
        </w:tc>
      </w:tr>
      <w:tr w:rsidR="00F03D2B" w14:paraId="76B05CFD" w14:textId="77777777" w:rsidTr="00F03D2B">
        <w:tc>
          <w:tcPr>
            <w:tcW w:w="4508" w:type="dxa"/>
          </w:tcPr>
          <w:p w14:paraId="0A9353CF" w14:textId="050D6793" w:rsidR="00F03D2B" w:rsidRDefault="00F03D2B" w:rsidP="006760F2">
            <w:r>
              <w:t>6</w:t>
            </w:r>
          </w:p>
        </w:tc>
        <w:tc>
          <w:tcPr>
            <w:tcW w:w="4508" w:type="dxa"/>
          </w:tcPr>
          <w:p w14:paraId="5102E24C" w14:textId="59844567" w:rsidR="00F03D2B" w:rsidRDefault="00F03D2B" w:rsidP="006760F2">
            <w:r>
              <w:t>6</w:t>
            </w:r>
          </w:p>
        </w:tc>
      </w:tr>
      <w:tr w:rsidR="00F03D2B" w14:paraId="57C8F7DA" w14:textId="77777777" w:rsidTr="00F03D2B">
        <w:tc>
          <w:tcPr>
            <w:tcW w:w="4508" w:type="dxa"/>
          </w:tcPr>
          <w:p w14:paraId="66EC5EE1" w14:textId="5568E9DB" w:rsidR="00F03D2B" w:rsidRDefault="00F03D2B" w:rsidP="006760F2">
            <w:r>
              <w:t>12</w:t>
            </w:r>
          </w:p>
        </w:tc>
        <w:tc>
          <w:tcPr>
            <w:tcW w:w="4508" w:type="dxa"/>
          </w:tcPr>
          <w:p w14:paraId="1500B914" w14:textId="11774DBB" w:rsidR="00F03D2B" w:rsidRDefault="00F03D2B" w:rsidP="006760F2">
            <w:r>
              <w:t>12</w:t>
            </w:r>
          </w:p>
        </w:tc>
      </w:tr>
    </w:tbl>
    <w:p w14:paraId="71FA840F" w14:textId="772E38C9" w:rsidR="00F03D2B" w:rsidRDefault="00F03D2B" w:rsidP="006760F2">
      <w:pPr>
        <w:rPr>
          <w:i/>
          <w:sz w:val="18"/>
        </w:rPr>
      </w:pPr>
      <w:r w:rsidRPr="00F03D2B">
        <w:rPr>
          <w:i/>
          <w:sz w:val="18"/>
        </w:rPr>
        <w:t>Table 6: Number of allowable energy levels for a periodic lattice of wells</w:t>
      </w:r>
    </w:p>
    <w:p w14:paraId="75369028" w14:textId="30830042" w:rsidR="002F00B3" w:rsidRDefault="002F00B3" w:rsidP="006760F2">
      <w:r w:rsidRPr="00DF6FF6">
        <w:t>The magnitude of the</w:t>
      </w:r>
      <w:r w:rsidR="005E211E">
        <w:t xml:space="preserve"> “boundary”</w:t>
      </w:r>
      <w:r w:rsidRPr="00DF6FF6">
        <w:t xml:space="preserve"> energy levels </w:t>
      </w:r>
      <w:r w:rsidR="005E211E">
        <w:t>were</w:t>
      </w:r>
      <w:r w:rsidRPr="00DF6FF6">
        <w:t xml:space="preserve"> similar to that of a single well and double well for lattices of sizes 4, 6 &amp; 12 (see tables</w:t>
      </w:r>
      <w:r w:rsidR="00DF6FF6">
        <w:t xml:space="preserve"> 5 &amp; 7).</w:t>
      </w:r>
      <w:r w:rsidR="00584554">
        <w:t xml:space="preserve"> These are the energy levels that are on the boundaries of the two distinct energy bands.</w:t>
      </w: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294"/>
        <w:gridCol w:w="1293"/>
        <w:gridCol w:w="1293"/>
      </w:tblGrid>
      <w:tr w:rsidR="00C53F09" w:rsidRPr="00C53F09" w14:paraId="7744BA40" w14:textId="77777777" w:rsidTr="00C53F09">
        <w:trPr>
          <w:trHeight w:val="300"/>
        </w:trPr>
        <w:tc>
          <w:tcPr>
            <w:tcW w:w="1900" w:type="dxa"/>
            <w:shd w:val="clear" w:color="DDEBF7" w:fill="DDEBF7"/>
            <w:noWrap/>
            <w:vAlign w:val="center"/>
            <w:hideMark/>
          </w:tcPr>
          <w:p w14:paraId="245091C7"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 </w:t>
            </w:r>
          </w:p>
        </w:tc>
        <w:tc>
          <w:tcPr>
            <w:tcW w:w="3880" w:type="dxa"/>
            <w:gridSpan w:val="3"/>
            <w:shd w:val="clear" w:color="DDEBF7" w:fill="DDEBF7"/>
            <w:noWrap/>
            <w:vAlign w:val="center"/>
            <w:hideMark/>
          </w:tcPr>
          <w:p w14:paraId="41F536D1"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Number of Wells</w:t>
            </w:r>
          </w:p>
        </w:tc>
      </w:tr>
      <w:tr w:rsidR="00C53F09" w:rsidRPr="00C53F09" w14:paraId="2C10A5C5" w14:textId="77777777" w:rsidTr="00C53F09">
        <w:trPr>
          <w:trHeight w:val="300"/>
        </w:trPr>
        <w:tc>
          <w:tcPr>
            <w:tcW w:w="1900" w:type="dxa"/>
            <w:shd w:val="clear" w:color="auto" w:fill="auto"/>
            <w:noWrap/>
            <w:vAlign w:val="center"/>
            <w:hideMark/>
          </w:tcPr>
          <w:p w14:paraId="22AA30A6" w14:textId="0F023A2D" w:rsidR="00C53F09" w:rsidRPr="00C53F09" w:rsidRDefault="003327C7" w:rsidP="00C53F09">
            <w:pPr>
              <w:spacing w:after="0" w:line="240" w:lineRule="auto"/>
              <w:jc w:val="center"/>
              <w:rPr>
                <w:rFonts w:ascii="Calibri" w:eastAsia="Times New Roman" w:hAnsi="Calibri" w:cs="Calibri"/>
                <w:b/>
                <w:bCs/>
                <w:color w:val="2F75B5"/>
                <w:lang w:val="en-US"/>
              </w:rPr>
            </w:pPr>
            <w:r>
              <w:rPr>
                <w:rFonts w:ascii="Calibri" w:eastAsia="Times New Roman" w:hAnsi="Calibri" w:cs="Calibri"/>
                <w:b/>
                <w:bCs/>
                <w:color w:val="2F75B5"/>
                <w:lang w:val="en-US"/>
              </w:rPr>
              <w:t>Boundary States</w:t>
            </w:r>
          </w:p>
        </w:tc>
        <w:tc>
          <w:tcPr>
            <w:tcW w:w="1294" w:type="dxa"/>
            <w:shd w:val="clear" w:color="auto" w:fill="auto"/>
            <w:noWrap/>
            <w:vAlign w:val="center"/>
            <w:hideMark/>
          </w:tcPr>
          <w:p w14:paraId="76190C78"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4</w:t>
            </w:r>
          </w:p>
        </w:tc>
        <w:tc>
          <w:tcPr>
            <w:tcW w:w="1293" w:type="dxa"/>
            <w:shd w:val="clear" w:color="auto" w:fill="auto"/>
            <w:noWrap/>
            <w:vAlign w:val="center"/>
            <w:hideMark/>
          </w:tcPr>
          <w:p w14:paraId="3A005254"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6</w:t>
            </w:r>
          </w:p>
        </w:tc>
        <w:tc>
          <w:tcPr>
            <w:tcW w:w="1293" w:type="dxa"/>
            <w:shd w:val="clear" w:color="auto" w:fill="auto"/>
            <w:noWrap/>
            <w:vAlign w:val="center"/>
            <w:hideMark/>
          </w:tcPr>
          <w:p w14:paraId="3963285F" w14:textId="77777777" w:rsidR="00C53F09" w:rsidRPr="00C53F09" w:rsidRDefault="00C53F09" w:rsidP="00C53F09">
            <w:pPr>
              <w:spacing w:after="0" w:line="240" w:lineRule="auto"/>
              <w:jc w:val="center"/>
              <w:rPr>
                <w:rFonts w:ascii="Calibri" w:eastAsia="Times New Roman" w:hAnsi="Calibri" w:cs="Calibri"/>
                <w:b/>
                <w:bCs/>
                <w:color w:val="2F75B5"/>
                <w:lang w:val="en-US"/>
              </w:rPr>
            </w:pPr>
            <w:r w:rsidRPr="00C53F09">
              <w:rPr>
                <w:rFonts w:ascii="Calibri" w:eastAsia="Times New Roman" w:hAnsi="Calibri" w:cs="Calibri"/>
                <w:b/>
                <w:bCs/>
                <w:color w:val="2F75B5"/>
                <w:lang w:val="en-US"/>
              </w:rPr>
              <w:t>12</w:t>
            </w:r>
          </w:p>
        </w:tc>
      </w:tr>
      <w:tr w:rsidR="00C53F09" w:rsidRPr="00C53F09" w14:paraId="57C08610" w14:textId="77777777" w:rsidTr="00C53F09">
        <w:trPr>
          <w:trHeight w:val="300"/>
        </w:trPr>
        <w:tc>
          <w:tcPr>
            <w:tcW w:w="1900" w:type="dxa"/>
            <w:shd w:val="clear" w:color="DDEBF7" w:fill="DDEBF7"/>
            <w:noWrap/>
            <w:vAlign w:val="center"/>
            <w:hideMark/>
          </w:tcPr>
          <w:p w14:paraId="15B44791"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1</w:t>
            </w:r>
          </w:p>
        </w:tc>
        <w:tc>
          <w:tcPr>
            <w:tcW w:w="1294" w:type="dxa"/>
            <w:shd w:val="clear" w:color="DDEBF7" w:fill="DDEBF7"/>
            <w:noWrap/>
            <w:vAlign w:val="center"/>
            <w:hideMark/>
          </w:tcPr>
          <w:p w14:paraId="402A46B7"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69.58 eV</w:t>
            </w:r>
          </w:p>
        </w:tc>
        <w:tc>
          <w:tcPr>
            <w:tcW w:w="1293" w:type="dxa"/>
            <w:shd w:val="clear" w:color="DDEBF7" w:fill="DDEBF7"/>
            <w:noWrap/>
            <w:vAlign w:val="center"/>
            <w:hideMark/>
          </w:tcPr>
          <w:p w14:paraId="30E7A76F"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66.6 eV</w:t>
            </w:r>
          </w:p>
        </w:tc>
        <w:tc>
          <w:tcPr>
            <w:tcW w:w="1293" w:type="dxa"/>
            <w:shd w:val="clear" w:color="DDEBF7" w:fill="DDEBF7"/>
            <w:noWrap/>
            <w:vAlign w:val="center"/>
            <w:hideMark/>
          </w:tcPr>
          <w:p w14:paraId="420F15B5"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67.93 eV</w:t>
            </w:r>
          </w:p>
        </w:tc>
      </w:tr>
      <w:tr w:rsidR="00C53F09" w:rsidRPr="00C53F09" w14:paraId="3A0F175C" w14:textId="77777777" w:rsidTr="00C53F09">
        <w:trPr>
          <w:trHeight w:val="300"/>
        </w:trPr>
        <w:tc>
          <w:tcPr>
            <w:tcW w:w="1900" w:type="dxa"/>
            <w:shd w:val="clear" w:color="auto" w:fill="auto"/>
            <w:noWrap/>
            <w:vAlign w:val="center"/>
            <w:hideMark/>
          </w:tcPr>
          <w:p w14:paraId="0FE3EE54" w14:textId="05FEB990" w:rsidR="00C53F09" w:rsidRPr="00C53F09" w:rsidRDefault="003327C7" w:rsidP="00C53F09">
            <w:pPr>
              <w:spacing w:after="0" w:line="240" w:lineRule="auto"/>
              <w:jc w:val="center"/>
              <w:rPr>
                <w:rFonts w:ascii="Calibri" w:eastAsia="Times New Roman" w:hAnsi="Calibri" w:cs="Calibri"/>
                <w:color w:val="2F75B5"/>
                <w:lang w:val="en-US"/>
              </w:rPr>
            </w:pPr>
            <w:r>
              <w:rPr>
                <w:rFonts w:ascii="Calibri" w:eastAsia="Times New Roman" w:hAnsi="Calibri" w:cs="Calibri"/>
                <w:color w:val="2F75B5"/>
                <w:lang w:val="en-US"/>
              </w:rPr>
              <w:t>2</w:t>
            </w:r>
          </w:p>
        </w:tc>
        <w:tc>
          <w:tcPr>
            <w:tcW w:w="1294" w:type="dxa"/>
            <w:shd w:val="clear" w:color="auto" w:fill="auto"/>
            <w:noWrap/>
            <w:vAlign w:val="center"/>
            <w:hideMark/>
          </w:tcPr>
          <w:p w14:paraId="363AD02D"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71.95 eV</w:t>
            </w:r>
          </w:p>
        </w:tc>
        <w:tc>
          <w:tcPr>
            <w:tcW w:w="1293" w:type="dxa"/>
            <w:shd w:val="clear" w:color="auto" w:fill="auto"/>
            <w:noWrap/>
            <w:vAlign w:val="center"/>
            <w:hideMark/>
          </w:tcPr>
          <w:p w14:paraId="09512904"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69.36 eV</w:t>
            </w:r>
          </w:p>
        </w:tc>
        <w:tc>
          <w:tcPr>
            <w:tcW w:w="1293" w:type="dxa"/>
            <w:shd w:val="clear" w:color="auto" w:fill="auto"/>
            <w:noWrap/>
            <w:vAlign w:val="center"/>
            <w:hideMark/>
          </w:tcPr>
          <w:p w14:paraId="099F29B1"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70.82 eV</w:t>
            </w:r>
          </w:p>
        </w:tc>
      </w:tr>
      <w:tr w:rsidR="00C53F09" w:rsidRPr="00C53F09" w14:paraId="07388B48" w14:textId="77777777" w:rsidTr="00C53F09">
        <w:trPr>
          <w:trHeight w:val="300"/>
        </w:trPr>
        <w:tc>
          <w:tcPr>
            <w:tcW w:w="1900" w:type="dxa"/>
            <w:shd w:val="clear" w:color="DDEBF7" w:fill="DDEBF7"/>
            <w:noWrap/>
            <w:vAlign w:val="center"/>
            <w:hideMark/>
          </w:tcPr>
          <w:p w14:paraId="6FFFF6C4" w14:textId="58837A21" w:rsidR="00C53F09" w:rsidRPr="00C53F09" w:rsidRDefault="003327C7" w:rsidP="00C53F09">
            <w:pPr>
              <w:spacing w:after="0" w:line="240" w:lineRule="auto"/>
              <w:jc w:val="center"/>
              <w:rPr>
                <w:rFonts w:ascii="Calibri" w:eastAsia="Times New Roman" w:hAnsi="Calibri" w:cs="Calibri"/>
                <w:color w:val="2F75B5"/>
                <w:lang w:val="en-US"/>
              </w:rPr>
            </w:pPr>
            <w:r>
              <w:rPr>
                <w:rFonts w:ascii="Calibri" w:eastAsia="Times New Roman" w:hAnsi="Calibri" w:cs="Calibri"/>
                <w:color w:val="2F75B5"/>
                <w:lang w:val="en-US"/>
              </w:rPr>
              <w:t>3</w:t>
            </w:r>
          </w:p>
        </w:tc>
        <w:tc>
          <w:tcPr>
            <w:tcW w:w="1294" w:type="dxa"/>
            <w:shd w:val="clear" w:color="DDEBF7" w:fill="DDEBF7"/>
            <w:noWrap/>
            <w:vAlign w:val="center"/>
            <w:hideMark/>
          </w:tcPr>
          <w:p w14:paraId="49AAAEF2"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243.59 eV</w:t>
            </w:r>
          </w:p>
        </w:tc>
        <w:tc>
          <w:tcPr>
            <w:tcW w:w="1293" w:type="dxa"/>
            <w:shd w:val="clear" w:color="DDEBF7" w:fill="DDEBF7"/>
            <w:noWrap/>
            <w:vAlign w:val="center"/>
            <w:hideMark/>
          </w:tcPr>
          <w:p w14:paraId="34064990"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231.34 eV</w:t>
            </w:r>
          </w:p>
        </w:tc>
        <w:tc>
          <w:tcPr>
            <w:tcW w:w="1293" w:type="dxa"/>
            <w:shd w:val="clear" w:color="DDEBF7" w:fill="DDEBF7"/>
            <w:noWrap/>
            <w:vAlign w:val="center"/>
            <w:hideMark/>
          </w:tcPr>
          <w:p w14:paraId="7040F65F"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234.52 eV</w:t>
            </w:r>
          </w:p>
        </w:tc>
      </w:tr>
      <w:tr w:rsidR="00C53F09" w:rsidRPr="00C53F09" w14:paraId="021A9512" w14:textId="77777777" w:rsidTr="00C53F09">
        <w:trPr>
          <w:trHeight w:val="300"/>
        </w:trPr>
        <w:tc>
          <w:tcPr>
            <w:tcW w:w="1900" w:type="dxa"/>
            <w:shd w:val="clear" w:color="auto" w:fill="auto"/>
            <w:noWrap/>
            <w:vAlign w:val="center"/>
            <w:hideMark/>
          </w:tcPr>
          <w:p w14:paraId="1F440ADF" w14:textId="2E62198A" w:rsidR="00C53F09" w:rsidRPr="00C53F09" w:rsidRDefault="003327C7" w:rsidP="00C53F09">
            <w:pPr>
              <w:spacing w:after="0" w:line="240" w:lineRule="auto"/>
              <w:jc w:val="center"/>
              <w:rPr>
                <w:rFonts w:ascii="Calibri" w:eastAsia="Times New Roman" w:hAnsi="Calibri" w:cs="Calibri"/>
                <w:color w:val="2F75B5"/>
                <w:lang w:val="en-US"/>
              </w:rPr>
            </w:pPr>
            <w:r>
              <w:rPr>
                <w:rFonts w:ascii="Calibri" w:eastAsia="Times New Roman" w:hAnsi="Calibri" w:cs="Calibri"/>
                <w:color w:val="2F75B5"/>
                <w:lang w:val="en-US"/>
              </w:rPr>
              <w:t>4</w:t>
            </w:r>
          </w:p>
        </w:tc>
        <w:tc>
          <w:tcPr>
            <w:tcW w:w="1294" w:type="dxa"/>
            <w:shd w:val="clear" w:color="auto" w:fill="auto"/>
            <w:noWrap/>
            <w:vAlign w:val="center"/>
            <w:hideMark/>
          </w:tcPr>
          <w:p w14:paraId="1061CBF4"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263.35 eV</w:t>
            </w:r>
          </w:p>
        </w:tc>
        <w:tc>
          <w:tcPr>
            <w:tcW w:w="1293" w:type="dxa"/>
            <w:shd w:val="clear" w:color="auto" w:fill="auto"/>
            <w:noWrap/>
            <w:vAlign w:val="center"/>
            <w:hideMark/>
          </w:tcPr>
          <w:p w14:paraId="12DA194C"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258.47 eV</w:t>
            </w:r>
          </w:p>
        </w:tc>
        <w:tc>
          <w:tcPr>
            <w:tcW w:w="1293" w:type="dxa"/>
            <w:shd w:val="clear" w:color="auto" w:fill="auto"/>
            <w:noWrap/>
            <w:vAlign w:val="center"/>
            <w:hideMark/>
          </w:tcPr>
          <w:p w14:paraId="5409414A" w14:textId="77777777" w:rsidR="00C53F09" w:rsidRPr="00C53F09" w:rsidRDefault="00C53F09" w:rsidP="00C53F09">
            <w:pPr>
              <w:spacing w:after="0" w:line="240" w:lineRule="auto"/>
              <w:jc w:val="center"/>
              <w:rPr>
                <w:rFonts w:ascii="Calibri" w:eastAsia="Times New Roman" w:hAnsi="Calibri" w:cs="Calibri"/>
                <w:color w:val="2F75B5"/>
                <w:lang w:val="en-US"/>
              </w:rPr>
            </w:pPr>
            <w:r w:rsidRPr="00C53F09">
              <w:rPr>
                <w:rFonts w:ascii="Calibri" w:eastAsia="Times New Roman" w:hAnsi="Calibri" w:cs="Calibri"/>
                <w:color w:val="2F75B5"/>
                <w:lang w:val="en-US"/>
              </w:rPr>
              <w:t>264.39 eV</w:t>
            </w:r>
          </w:p>
        </w:tc>
      </w:tr>
    </w:tbl>
    <w:p w14:paraId="1B96E7B5" w14:textId="461FC238" w:rsidR="00D758D7" w:rsidRDefault="00F02CC6" w:rsidP="00F02CC6">
      <w:pPr>
        <w:pStyle w:val="Caption"/>
      </w:pPr>
      <w:r>
        <w:t xml:space="preserve">Table </w:t>
      </w:r>
      <w:r w:rsidR="00724936">
        <w:t>7</w:t>
      </w:r>
      <w:r>
        <w:t>: Boundary state energies for a periodic lattice of square wells of depth 300eV, width 0.05nm and separation 0.05nm</w:t>
      </w:r>
    </w:p>
    <w:p w14:paraId="779847D8" w14:textId="26BA014A" w:rsidR="00F02CC6" w:rsidRPr="00F02CC6" w:rsidRDefault="00F02CC6" w:rsidP="00F02CC6">
      <w:r>
        <w:t>Though there is an increase in the number of energy levels the variation in their magnitude is very small.</w:t>
      </w:r>
      <w:r w:rsidR="00FC5FDC">
        <w:t xml:space="preserve"> Compared to those energies calculated using the Kronig-Penney model however we see significant variation (see table 1).</w:t>
      </w:r>
      <w:r w:rsidR="008E39CC">
        <w:t xml:space="preserve"> </w:t>
      </w:r>
    </w:p>
    <w:p w14:paraId="5A615B8F" w14:textId="77777777" w:rsidR="00E47DE6" w:rsidRPr="00E47DE6" w:rsidRDefault="00E47DE6" w:rsidP="001B43E6"/>
    <w:p w14:paraId="678DE841" w14:textId="77777777" w:rsidR="000F7F58" w:rsidRDefault="000F7F58" w:rsidP="001B43E6"/>
    <w:p w14:paraId="39FCA66A" w14:textId="77777777" w:rsidR="001B43E6" w:rsidRDefault="001B43E6" w:rsidP="001B43E6">
      <w:bookmarkStart w:id="8" w:name="_Toc512982052"/>
    </w:p>
    <w:p w14:paraId="3B35348F" w14:textId="77777777" w:rsidR="001B43E6" w:rsidRDefault="001B43E6" w:rsidP="001B43E6"/>
    <w:p w14:paraId="3DEB0B96" w14:textId="77777777" w:rsidR="001B43E6" w:rsidRDefault="001B43E6" w:rsidP="001B43E6"/>
    <w:p w14:paraId="5A9C7084" w14:textId="7D286071" w:rsidR="00C513FC" w:rsidRDefault="00F748EF" w:rsidP="00F748EF">
      <w:pPr>
        <w:pStyle w:val="Heading2"/>
      </w:pPr>
      <w:r>
        <w:lastRenderedPageBreak/>
        <w:t xml:space="preserve">Part Three – </w:t>
      </w:r>
      <w:r w:rsidR="007119D6">
        <w:t>Irregular Lattice of Wells</w:t>
      </w:r>
      <w:bookmarkEnd w:id="8"/>
    </w:p>
    <w:p w14:paraId="1108BEEC" w14:textId="77777777" w:rsidR="001B43E6" w:rsidRPr="001B43E6" w:rsidRDefault="001B43E6" w:rsidP="001B43E6"/>
    <w:p w14:paraId="045828ED" w14:textId="435BD6EA" w:rsidR="00C513FC" w:rsidRDefault="001B43E6" w:rsidP="001B43E6">
      <w:r>
        <w:t>Manipulation of semiconductor behaviour is achieved via “doping”. Doping is where impurities are introduced to a semiconducting element such as silicon or germanium. These impurities may be simulated in the Kronig-Penney model by creating irregularities in an otherwise periodic lattice structure.</w:t>
      </w:r>
    </w:p>
    <w:p w14:paraId="3550A6AD" w14:textId="3B653FBF" w:rsidR="00724936" w:rsidRDefault="00724936" w:rsidP="001B43E6">
      <w:r>
        <w:t>In a twelve well lattice structure of 300eV deep wells of width 0.05nm and separation 0.05nm the depth of the sixth well was made to be 250eV. This irregularity created different boundary energies as compared to the regular twelve well lattice of the same dimensions (see table</w:t>
      </w:r>
      <w:r w:rsidR="003327C7">
        <w:t>s 7 &amp;</w:t>
      </w:r>
      <w:r>
        <w:t xml:space="preserve"> 8).</w:t>
      </w:r>
    </w:p>
    <w:tbl>
      <w:tblPr>
        <w:tblStyle w:val="TableGrid"/>
        <w:tblW w:w="0" w:type="auto"/>
        <w:tblLook w:val="04A0" w:firstRow="1" w:lastRow="0" w:firstColumn="1" w:lastColumn="0" w:noHBand="0" w:noVBand="1"/>
      </w:tblPr>
      <w:tblGrid>
        <w:gridCol w:w="4508"/>
        <w:gridCol w:w="4508"/>
      </w:tblGrid>
      <w:tr w:rsidR="003327C7" w14:paraId="614C1F6F" w14:textId="77777777" w:rsidTr="003327C7">
        <w:tc>
          <w:tcPr>
            <w:tcW w:w="4508" w:type="dxa"/>
          </w:tcPr>
          <w:p w14:paraId="39892BDF" w14:textId="30433D30" w:rsidR="003327C7" w:rsidRPr="003327C7" w:rsidRDefault="003327C7" w:rsidP="001B43E6">
            <w:pPr>
              <w:rPr>
                <w:b/>
              </w:rPr>
            </w:pPr>
            <w:r w:rsidRPr="003327C7">
              <w:rPr>
                <w:b/>
              </w:rPr>
              <w:t>Quantum Number (n)</w:t>
            </w:r>
          </w:p>
        </w:tc>
        <w:tc>
          <w:tcPr>
            <w:tcW w:w="4508" w:type="dxa"/>
          </w:tcPr>
          <w:p w14:paraId="5E64EFB0" w14:textId="7A83A393" w:rsidR="003327C7" w:rsidRPr="003327C7" w:rsidRDefault="003327C7" w:rsidP="001B43E6">
            <w:pPr>
              <w:rPr>
                <w:b/>
              </w:rPr>
            </w:pPr>
            <w:r w:rsidRPr="003327C7">
              <w:rPr>
                <w:b/>
              </w:rPr>
              <w:t>Energy (eV)</w:t>
            </w:r>
          </w:p>
        </w:tc>
      </w:tr>
      <w:tr w:rsidR="003327C7" w14:paraId="37E3F5FA" w14:textId="77777777" w:rsidTr="003327C7">
        <w:tc>
          <w:tcPr>
            <w:tcW w:w="4508" w:type="dxa"/>
          </w:tcPr>
          <w:p w14:paraId="405EBFC3" w14:textId="2727498C" w:rsidR="003327C7" w:rsidRDefault="003327C7" w:rsidP="001B43E6">
            <w:r>
              <w:t>1</w:t>
            </w:r>
          </w:p>
        </w:tc>
        <w:tc>
          <w:tcPr>
            <w:tcW w:w="4508" w:type="dxa"/>
          </w:tcPr>
          <w:p w14:paraId="0DEF7EE6" w14:textId="7E5AFEA4" w:rsidR="003327C7" w:rsidRDefault="003327C7" w:rsidP="001B43E6">
            <w:r>
              <w:t>68.03</w:t>
            </w:r>
          </w:p>
        </w:tc>
      </w:tr>
      <w:tr w:rsidR="003327C7" w14:paraId="6533DE23" w14:textId="77777777" w:rsidTr="003327C7">
        <w:tc>
          <w:tcPr>
            <w:tcW w:w="4508" w:type="dxa"/>
          </w:tcPr>
          <w:p w14:paraId="3F60490B" w14:textId="664EAE94" w:rsidR="003327C7" w:rsidRDefault="003327C7" w:rsidP="001B43E6">
            <w:r>
              <w:t>12</w:t>
            </w:r>
          </w:p>
        </w:tc>
        <w:tc>
          <w:tcPr>
            <w:tcW w:w="4508" w:type="dxa"/>
          </w:tcPr>
          <w:p w14:paraId="6BDF00F0" w14:textId="5B04F84B" w:rsidR="003327C7" w:rsidRDefault="003327C7" w:rsidP="001B43E6">
            <w:r>
              <w:t>115.11</w:t>
            </w:r>
          </w:p>
        </w:tc>
      </w:tr>
      <w:tr w:rsidR="003327C7" w14:paraId="05FA7002" w14:textId="77777777" w:rsidTr="003327C7">
        <w:tc>
          <w:tcPr>
            <w:tcW w:w="4508" w:type="dxa"/>
          </w:tcPr>
          <w:p w14:paraId="11DDD4BC" w14:textId="3278B272" w:rsidR="003327C7" w:rsidRDefault="003327C7" w:rsidP="001B43E6">
            <w:r>
              <w:t>13</w:t>
            </w:r>
          </w:p>
        </w:tc>
        <w:tc>
          <w:tcPr>
            <w:tcW w:w="4508" w:type="dxa"/>
          </w:tcPr>
          <w:p w14:paraId="0636F8FB" w14:textId="27CD2515" w:rsidR="003327C7" w:rsidRDefault="003327C7" w:rsidP="001B43E6">
            <w:r>
              <w:t>235.25</w:t>
            </w:r>
          </w:p>
        </w:tc>
      </w:tr>
      <w:tr w:rsidR="003327C7" w14:paraId="085702DA" w14:textId="77777777" w:rsidTr="003327C7">
        <w:tc>
          <w:tcPr>
            <w:tcW w:w="4508" w:type="dxa"/>
          </w:tcPr>
          <w:p w14:paraId="73A7A064" w14:textId="5B627B35" w:rsidR="003327C7" w:rsidRDefault="003327C7" w:rsidP="001B43E6">
            <w:r>
              <w:t>24</w:t>
            </w:r>
          </w:p>
        </w:tc>
        <w:tc>
          <w:tcPr>
            <w:tcW w:w="4508" w:type="dxa"/>
          </w:tcPr>
          <w:p w14:paraId="00C107DB" w14:textId="747B2F95" w:rsidR="003327C7" w:rsidRDefault="003327C7" w:rsidP="001B43E6">
            <w:r>
              <w:t>282.4</w:t>
            </w:r>
          </w:p>
        </w:tc>
      </w:tr>
    </w:tbl>
    <w:p w14:paraId="5A232B14" w14:textId="77015A4B" w:rsidR="003327C7" w:rsidRDefault="003327C7" w:rsidP="003327C7">
      <w:pPr>
        <w:pStyle w:val="Caption"/>
      </w:pPr>
      <w:r>
        <w:t xml:space="preserve">Table </w:t>
      </w:r>
      <w:r w:rsidR="00F91335">
        <w:t>8</w:t>
      </w:r>
      <w:r>
        <w:t>: Boundary energies for an irregular periodic lattice of 300eV depth, 0.05nm width and separation 0.05nm. Sixth well depth 250eV.</w:t>
      </w:r>
    </w:p>
    <w:p w14:paraId="1D23A176" w14:textId="08244795" w:rsidR="003327C7" w:rsidRDefault="003327C7" w:rsidP="003327C7">
      <w:r>
        <w:t xml:space="preserve">The same distinct two groups appear however the magnitude of the boundary states for the “doped” lattice however the magnitude for the higher boundary state for each group has a much larger magnitude. This means that the range of each group is larger and the energy gap between the two bands is smaller. This means that less energy is required to transfer an electron from the valence band to the conduction band, i.e. less energy is required the material to conduct. </w:t>
      </w:r>
      <w:r w:rsidR="00F91335">
        <w:t xml:space="preserve">See figures </w:t>
      </w:r>
      <w:r w:rsidR="000270BD">
        <w:t>6 &amp; 7 for difference in band gap</w:t>
      </w:r>
      <w:r w:rsidR="003B32C5">
        <w:t xml:space="preserve"> and band widths</w:t>
      </w:r>
      <w:r w:rsidR="000270BD">
        <w:t>.</w:t>
      </w:r>
      <w:r w:rsidR="003B32C5">
        <w:t xml:space="preserve"> </w:t>
      </w:r>
    </w:p>
    <w:p w14:paraId="417C6939" w14:textId="77777777" w:rsidR="002A20CA" w:rsidRDefault="002A20CA" w:rsidP="002A20CA">
      <w:pPr>
        <w:keepNext/>
      </w:pPr>
      <w:r>
        <w:rPr>
          <w:noProof/>
        </w:rPr>
        <w:drawing>
          <wp:inline distT="0" distB="0" distL="0" distR="0" wp14:anchorId="50B9F3BB" wp14:editId="095A9A62">
            <wp:extent cx="3980014" cy="2497540"/>
            <wp:effectExtent l="19050" t="19050" r="2095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060" cy="2512629"/>
                    </a:xfrm>
                    <a:prstGeom prst="rect">
                      <a:avLst/>
                    </a:prstGeom>
                    <a:ln>
                      <a:solidFill>
                        <a:schemeClr val="tx1"/>
                      </a:solidFill>
                    </a:ln>
                  </pic:spPr>
                </pic:pic>
              </a:graphicData>
            </a:graphic>
          </wp:inline>
        </w:drawing>
      </w:r>
    </w:p>
    <w:p w14:paraId="644E06F9" w14:textId="13B42202" w:rsidR="003B32C5" w:rsidRDefault="002A20CA" w:rsidP="002A20CA">
      <w:pPr>
        <w:pStyle w:val="Caption"/>
        <w:rPr>
          <w:noProof/>
        </w:rPr>
      </w:pPr>
      <w:r>
        <w:t>Figure 6: Allowed energy levels for a regular periodic</w:t>
      </w:r>
      <w:r>
        <w:rPr>
          <w:noProof/>
        </w:rPr>
        <w:t xml:space="preserve"> lattice of 12 wells of depth 300eV, width 0.05nm and separation 0.05nm</w:t>
      </w:r>
    </w:p>
    <w:p w14:paraId="00895D0E" w14:textId="3E493374" w:rsidR="008F1D63" w:rsidRPr="008F1D63" w:rsidRDefault="008F1D63" w:rsidP="008F1D63">
      <w:r>
        <w:t>Any protruding energy states above the “Fermi Level”, which is the topmost boundary state of the valence band, will help to reduce the energy required to transfer to the conduction band.</w:t>
      </w:r>
    </w:p>
    <w:p w14:paraId="2206703F" w14:textId="77777777" w:rsidR="003714E5" w:rsidRDefault="003714E5" w:rsidP="003714E5">
      <w:pPr>
        <w:keepNext/>
      </w:pPr>
      <w:r>
        <w:rPr>
          <w:noProof/>
        </w:rPr>
        <w:lastRenderedPageBreak/>
        <w:drawing>
          <wp:inline distT="0" distB="0" distL="0" distR="0" wp14:anchorId="7F8F761F" wp14:editId="2375D614">
            <wp:extent cx="4046561" cy="2662589"/>
            <wp:effectExtent l="19050" t="19050" r="1143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541" cy="2676393"/>
                    </a:xfrm>
                    <a:prstGeom prst="rect">
                      <a:avLst/>
                    </a:prstGeom>
                    <a:ln>
                      <a:solidFill>
                        <a:schemeClr val="tx1"/>
                      </a:solidFill>
                    </a:ln>
                  </pic:spPr>
                </pic:pic>
              </a:graphicData>
            </a:graphic>
          </wp:inline>
        </w:drawing>
      </w:r>
    </w:p>
    <w:p w14:paraId="7422471D" w14:textId="161F2ED6" w:rsidR="003714E5" w:rsidRDefault="003714E5" w:rsidP="003714E5">
      <w:pPr>
        <w:pStyle w:val="Caption"/>
      </w:pPr>
      <w:r>
        <w:t xml:space="preserve">Figure </w:t>
      </w:r>
      <w:r w:rsidR="00ED7166">
        <w:t>7</w:t>
      </w:r>
      <w:r>
        <w:t>: Allowed energies for an irregular lattice of 12 wells depth 300eV, width 0.05nm and separation 0.05nm. The sixth well is 250eV deep.</w:t>
      </w:r>
    </w:p>
    <w:p w14:paraId="5E00FDC1" w14:textId="09F8D30D" w:rsidR="003714E5" w:rsidRPr="003714E5" w:rsidRDefault="003714E5" w:rsidP="003714E5">
      <w:r>
        <w:t>The outlying energy level for each band significantly reduces the energy gap between bands which is an important feature of semiconductors when using them in practical settings.</w:t>
      </w:r>
    </w:p>
    <w:p w14:paraId="18589505" w14:textId="4723DD9E" w:rsidR="001B43E6" w:rsidRDefault="00D4566C" w:rsidP="001B43E6">
      <w:r>
        <w:t xml:space="preserve">By reducing the width of the sixth well </w:t>
      </w:r>
      <w:r w:rsidR="00AB0213">
        <w:t>from 0.05nm to 0.04nm the energy levels may be altered further</w:t>
      </w:r>
      <w:r w:rsidR="00E415D1">
        <w:t xml:space="preserve"> (see figure </w:t>
      </w:r>
      <w:r w:rsidR="00ED7166">
        <w:t>8</w:t>
      </w:r>
      <w:r w:rsidR="00E415D1">
        <w:t>).</w:t>
      </w:r>
      <w:r w:rsidR="00E342D5">
        <w:t xml:space="preserve"> The narrowing of the well further extends what is now looking like an extra energy band of a single state into the band gap.</w:t>
      </w:r>
      <w:r w:rsidR="001331ED">
        <w:t xml:space="preserve"> The energy level can be used to help bridge the gap between the two levels and reduce the energy required for semiconductors to conduct.</w:t>
      </w:r>
    </w:p>
    <w:p w14:paraId="1B94FA39" w14:textId="77777777" w:rsidR="00ED7166" w:rsidRDefault="00ED7166" w:rsidP="00ED7166">
      <w:pPr>
        <w:keepNext/>
      </w:pPr>
      <w:r>
        <w:rPr>
          <w:noProof/>
        </w:rPr>
        <w:drawing>
          <wp:inline distT="0" distB="0" distL="0" distR="0" wp14:anchorId="0BC796F9" wp14:editId="6C8F8408">
            <wp:extent cx="4040345" cy="2709081"/>
            <wp:effectExtent l="19050" t="19050" r="1778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1697" cy="2730103"/>
                    </a:xfrm>
                    <a:prstGeom prst="rect">
                      <a:avLst/>
                    </a:prstGeom>
                    <a:ln>
                      <a:solidFill>
                        <a:schemeClr val="tx1"/>
                      </a:solidFill>
                    </a:ln>
                  </pic:spPr>
                </pic:pic>
              </a:graphicData>
            </a:graphic>
          </wp:inline>
        </w:drawing>
      </w:r>
    </w:p>
    <w:p w14:paraId="23DADF2A" w14:textId="1344718D" w:rsidR="00ED7166" w:rsidRPr="001B43E6" w:rsidRDefault="00ED7166" w:rsidP="00ED7166">
      <w:pPr>
        <w:pStyle w:val="Caption"/>
      </w:pPr>
      <w:r>
        <w:t>Figure 9: Energy levels for a periodic lattice of 12 wells depth 300eV, 0.05nm wide and separation 0.05nm. Sixth well is 250eV deep and 0.04nm wide.</w:t>
      </w:r>
    </w:p>
    <w:p w14:paraId="335F0857" w14:textId="77777777" w:rsidR="006E4C69" w:rsidRDefault="006E4C69" w:rsidP="006E4C69">
      <w:bookmarkStart w:id="9" w:name="_Toc512982053"/>
    </w:p>
    <w:p w14:paraId="40A03BCE" w14:textId="77777777" w:rsidR="006E4C69" w:rsidRDefault="006E4C69" w:rsidP="005441E7">
      <w:pPr>
        <w:pStyle w:val="Heading1"/>
      </w:pPr>
    </w:p>
    <w:p w14:paraId="136320AC" w14:textId="5DDAAC46" w:rsidR="005441E7" w:rsidRDefault="005441E7" w:rsidP="005441E7">
      <w:pPr>
        <w:pStyle w:val="Heading1"/>
      </w:pPr>
      <w:r w:rsidRPr="005441E7">
        <w:t>Conclusion</w:t>
      </w:r>
      <w:bookmarkEnd w:id="9"/>
    </w:p>
    <w:p w14:paraId="708C44CB" w14:textId="503815AF" w:rsidR="00B7442B" w:rsidRDefault="00B7442B" w:rsidP="00B7442B"/>
    <w:p w14:paraId="70BD870B" w14:textId="475C59A6" w:rsidR="00B7442B" w:rsidRDefault="00B7442B" w:rsidP="00B7442B">
      <w:r>
        <w:t xml:space="preserve">The Kronig-Penney model though only approximation still conveys the energy band structure of a material by modelling it as a periodic lattice. This information is sufficient to predict the electrical conductivity of a material. </w:t>
      </w:r>
    </w:p>
    <w:p w14:paraId="0EBF41C2" w14:textId="1D5B2F1E" w:rsidR="00DA2A2A" w:rsidRDefault="00B7442B" w:rsidP="00B7442B">
      <w:r>
        <w:t>Potential wells may be used to model atoms in lattice structures, where their addition to the lattice introduces a greater number of allowed energy levels per well</w:t>
      </w:r>
      <w:r w:rsidR="002A443C">
        <w:t xml:space="preserve"> proportional to 2n where n is the number of wells. The proximity of the wells dictates the separation of the energy levels as the closer they are together the further apart the energies must be to satisfy Pauli’s Exclusion Principle.</w:t>
      </w:r>
    </w:p>
    <w:p w14:paraId="4E2B5BC7" w14:textId="5AFF3549" w:rsidR="00DA2A2A" w:rsidRDefault="00DA2A2A" w:rsidP="00B7442B">
      <w:r>
        <w:t>The energy levels occur in two distinct groups in a regular lattice. These groups are analogous to the conduction and valence band of electrons in a material.</w:t>
      </w:r>
      <w:r w:rsidR="00AC2477">
        <w:t xml:space="preserve"> The boundary states of these groups </w:t>
      </w:r>
      <w:proofErr w:type="gramStart"/>
      <w:r w:rsidR="00AC2477">
        <w:t>is</w:t>
      </w:r>
      <w:proofErr w:type="gramEnd"/>
      <w:r w:rsidR="00AC2477">
        <w:t xml:space="preserve"> of a consistent magnitude whether the lattice be made of 2 wells or </w:t>
      </w:r>
      <w:r w:rsidR="00C262F7">
        <w:t xml:space="preserve">12. </w:t>
      </w:r>
    </w:p>
    <w:p w14:paraId="03588213" w14:textId="64714C94" w:rsidR="002A443C" w:rsidRPr="00DA2A2A" w:rsidRDefault="00DA2A2A" w:rsidP="00B7442B">
      <w:r>
        <w:t xml:space="preserve">“Doping” of semiconducting materials may be modelled using the Kronig-Penney model by introducing irregularities into an otherwise regular and periodic lattice. By reducing the width and depth of a single well the energy </w:t>
      </w:r>
      <w:r w:rsidR="00025180">
        <w:t>gap separating the two bands could be reduced by a boundary state sliding up into the band gap. This has practical applications as it reduces the energy required for a semiconductor to transfer an electron from the valence band to the conduction band.</w:t>
      </w:r>
    </w:p>
    <w:p w14:paraId="73E5F4CA" w14:textId="57ECE204" w:rsidR="005441E7" w:rsidRDefault="005441E7" w:rsidP="005441E7"/>
    <w:p w14:paraId="35A79E60" w14:textId="7A73AA6E" w:rsidR="005441E7" w:rsidRDefault="005441E7" w:rsidP="005441E7"/>
    <w:p w14:paraId="425E2AD5" w14:textId="319E045F" w:rsidR="005441E7" w:rsidRDefault="005441E7" w:rsidP="005441E7"/>
    <w:p w14:paraId="161A85EF" w14:textId="1290D800" w:rsidR="005441E7" w:rsidRDefault="005441E7" w:rsidP="005441E7"/>
    <w:p w14:paraId="59BB37FD" w14:textId="7E5FC364" w:rsidR="005441E7" w:rsidRDefault="005441E7" w:rsidP="005441E7"/>
    <w:p w14:paraId="3AD7D567" w14:textId="0522B6D9" w:rsidR="005441E7" w:rsidRDefault="005441E7" w:rsidP="005441E7"/>
    <w:p w14:paraId="1FCD61ED" w14:textId="25327254" w:rsidR="005441E7" w:rsidRDefault="005441E7" w:rsidP="005441E7"/>
    <w:p w14:paraId="1B58C0F5" w14:textId="36EF3293" w:rsidR="005441E7" w:rsidRDefault="005441E7" w:rsidP="005441E7"/>
    <w:p w14:paraId="1173F464" w14:textId="287362A4" w:rsidR="005441E7" w:rsidRDefault="005441E7" w:rsidP="005441E7"/>
    <w:p w14:paraId="6D9BFDE6" w14:textId="146855F8" w:rsidR="005441E7" w:rsidRDefault="005441E7" w:rsidP="005441E7"/>
    <w:p w14:paraId="01B6D6DA" w14:textId="5E5D0ECF" w:rsidR="005441E7" w:rsidRDefault="005441E7" w:rsidP="005441E7"/>
    <w:p w14:paraId="330DFC16" w14:textId="3A8C9D27" w:rsidR="005441E7" w:rsidRDefault="005441E7" w:rsidP="005441E7"/>
    <w:p w14:paraId="3F75ADBF" w14:textId="2097444B" w:rsidR="005441E7" w:rsidRDefault="005441E7" w:rsidP="005441E7"/>
    <w:p w14:paraId="6623A4CB" w14:textId="0075FEC1" w:rsidR="005441E7" w:rsidRDefault="005441E7" w:rsidP="005441E7"/>
    <w:p w14:paraId="544848D8" w14:textId="741F5CDC" w:rsidR="005441E7" w:rsidRDefault="005441E7" w:rsidP="00B7442B"/>
    <w:bookmarkStart w:id="10" w:name="_Toc512982054" w:displacedByCustomXml="next"/>
    <w:sdt>
      <w:sdtPr>
        <w:id w:val="978180864"/>
        <w:docPartObj>
          <w:docPartGallery w:val="Bibliographies"/>
          <w:docPartUnique/>
        </w:docPartObj>
      </w:sdtPr>
      <w:sdtEndPr/>
      <w:sdtContent>
        <w:p w14:paraId="1C50442C" w14:textId="74F84E1C" w:rsidR="00B7442B" w:rsidRDefault="00B7442B" w:rsidP="00B7442B"/>
        <w:p w14:paraId="14F5CCD5" w14:textId="74F84E1C" w:rsidR="00E518D7" w:rsidRPr="003A2C7A" w:rsidRDefault="00E518D7">
          <w:pPr>
            <w:pStyle w:val="Heading1"/>
            <w:rPr>
              <w:rFonts w:asciiTheme="minorHAnsi" w:eastAsiaTheme="minorHAnsi" w:hAnsiTheme="minorHAnsi" w:cstheme="minorBidi"/>
              <w:color w:val="auto"/>
              <w:sz w:val="22"/>
              <w:szCs w:val="22"/>
            </w:rPr>
          </w:pPr>
          <w:r>
            <w:lastRenderedPageBreak/>
            <w:t>Bibliography</w:t>
          </w:r>
          <w:bookmarkEnd w:id="10"/>
        </w:p>
        <w:sdt>
          <w:sdtPr>
            <w:id w:val="111145805"/>
            <w:bibliography/>
          </w:sdtPr>
          <w:sdtEndPr/>
          <w:sdtContent>
            <w:p w14:paraId="553C86D3" w14:textId="77777777" w:rsidR="001D400B"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D400B" w14:paraId="1F403962" w14:textId="77777777" w:rsidTr="001D400B">
                <w:trPr>
                  <w:divId w:val="874393709"/>
                  <w:tblCellSpacing w:w="15" w:type="dxa"/>
                </w:trPr>
                <w:tc>
                  <w:tcPr>
                    <w:tcW w:w="153" w:type="pct"/>
                    <w:hideMark/>
                  </w:tcPr>
                  <w:p w14:paraId="65F58FFF" w14:textId="1F06717D" w:rsidR="001D400B" w:rsidRDefault="001D400B">
                    <w:pPr>
                      <w:pStyle w:val="Bibliography"/>
                      <w:rPr>
                        <w:noProof/>
                        <w:sz w:val="24"/>
                        <w:szCs w:val="24"/>
                      </w:rPr>
                    </w:pPr>
                    <w:r>
                      <w:rPr>
                        <w:noProof/>
                      </w:rPr>
                      <w:t xml:space="preserve">[1] </w:t>
                    </w:r>
                  </w:p>
                </w:tc>
                <w:tc>
                  <w:tcPr>
                    <w:tcW w:w="0" w:type="auto"/>
                    <w:hideMark/>
                  </w:tcPr>
                  <w:p w14:paraId="18A223B3" w14:textId="77777777" w:rsidR="001D400B" w:rsidRDefault="001D400B">
                    <w:pPr>
                      <w:pStyle w:val="Bibliography"/>
                      <w:rPr>
                        <w:noProof/>
                      </w:rPr>
                    </w:pPr>
                    <w:r>
                      <w:rPr>
                        <w:noProof/>
                      </w:rPr>
                      <w:t xml:space="preserve">F. Bloch, "Über die Quantenmechanik der Elektronen in Kristallgittern", 1928. </w:t>
                    </w:r>
                  </w:p>
                </w:tc>
              </w:tr>
            </w:tbl>
            <w:p w14:paraId="13938FF5" w14:textId="77777777" w:rsidR="001D400B" w:rsidRDefault="001D400B">
              <w:pPr>
                <w:divId w:val="874393709"/>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8DCB0" w14:textId="77777777" w:rsidR="00C42C57" w:rsidRDefault="00C42C57" w:rsidP="006F6F01">
      <w:pPr>
        <w:spacing w:after="0" w:line="240" w:lineRule="auto"/>
      </w:pPr>
      <w:r>
        <w:separator/>
      </w:r>
    </w:p>
  </w:endnote>
  <w:endnote w:type="continuationSeparator" w:id="0">
    <w:p w14:paraId="0FE346CC" w14:textId="77777777" w:rsidR="00C42C57" w:rsidRDefault="00C42C57"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EndPr/>
    <w:sdtContent>
      <w:sdt>
        <w:sdtPr>
          <w:id w:val="-1769616900"/>
          <w:docPartObj>
            <w:docPartGallery w:val="Page Numbers (Top of Page)"/>
            <w:docPartUnique/>
          </w:docPartObj>
        </w:sdtPr>
        <w:sdtEndPr/>
        <w:sdtContent>
          <w:p w14:paraId="70CED418" w14:textId="57709E53" w:rsidR="003D45F4" w:rsidRDefault="003D45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3D45F4" w:rsidRDefault="003D4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79C7E" w14:textId="77777777" w:rsidR="00C42C57" w:rsidRDefault="00C42C57" w:rsidP="006F6F01">
      <w:pPr>
        <w:spacing w:after="0" w:line="240" w:lineRule="auto"/>
      </w:pPr>
      <w:r>
        <w:separator/>
      </w:r>
    </w:p>
  </w:footnote>
  <w:footnote w:type="continuationSeparator" w:id="0">
    <w:p w14:paraId="74FE74D9" w14:textId="77777777" w:rsidR="00C42C57" w:rsidRDefault="00C42C57"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0AE0D3E3" w:rsidR="003D45F4" w:rsidRDefault="003D45F4">
    <w:pPr>
      <w:pStyle w:val="Header"/>
    </w:pPr>
    <w:r>
      <w:tab/>
    </w:r>
    <w:r>
      <w:tab/>
      <w:t xml:space="preserve">Report </w:t>
    </w:r>
    <w:r w:rsidR="004021C1">
      <w:t>Three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7BCA"/>
    <w:rsid w:val="00016AC0"/>
    <w:rsid w:val="00025180"/>
    <w:rsid w:val="00025DC9"/>
    <w:rsid w:val="000270BD"/>
    <w:rsid w:val="0004022C"/>
    <w:rsid w:val="00041E1F"/>
    <w:rsid w:val="0006025B"/>
    <w:rsid w:val="00061BF9"/>
    <w:rsid w:val="00077A27"/>
    <w:rsid w:val="00083079"/>
    <w:rsid w:val="00091D91"/>
    <w:rsid w:val="00091E15"/>
    <w:rsid w:val="000E10CA"/>
    <w:rsid w:val="000E5179"/>
    <w:rsid w:val="000E51E4"/>
    <w:rsid w:val="000F055F"/>
    <w:rsid w:val="000F1EBC"/>
    <w:rsid w:val="000F3B4B"/>
    <w:rsid w:val="000F5B76"/>
    <w:rsid w:val="000F7F58"/>
    <w:rsid w:val="001038A3"/>
    <w:rsid w:val="00104AFB"/>
    <w:rsid w:val="00113BA9"/>
    <w:rsid w:val="00117D60"/>
    <w:rsid w:val="001331ED"/>
    <w:rsid w:val="00133979"/>
    <w:rsid w:val="00143B43"/>
    <w:rsid w:val="00171FE6"/>
    <w:rsid w:val="00172BA8"/>
    <w:rsid w:val="001754EA"/>
    <w:rsid w:val="00176C5C"/>
    <w:rsid w:val="00194349"/>
    <w:rsid w:val="001A1B01"/>
    <w:rsid w:val="001B43E6"/>
    <w:rsid w:val="001C3012"/>
    <w:rsid w:val="001C5FB0"/>
    <w:rsid w:val="001D3BF3"/>
    <w:rsid w:val="001D400B"/>
    <w:rsid w:val="00201FD1"/>
    <w:rsid w:val="002034F0"/>
    <w:rsid w:val="0021447F"/>
    <w:rsid w:val="0021553A"/>
    <w:rsid w:val="00230050"/>
    <w:rsid w:val="00280A0C"/>
    <w:rsid w:val="00292567"/>
    <w:rsid w:val="002A20CA"/>
    <w:rsid w:val="002A443C"/>
    <w:rsid w:val="002C12FF"/>
    <w:rsid w:val="002C1C42"/>
    <w:rsid w:val="002D1967"/>
    <w:rsid w:val="002F00B3"/>
    <w:rsid w:val="002F5164"/>
    <w:rsid w:val="002F556D"/>
    <w:rsid w:val="002F7A41"/>
    <w:rsid w:val="00302AF9"/>
    <w:rsid w:val="003166DE"/>
    <w:rsid w:val="00323C5F"/>
    <w:rsid w:val="003243D9"/>
    <w:rsid w:val="003327C7"/>
    <w:rsid w:val="00337F7C"/>
    <w:rsid w:val="0035667E"/>
    <w:rsid w:val="003714E5"/>
    <w:rsid w:val="003737F1"/>
    <w:rsid w:val="00380156"/>
    <w:rsid w:val="00384462"/>
    <w:rsid w:val="003873AA"/>
    <w:rsid w:val="0039038B"/>
    <w:rsid w:val="00393414"/>
    <w:rsid w:val="0039680C"/>
    <w:rsid w:val="003A2C7A"/>
    <w:rsid w:val="003B32C5"/>
    <w:rsid w:val="003C493D"/>
    <w:rsid w:val="003D45F4"/>
    <w:rsid w:val="003F3BC2"/>
    <w:rsid w:val="003F7CF2"/>
    <w:rsid w:val="004021C1"/>
    <w:rsid w:val="00402903"/>
    <w:rsid w:val="00402935"/>
    <w:rsid w:val="00413DA3"/>
    <w:rsid w:val="00422D51"/>
    <w:rsid w:val="00435700"/>
    <w:rsid w:val="0044142B"/>
    <w:rsid w:val="00445E56"/>
    <w:rsid w:val="00451A57"/>
    <w:rsid w:val="0045589F"/>
    <w:rsid w:val="00462C55"/>
    <w:rsid w:val="004811F7"/>
    <w:rsid w:val="00485F3D"/>
    <w:rsid w:val="00492E77"/>
    <w:rsid w:val="00493982"/>
    <w:rsid w:val="004A3085"/>
    <w:rsid w:val="004A52B8"/>
    <w:rsid w:val="004A6B61"/>
    <w:rsid w:val="004B0A4B"/>
    <w:rsid w:val="004B7271"/>
    <w:rsid w:val="004C40FF"/>
    <w:rsid w:val="004C4AF7"/>
    <w:rsid w:val="004D6AEA"/>
    <w:rsid w:val="004F4F3D"/>
    <w:rsid w:val="00500B64"/>
    <w:rsid w:val="00500FE2"/>
    <w:rsid w:val="00514392"/>
    <w:rsid w:val="00515992"/>
    <w:rsid w:val="005441E7"/>
    <w:rsid w:val="005652CF"/>
    <w:rsid w:val="005761E9"/>
    <w:rsid w:val="005834E2"/>
    <w:rsid w:val="00584554"/>
    <w:rsid w:val="00587E95"/>
    <w:rsid w:val="00591884"/>
    <w:rsid w:val="005962E0"/>
    <w:rsid w:val="005963E4"/>
    <w:rsid w:val="005A7DAF"/>
    <w:rsid w:val="005C16AB"/>
    <w:rsid w:val="005C45B7"/>
    <w:rsid w:val="005D1176"/>
    <w:rsid w:val="005D342C"/>
    <w:rsid w:val="005E211E"/>
    <w:rsid w:val="005E31F2"/>
    <w:rsid w:val="005E3DB0"/>
    <w:rsid w:val="005E3E9C"/>
    <w:rsid w:val="006002BA"/>
    <w:rsid w:val="006011C6"/>
    <w:rsid w:val="00603ADA"/>
    <w:rsid w:val="00640475"/>
    <w:rsid w:val="00663739"/>
    <w:rsid w:val="00664F8A"/>
    <w:rsid w:val="00673DC2"/>
    <w:rsid w:val="006760F2"/>
    <w:rsid w:val="00680C39"/>
    <w:rsid w:val="0068640C"/>
    <w:rsid w:val="00692694"/>
    <w:rsid w:val="00694302"/>
    <w:rsid w:val="006A3824"/>
    <w:rsid w:val="006B1F41"/>
    <w:rsid w:val="006B5CB3"/>
    <w:rsid w:val="006D5AEA"/>
    <w:rsid w:val="006D681F"/>
    <w:rsid w:val="006E4C69"/>
    <w:rsid w:val="006E7285"/>
    <w:rsid w:val="006E7C82"/>
    <w:rsid w:val="006F42AC"/>
    <w:rsid w:val="006F6F01"/>
    <w:rsid w:val="00700EBA"/>
    <w:rsid w:val="00703B06"/>
    <w:rsid w:val="007119D6"/>
    <w:rsid w:val="0071528A"/>
    <w:rsid w:val="00716465"/>
    <w:rsid w:val="00723090"/>
    <w:rsid w:val="00724936"/>
    <w:rsid w:val="007249E3"/>
    <w:rsid w:val="007433FD"/>
    <w:rsid w:val="00745AB7"/>
    <w:rsid w:val="00751150"/>
    <w:rsid w:val="007531E2"/>
    <w:rsid w:val="00756676"/>
    <w:rsid w:val="00761E00"/>
    <w:rsid w:val="00782458"/>
    <w:rsid w:val="0078279C"/>
    <w:rsid w:val="0078668D"/>
    <w:rsid w:val="007878EF"/>
    <w:rsid w:val="0079364D"/>
    <w:rsid w:val="007B3993"/>
    <w:rsid w:val="007C1FC2"/>
    <w:rsid w:val="007C6BE1"/>
    <w:rsid w:val="007D2585"/>
    <w:rsid w:val="007D5C31"/>
    <w:rsid w:val="007E38EA"/>
    <w:rsid w:val="007E7D9E"/>
    <w:rsid w:val="007F3142"/>
    <w:rsid w:val="007F5C09"/>
    <w:rsid w:val="007F7763"/>
    <w:rsid w:val="0082463A"/>
    <w:rsid w:val="00844427"/>
    <w:rsid w:val="008444B1"/>
    <w:rsid w:val="00844B4C"/>
    <w:rsid w:val="00845FFF"/>
    <w:rsid w:val="0085421B"/>
    <w:rsid w:val="008625B9"/>
    <w:rsid w:val="00872BBB"/>
    <w:rsid w:val="00872C49"/>
    <w:rsid w:val="00874B64"/>
    <w:rsid w:val="00886A25"/>
    <w:rsid w:val="008A419C"/>
    <w:rsid w:val="008A6237"/>
    <w:rsid w:val="008A6FB5"/>
    <w:rsid w:val="008C022E"/>
    <w:rsid w:val="008C3EC1"/>
    <w:rsid w:val="008C4017"/>
    <w:rsid w:val="008D1223"/>
    <w:rsid w:val="008D5D10"/>
    <w:rsid w:val="008D6956"/>
    <w:rsid w:val="008D7594"/>
    <w:rsid w:val="008E3624"/>
    <w:rsid w:val="008E39CC"/>
    <w:rsid w:val="008E6378"/>
    <w:rsid w:val="008F02F5"/>
    <w:rsid w:val="008F1D63"/>
    <w:rsid w:val="00900422"/>
    <w:rsid w:val="00907E75"/>
    <w:rsid w:val="00912A37"/>
    <w:rsid w:val="00923E1F"/>
    <w:rsid w:val="00930A02"/>
    <w:rsid w:val="00934343"/>
    <w:rsid w:val="009443A7"/>
    <w:rsid w:val="00955200"/>
    <w:rsid w:val="009648CC"/>
    <w:rsid w:val="009658B4"/>
    <w:rsid w:val="00975A7F"/>
    <w:rsid w:val="00980869"/>
    <w:rsid w:val="00984E03"/>
    <w:rsid w:val="009924E2"/>
    <w:rsid w:val="009940D5"/>
    <w:rsid w:val="0099470C"/>
    <w:rsid w:val="009975A8"/>
    <w:rsid w:val="009A1CB2"/>
    <w:rsid w:val="009A4EC5"/>
    <w:rsid w:val="009A79D9"/>
    <w:rsid w:val="009D058D"/>
    <w:rsid w:val="009E16B6"/>
    <w:rsid w:val="009E17CB"/>
    <w:rsid w:val="009E2D27"/>
    <w:rsid w:val="009E3D73"/>
    <w:rsid w:val="009F50D2"/>
    <w:rsid w:val="00A03347"/>
    <w:rsid w:val="00A04E95"/>
    <w:rsid w:val="00A072B5"/>
    <w:rsid w:val="00A24E97"/>
    <w:rsid w:val="00A276F5"/>
    <w:rsid w:val="00A410AD"/>
    <w:rsid w:val="00A42D48"/>
    <w:rsid w:val="00A510B1"/>
    <w:rsid w:val="00A56671"/>
    <w:rsid w:val="00A57118"/>
    <w:rsid w:val="00A576E9"/>
    <w:rsid w:val="00A60861"/>
    <w:rsid w:val="00A62414"/>
    <w:rsid w:val="00A63C7A"/>
    <w:rsid w:val="00A7086C"/>
    <w:rsid w:val="00A73C31"/>
    <w:rsid w:val="00A956DC"/>
    <w:rsid w:val="00A95F8A"/>
    <w:rsid w:val="00A96A29"/>
    <w:rsid w:val="00A970D0"/>
    <w:rsid w:val="00AA0064"/>
    <w:rsid w:val="00AA133B"/>
    <w:rsid w:val="00AA31FE"/>
    <w:rsid w:val="00AA64FC"/>
    <w:rsid w:val="00AB0213"/>
    <w:rsid w:val="00AB1E5A"/>
    <w:rsid w:val="00AB7999"/>
    <w:rsid w:val="00AC2477"/>
    <w:rsid w:val="00AD03AD"/>
    <w:rsid w:val="00AD6D2C"/>
    <w:rsid w:val="00AE067E"/>
    <w:rsid w:val="00AE64AF"/>
    <w:rsid w:val="00AF44F6"/>
    <w:rsid w:val="00B02FB4"/>
    <w:rsid w:val="00B050D4"/>
    <w:rsid w:val="00B06AD6"/>
    <w:rsid w:val="00B11939"/>
    <w:rsid w:val="00B27215"/>
    <w:rsid w:val="00B27785"/>
    <w:rsid w:val="00B30D33"/>
    <w:rsid w:val="00B320BB"/>
    <w:rsid w:val="00B32942"/>
    <w:rsid w:val="00B349E1"/>
    <w:rsid w:val="00B355AB"/>
    <w:rsid w:val="00B35E66"/>
    <w:rsid w:val="00B36AF9"/>
    <w:rsid w:val="00B40936"/>
    <w:rsid w:val="00B42A3A"/>
    <w:rsid w:val="00B4400A"/>
    <w:rsid w:val="00B47021"/>
    <w:rsid w:val="00B47180"/>
    <w:rsid w:val="00B5417E"/>
    <w:rsid w:val="00B56AB1"/>
    <w:rsid w:val="00B640E0"/>
    <w:rsid w:val="00B6766F"/>
    <w:rsid w:val="00B7226D"/>
    <w:rsid w:val="00B7442B"/>
    <w:rsid w:val="00B7661E"/>
    <w:rsid w:val="00B926FE"/>
    <w:rsid w:val="00B92F8E"/>
    <w:rsid w:val="00B93214"/>
    <w:rsid w:val="00BA4C75"/>
    <w:rsid w:val="00BC13FE"/>
    <w:rsid w:val="00BC4A88"/>
    <w:rsid w:val="00BD08FF"/>
    <w:rsid w:val="00BF2144"/>
    <w:rsid w:val="00BF2312"/>
    <w:rsid w:val="00BF5584"/>
    <w:rsid w:val="00C06B4D"/>
    <w:rsid w:val="00C13C66"/>
    <w:rsid w:val="00C23199"/>
    <w:rsid w:val="00C23BBA"/>
    <w:rsid w:val="00C24C46"/>
    <w:rsid w:val="00C262F7"/>
    <w:rsid w:val="00C42C57"/>
    <w:rsid w:val="00C42CA0"/>
    <w:rsid w:val="00C43EE4"/>
    <w:rsid w:val="00C47730"/>
    <w:rsid w:val="00C513FC"/>
    <w:rsid w:val="00C53F09"/>
    <w:rsid w:val="00C67615"/>
    <w:rsid w:val="00C86EED"/>
    <w:rsid w:val="00C97925"/>
    <w:rsid w:val="00CA0438"/>
    <w:rsid w:val="00CB194E"/>
    <w:rsid w:val="00CD0BF3"/>
    <w:rsid w:val="00CD1DE7"/>
    <w:rsid w:val="00CD3D07"/>
    <w:rsid w:val="00CE2ADE"/>
    <w:rsid w:val="00CF5E8D"/>
    <w:rsid w:val="00CF75EC"/>
    <w:rsid w:val="00D05C35"/>
    <w:rsid w:val="00D108B4"/>
    <w:rsid w:val="00D12832"/>
    <w:rsid w:val="00D13E5E"/>
    <w:rsid w:val="00D20B20"/>
    <w:rsid w:val="00D4566C"/>
    <w:rsid w:val="00D45EB7"/>
    <w:rsid w:val="00D468D3"/>
    <w:rsid w:val="00D64198"/>
    <w:rsid w:val="00D75184"/>
    <w:rsid w:val="00D758D7"/>
    <w:rsid w:val="00D80708"/>
    <w:rsid w:val="00D8698E"/>
    <w:rsid w:val="00D96A59"/>
    <w:rsid w:val="00DA2A2A"/>
    <w:rsid w:val="00DA3376"/>
    <w:rsid w:val="00DB45A4"/>
    <w:rsid w:val="00DC70C5"/>
    <w:rsid w:val="00DD394D"/>
    <w:rsid w:val="00DD60FC"/>
    <w:rsid w:val="00DE134F"/>
    <w:rsid w:val="00DE698E"/>
    <w:rsid w:val="00DE7B6F"/>
    <w:rsid w:val="00DF0F89"/>
    <w:rsid w:val="00DF50F8"/>
    <w:rsid w:val="00DF6FF6"/>
    <w:rsid w:val="00E01303"/>
    <w:rsid w:val="00E0145F"/>
    <w:rsid w:val="00E10E5B"/>
    <w:rsid w:val="00E1381A"/>
    <w:rsid w:val="00E172C2"/>
    <w:rsid w:val="00E26443"/>
    <w:rsid w:val="00E33AB8"/>
    <w:rsid w:val="00E342D5"/>
    <w:rsid w:val="00E371F0"/>
    <w:rsid w:val="00E415D1"/>
    <w:rsid w:val="00E43F03"/>
    <w:rsid w:val="00E44C56"/>
    <w:rsid w:val="00E47C25"/>
    <w:rsid w:val="00E47DE6"/>
    <w:rsid w:val="00E518D7"/>
    <w:rsid w:val="00E51A4A"/>
    <w:rsid w:val="00E60C4C"/>
    <w:rsid w:val="00E86DE5"/>
    <w:rsid w:val="00E9447A"/>
    <w:rsid w:val="00E951CD"/>
    <w:rsid w:val="00EB0F60"/>
    <w:rsid w:val="00EB4389"/>
    <w:rsid w:val="00EB51DA"/>
    <w:rsid w:val="00EC2117"/>
    <w:rsid w:val="00ED6C6E"/>
    <w:rsid w:val="00ED7166"/>
    <w:rsid w:val="00EF53DF"/>
    <w:rsid w:val="00F02CC6"/>
    <w:rsid w:val="00F03D2B"/>
    <w:rsid w:val="00F0555C"/>
    <w:rsid w:val="00F13523"/>
    <w:rsid w:val="00F144CD"/>
    <w:rsid w:val="00F1458D"/>
    <w:rsid w:val="00F22A8E"/>
    <w:rsid w:val="00F334E9"/>
    <w:rsid w:val="00F40C12"/>
    <w:rsid w:val="00F542A7"/>
    <w:rsid w:val="00F5627F"/>
    <w:rsid w:val="00F640D2"/>
    <w:rsid w:val="00F7044E"/>
    <w:rsid w:val="00F748EF"/>
    <w:rsid w:val="00F74BEC"/>
    <w:rsid w:val="00F80866"/>
    <w:rsid w:val="00F91335"/>
    <w:rsid w:val="00FA0B4D"/>
    <w:rsid w:val="00FB7B8C"/>
    <w:rsid w:val="00FC5F43"/>
    <w:rsid w:val="00FC5FDC"/>
    <w:rsid w:val="00FD0751"/>
    <w:rsid w:val="00FE2FFF"/>
    <w:rsid w:val="00FF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ython-math0and0physics0solver.wikispaces.com/"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2%20-%20Physics%20of%20Semiconductors\1%20-%20Two%20Square%20Wells%20-%20Comparing%20well%20separ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Energy Levels of a Two-Well lattice of Varying Separation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0nm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Sheet1!$A$16:$A$18</c:f>
              <c:numCache>
                <c:formatCode>@</c:formatCode>
                <c:ptCount val="3"/>
                <c:pt idx="0">
                  <c:v>0</c:v>
                </c:pt>
                <c:pt idx="1">
                  <c:v>0</c:v>
                </c:pt>
                <c:pt idx="2">
                  <c:v>0</c:v>
                </c:pt>
              </c:numCache>
            </c:numRef>
          </c:xVal>
          <c:yVal>
            <c:numRef>
              <c:f>Sheet1!$B$16:$B$18</c:f>
              <c:numCache>
                <c:formatCode>General</c:formatCode>
                <c:ptCount val="3"/>
                <c:pt idx="0">
                  <c:v>24.6</c:v>
                </c:pt>
                <c:pt idx="1">
                  <c:v>96.65</c:v>
                </c:pt>
                <c:pt idx="2">
                  <c:v>208.44</c:v>
                </c:pt>
              </c:numCache>
            </c:numRef>
          </c:yVal>
          <c:smooth val="0"/>
          <c:extLst>
            <c:ext xmlns:c16="http://schemas.microsoft.com/office/drawing/2014/chart" uri="{C3380CC4-5D6E-409C-BE32-E72D297353CC}">
              <c16:uniqueId val="{00000000-E146-4CD8-A626-8F1C2E9EDF66}"/>
            </c:ext>
          </c:extLst>
        </c:ser>
        <c:ser>
          <c:idx val="1"/>
          <c:order val="1"/>
          <c:tx>
            <c:v>0.01nm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Sheet1!$A$19:$A$21</c:f>
              <c:numCache>
                <c:formatCode>@</c:formatCode>
                <c:ptCount val="3"/>
                <c:pt idx="0">
                  <c:v>0.01</c:v>
                </c:pt>
                <c:pt idx="1">
                  <c:v>0.01</c:v>
                </c:pt>
                <c:pt idx="2">
                  <c:v>0.01</c:v>
                </c:pt>
              </c:numCache>
            </c:numRef>
          </c:xVal>
          <c:yVal>
            <c:numRef>
              <c:f>Sheet1!$B$19:$B$21</c:f>
              <c:numCache>
                <c:formatCode>General</c:formatCode>
                <c:ptCount val="3"/>
                <c:pt idx="0">
                  <c:v>60.96</c:v>
                </c:pt>
                <c:pt idx="1">
                  <c:v>97.88</c:v>
                </c:pt>
                <c:pt idx="2">
                  <c:v>251.71</c:v>
                </c:pt>
              </c:numCache>
            </c:numRef>
          </c:yVal>
          <c:smooth val="0"/>
          <c:extLst>
            <c:ext xmlns:c16="http://schemas.microsoft.com/office/drawing/2014/chart" uri="{C3380CC4-5D6E-409C-BE32-E72D297353CC}">
              <c16:uniqueId val="{00000001-E146-4CD8-A626-8F1C2E9EDF66}"/>
            </c:ext>
          </c:extLst>
        </c:ser>
        <c:ser>
          <c:idx val="2"/>
          <c:order val="2"/>
          <c:tx>
            <c:v>0.05nm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Sheet1!$A$22:$A$25</c:f>
              <c:numCache>
                <c:formatCode>@</c:formatCode>
                <c:ptCount val="4"/>
                <c:pt idx="0">
                  <c:v>0.05</c:v>
                </c:pt>
                <c:pt idx="1">
                  <c:v>0.05</c:v>
                </c:pt>
                <c:pt idx="2">
                  <c:v>0.05</c:v>
                </c:pt>
                <c:pt idx="3">
                  <c:v>0.05</c:v>
                </c:pt>
              </c:numCache>
            </c:numRef>
          </c:xVal>
          <c:yVal>
            <c:numRef>
              <c:f>Sheet1!$B$22:$B$25</c:f>
              <c:numCache>
                <c:formatCode>General</c:formatCode>
                <c:ptCount val="4"/>
                <c:pt idx="0">
                  <c:v>69.52</c:v>
                </c:pt>
                <c:pt idx="1">
                  <c:v>71.09</c:v>
                </c:pt>
                <c:pt idx="2">
                  <c:v>241.73</c:v>
                </c:pt>
                <c:pt idx="3">
                  <c:v>258.81</c:v>
                </c:pt>
              </c:numCache>
            </c:numRef>
          </c:yVal>
          <c:smooth val="0"/>
          <c:extLst>
            <c:ext xmlns:c16="http://schemas.microsoft.com/office/drawing/2014/chart" uri="{C3380CC4-5D6E-409C-BE32-E72D297353CC}">
              <c16:uniqueId val="{00000002-E146-4CD8-A626-8F1C2E9EDF66}"/>
            </c:ext>
          </c:extLst>
        </c:ser>
        <c:ser>
          <c:idx val="3"/>
          <c:order val="3"/>
          <c:tx>
            <c:v>0.1nm</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Sheet1!$A$26:$A$29</c:f>
              <c:numCache>
                <c:formatCode>@</c:formatCode>
                <c:ptCount val="4"/>
                <c:pt idx="0">
                  <c:v>0.1</c:v>
                </c:pt>
                <c:pt idx="1">
                  <c:v>0.1</c:v>
                </c:pt>
                <c:pt idx="2">
                  <c:v>0.1</c:v>
                </c:pt>
                <c:pt idx="3">
                  <c:v>0.1</c:v>
                </c:pt>
              </c:numCache>
            </c:numRef>
          </c:xVal>
          <c:yVal>
            <c:numRef>
              <c:f>Sheet1!$B$26:$B$29</c:f>
              <c:numCache>
                <c:formatCode>General</c:formatCode>
                <c:ptCount val="4"/>
                <c:pt idx="0">
                  <c:v>70.290000000000006</c:v>
                </c:pt>
                <c:pt idx="1">
                  <c:v>70.31</c:v>
                </c:pt>
                <c:pt idx="2">
                  <c:v>246.92</c:v>
                </c:pt>
                <c:pt idx="3">
                  <c:v>249.1</c:v>
                </c:pt>
              </c:numCache>
            </c:numRef>
          </c:yVal>
          <c:smooth val="0"/>
          <c:extLst>
            <c:ext xmlns:c16="http://schemas.microsoft.com/office/drawing/2014/chart" uri="{C3380CC4-5D6E-409C-BE32-E72D297353CC}">
              <c16:uniqueId val="{00000003-E146-4CD8-A626-8F1C2E9EDF66}"/>
            </c:ext>
          </c:extLst>
        </c:ser>
        <c:dLbls>
          <c:showLegendKey val="0"/>
          <c:showVal val="0"/>
          <c:showCatName val="0"/>
          <c:showSerName val="0"/>
          <c:showPercent val="0"/>
          <c:showBubbleSize val="0"/>
        </c:dLbls>
        <c:axId val="621526808"/>
        <c:axId val="621523856"/>
      </c:scatterChart>
      <c:valAx>
        <c:axId val="62152680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Well Separation (nm)</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523856"/>
        <c:crosses val="autoZero"/>
        <c:crossBetween val="midCat"/>
      </c:valAx>
      <c:valAx>
        <c:axId val="621523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Energy Level (eV)</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526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Ian18</b:Tag>
    <b:SourceType>InternetSite</b:SourceType>
    <b:Guid>{A0F88C54-9707-44EA-9025-64D71953795E}</b:Guid>
    <b:Title>What is the Schrodinger Equation?</b:Title>
    <b:Author>
      <b:Author>
        <b:NameList>
          <b:Person>
            <b:Last>Ian Taylor</b:Last>
            <b:First>Ph.D,</b:First>
            <b:Middle>Thheoretical Physics (Cambridge)</b:Middle>
          </b:Person>
        </b:NameList>
      </b:Author>
    </b:Author>
    <b:ProductionCompany>Physlink</b:ProductionCompany>
    <b:YearAccessed>2018</b:YearAccessed>
    <b:MonthAccessed>March</b:MonthAccessed>
    <b:URL>http://www.physlink.com/Education/Askexperts/ae329.cfm</b:URL>
    <b:RefOrder>2</b:RefOrder>
  </b:Source>
  <b:Source>
    <b:Tag>Vai18</b:Tag>
    <b:SourceType>InternetSite</b:SourceType>
    <b:Guid>{21B8EE69-8497-4591-9C9C-B2ABA4636A5A}</b:Guid>
    <b:Author>
      <b:Author>
        <b:NameList>
          <b:Person>
            <b:Last>Vaibhav Sharma</b:Last>
            <b:First>Physics</b:First>
            <b:Middle>Grad Student at IIT Bombay</b:Middle>
          </b:Person>
        </b:NameList>
      </b:Author>
    </b:Author>
    <b:Title>Quora</b:Title>
    <b:YearAccessed>2018</b:YearAccessed>
    <b:MonthAccessed>March</b:MonthAccessed>
    <b:URL>https://www.quora.com/What-is-the-meaning-of-normalization-in-quantum-mechanics</b:URL>
    <b:RefOrder>3</b:RefOrder>
  </b:Source>
  <b:Source>
    <b:Tag>Fel28</b:Tag>
    <b:SourceType>Book</b:SourceType>
    <b:Guid>{B1C5FC38-9A44-45D6-8084-B67175D256FB}</b:Guid>
    <b:Author>
      <b:Author>
        <b:NameList>
          <b:Person>
            <b:Last>Bloch</b:Last>
            <b:First>Felix</b:First>
          </b:Person>
        </b:NameList>
      </b:Author>
    </b:Author>
    <b:Title>"Über die Quantenmechanik der Elektronen in Kristallgittern"</b:Title>
    <b:Year>1928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4B681-F8B2-447F-871F-D3962A92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12</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PHYS2170: Semiconductor Physics</vt:lpstr>
    </vt:vector>
  </TitlesOfParts>
  <Company>3175353</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Measurement of Bandgap in Germanium</dc:title>
  <dc:subject/>
  <dc:creator>Thomas Courtney</dc:creator>
  <cp:keywords/>
  <dc:description/>
  <cp:lastModifiedBy>Thomas Courtney</cp:lastModifiedBy>
  <cp:revision>191</cp:revision>
  <cp:lastPrinted>2018-05-01T15:00:00Z</cp:lastPrinted>
  <dcterms:created xsi:type="dcterms:W3CDTF">2018-03-26T00:28:00Z</dcterms:created>
  <dcterms:modified xsi:type="dcterms:W3CDTF">2018-05-09T23:24:00Z</dcterms:modified>
</cp:coreProperties>
</file>