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0940365"/>
        <w:docPartObj>
          <w:docPartGallery w:val="Cover Pages"/>
          <w:docPartUnique/>
        </w:docPartObj>
      </w:sdtPr>
      <w:sdtEndPr>
        <w:rPr>
          <w:b/>
          <w:outline/>
          <w:color w:val="5B9BD5" w:themeColor="accent5"/>
          <w:sz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sdtEndPr>
      <w:sdtContent>
        <w:p w14:paraId="5409DBD2" w14:textId="05B06405" w:rsidR="00451A57" w:rsidRDefault="00451A57" w:rsidP="00C23BBA">
          <w:pPr>
            <w:tabs>
              <w:tab w:val="right" w:pos="9026"/>
            </w:tabs>
          </w:pPr>
          <w:r>
            <w:rPr>
              <w:noProof/>
            </w:rPr>
            <mc:AlternateContent>
              <mc:Choice Requires="wpg">
                <w:drawing>
                  <wp:anchor distT="0" distB="0" distL="114300" distR="114300" simplePos="0" relativeHeight="251660288" behindDoc="1" locked="0" layoutInCell="1" allowOverlap="1" wp14:anchorId="1942EFBE" wp14:editId="37F4077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C844832" w14:textId="401BA865" w:rsidR="004A17C8" w:rsidRDefault="004A17C8">
                                      <w:pPr>
                                        <w:pStyle w:val="NoSpacing"/>
                                        <w:spacing w:before="120"/>
                                        <w:jc w:val="center"/>
                                        <w:rPr>
                                          <w:color w:val="FFFFFF" w:themeColor="background1"/>
                                        </w:rPr>
                                      </w:pPr>
                                      <w:r>
                                        <w:rPr>
                                          <w:color w:val="FFFFFF" w:themeColor="background1"/>
                                        </w:rPr>
                                        <w:t>Thomas Courtney</w:t>
                                      </w:r>
                                    </w:p>
                                  </w:sdtContent>
                                </w:sdt>
                                <w:p w14:paraId="69D25F8F" w14:textId="045D2725" w:rsidR="004A17C8" w:rsidRDefault="00420CC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A17C8">
                                        <w:rPr>
                                          <w:caps/>
                                          <w:color w:val="FFFFFF" w:themeColor="background1"/>
                                        </w:rPr>
                                        <w:t>3175353</w:t>
                                      </w:r>
                                    </w:sdtContent>
                                  </w:sdt>
                                  <w:r w:rsidR="004A17C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4A17C8">
                                        <w:rPr>
                                          <w:color w:val="FFFFFF" w:themeColor="background1"/>
                                        </w:rPr>
                                        <w:t>UON</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6A8D008" w14:textId="27D889F9" w:rsidR="004A17C8" w:rsidRDefault="004A17C8">
                                      <w:pPr>
                                        <w:pStyle w:val="NoSpacing"/>
                                        <w:jc w:val="center"/>
                                        <w:rPr>
                                          <w:rFonts w:asciiTheme="majorHAnsi" w:eastAsiaTheme="majorEastAsia" w:hAnsiTheme="majorHAnsi" w:cstheme="majorBidi"/>
                                          <w:caps/>
                                          <w:color w:val="4472C4" w:themeColor="accent1"/>
                                          <w:sz w:val="72"/>
                                          <w:szCs w:val="72"/>
                                        </w:rPr>
                                      </w:pPr>
                                      <w:r w:rsidRPr="004021C1">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PHYS2170: </w:t>
                                      </w:r>
                                      <w:r w:rsidR="00522FA2">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Investigation of the Hall Effect in Semiconductors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942EFBE" id="Group 193" o:spid="_x0000_s1026"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C844832" w14:textId="401BA865" w:rsidR="004A17C8" w:rsidRDefault="004A17C8">
                                <w:pPr>
                                  <w:pStyle w:val="NoSpacing"/>
                                  <w:spacing w:before="120"/>
                                  <w:jc w:val="center"/>
                                  <w:rPr>
                                    <w:color w:val="FFFFFF" w:themeColor="background1"/>
                                  </w:rPr>
                                </w:pPr>
                                <w:r>
                                  <w:rPr>
                                    <w:color w:val="FFFFFF" w:themeColor="background1"/>
                                  </w:rPr>
                                  <w:t>Thomas Courtney</w:t>
                                </w:r>
                              </w:p>
                            </w:sdtContent>
                          </w:sdt>
                          <w:p w14:paraId="69D25F8F" w14:textId="045D2725" w:rsidR="004A17C8" w:rsidRDefault="00420CC6">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A17C8">
                                  <w:rPr>
                                    <w:caps/>
                                    <w:color w:val="FFFFFF" w:themeColor="background1"/>
                                  </w:rPr>
                                  <w:t>3175353</w:t>
                                </w:r>
                              </w:sdtContent>
                            </w:sdt>
                            <w:r w:rsidR="004A17C8">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4A17C8">
                                  <w:rPr>
                                    <w:color w:val="FFFFFF" w:themeColor="background1"/>
                                  </w:rPr>
                                  <w:t>UON</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46A8D008" w14:textId="27D889F9" w:rsidR="004A17C8" w:rsidRDefault="004A17C8">
                                <w:pPr>
                                  <w:pStyle w:val="NoSpacing"/>
                                  <w:jc w:val="center"/>
                                  <w:rPr>
                                    <w:rFonts w:asciiTheme="majorHAnsi" w:eastAsiaTheme="majorEastAsia" w:hAnsiTheme="majorHAnsi" w:cstheme="majorBidi"/>
                                    <w:caps/>
                                    <w:color w:val="4472C4" w:themeColor="accent1"/>
                                    <w:sz w:val="72"/>
                                    <w:szCs w:val="72"/>
                                  </w:rPr>
                                </w:pPr>
                                <w:r w:rsidRPr="004021C1">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PHYS2170: </w:t>
                                </w:r>
                                <w:r w:rsidR="00522FA2">
                                  <w:rPr>
                                    <w:color w:val="000000" w:themeColor="text1"/>
                                    <w:sz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Investigation of the Hall Effect in Semiconductors</w:t>
                                </w:r>
                              </w:p>
                            </w:sdtContent>
                          </w:sdt>
                        </w:txbxContent>
                      </v:textbox>
                    </v:shape>
                    <w10:wrap anchorx="page" anchory="page"/>
                  </v:group>
                </w:pict>
              </mc:Fallback>
            </mc:AlternateContent>
          </w:r>
          <w:r w:rsidR="00C23BBA">
            <w:tab/>
          </w:r>
        </w:p>
        <w:p w14:paraId="242B4F0C" w14:textId="0AFA5926" w:rsidR="00451A57" w:rsidRDefault="00451A57">
          <w:pPr>
            <w:rPr>
              <w:rFonts w:asciiTheme="majorHAnsi" w:eastAsiaTheme="majorEastAsia" w:hAnsiTheme="majorHAnsi" w:cstheme="majorBidi"/>
              <w:b/>
              <w:outline/>
              <w:color w:val="5B9BD5" w:themeColor="accent5"/>
              <w:kern w:val="28"/>
              <w:sz w:val="96"/>
              <w:szCs w:val="5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6F6F01">
            <w:rPr>
              <w:b/>
              <w:outline/>
              <w:noProof/>
              <w:color w:val="5B9BD5" w:themeColor="accent5"/>
              <w:sz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drawing>
              <wp:anchor distT="0" distB="0" distL="114300" distR="114300" simplePos="0" relativeHeight="251662336" behindDoc="0" locked="0" layoutInCell="1" allowOverlap="1" wp14:anchorId="47165A98" wp14:editId="413AB5A3">
                <wp:simplePos x="0" y="0"/>
                <wp:positionH relativeFrom="margin">
                  <wp:align>center</wp:align>
                </wp:positionH>
                <wp:positionV relativeFrom="paragraph">
                  <wp:posOffset>3962400</wp:posOffset>
                </wp:positionV>
                <wp:extent cx="3810000" cy="3429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3810000" cy="3429000"/>
                        </a:xfrm>
                        <a:prstGeom prst="rect">
                          <a:avLst/>
                        </a:prstGeom>
                      </pic:spPr>
                    </pic:pic>
                  </a:graphicData>
                </a:graphic>
              </wp:anchor>
            </w:drawing>
          </w:r>
          <w:r>
            <w:rPr>
              <w:b/>
              <w:outline/>
              <w:color w:val="5B9BD5" w:themeColor="accent5"/>
              <w:sz w:val="9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ype="page"/>
          </w:r>
        </w:p>
      </w:sdtContent>
    </w:sdt>
    <w:sdt>
      <w:sdtPr>
        <w:rPr>
          <w:rFonts w:asciiTheme="minorHAnsi" w:eastAsiaTheme="minorHAnsi" w:hAnsiTheme="minorHAnsi" w:cstheme="minorBidi"/>
          <w:color w:val="auto"/>
          <w:sz w:val="22"/>
          <w:szCs w:val="22"/>
          <w:lang w:val="en-AU"/>
        </w:rPr>
        <w:id w:val="-643037903"/>
        <w:docPartObj>
          <w:docPartGallery w:val="Table of Contents"/>
          <w:docPartUnique/>
        </w:docPartObj>
      </w:sdtPr>
      <w:sdtEndPr>
        <w:rPr>
          <w:b/>
          <w:bCs/>
          <w:noProof/>
        </w:rPr>
      </w:sdtEndPr>
      <w:sdtContent>
        <w:p w14:paraId="2188FCAA" w14:textId="55CAC3A2" w:rsidR="00451A57" w:rsidRDefault="00451A57">
          <w:pPr>
            <w:pStyle w:val="TOCHeading"/>
          </w:pPr>
          <w:r>
            <w:t>Contents</w:t>
          </w:r>
          <w:r w:rsidR="00664F8A">
            <w:t xml:space="preserve"> </w:t>
          </w:r>
        </w:p>
        <w:p w14:paraId="3F0BD69F" w14:textId="16379EF4" w:rsidR="008404A4" w:rsidRDefault="00451A57">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513752246" w:history="1">
            <w:r w:rsidR="008404A4" w:rsidRPr="00FA61EF">
              <w:rPr>
                <w:rStyle w:val="Hyperlink"/>
                <w:noProof/>
              </w:rPr>
              <w:t>Abstract</w:t>
            </w:r>
            <w:r w:rsidR="008404A4">
              <w:rPr>
                <w:noProof/>
                <w:webHidden/>
              </w:rPr>
              <w:tab/>
            </w:r>
            <w:r w:rsidR="008404A4">
              <w:rPr>
                <w:noProof/>
                <w:webHidden/>
              </w:rPr>
              <w:fldChar w:fldCharType="begin"/>
            </w:r>
            <w:r w:rsidR="008404A4">
              <w:rPr>
                <w:noProof/>
                <w:webHidden/>
              </w:rPr>
              <w:instrText xml:space="preserve"> PAGEREF _Toc513752246 \h </w:instrText>
            </w:r>
            <w:r w:rsidR="008404A4">
              <w:rPr>
                <w:noProof/>
                <w:webHidden/>
              </w:rPr>
            </w:r>
            <w:r w:rsidR="008404A4">
              <w:rPr>
                <w:noProof/>
                <w:webHidden/>
              </w:rPr>
              <w:fldChar w:fldCharType="separate"/>
            </w:r>
            <w:r w:rsidR="00E46FB0">
              <w:rPr>
                <w:noProof/>
                <w:webHidden/>
              </w:rPr>
              <w:t>2</w:t>
            </w:r>
            <w:r w:rsidR="008404A4">
              <w:rPr>
                <w:noProof/>
                <w:webHidden/>
              </w:rPr>
              <w:fldChar w:fldCharType="end"/>
            </w:r>
          </w:hyperlink>
        </w:p>
        <w:p w14:paraId="44356741" w14:textId="32D84A9C" w:rsidR="008404A4" w:rsidRDefault="00420CC6">
          <w:pPr>
            <w:pStyle w:val="TOC1"/>
            <w:tabs>
              <w:tab w:val="right" w:leader="dot" w:pos="9016"/>
            </w:tabs>
            <w:rPr>
              <w:rFonts w:eastAsiaTheme="minorEastAsia"/>
              <w:noProof/>
              <w:lang w:val="en-US"/>
            </w:rPr>
          </w:pPr>
          <w:hyperlink w:anchor="_Toc513752247" w:history="1">
            <w:r w:rsidR="008404A4" w:rsidRPr="00FA61EF">
              <w:rPr>
                <w:rStyle w:val="Hyperlink"/>
                <w:noProof/>
              </w:rPr>
              <w:t>Introduction</w:t>
            </w:r>
            <w:r w:rsidR="008404A4">
              <w:rPr>
                <w:noProof/>
                <w:webHidden/>
              </w:rPr>
              <w:tab/>
            </w:r>
            <w:r w:rsidR="008404A4">
              <w:rPr>
                <w:noProof/>
                <w:webHidden/>
              </w:rPr>
              <w:fldChar w:fldCharType="begin"/>
            </w:r>
            <w:r w:rsidR="008404A4">
              <w:rPr>
                <w:noProof/>
                <w:webHidden/>
              </w:rPr>
              <w:instrText xml:space="preserve"> PAGEREF _Toc513752247 \h </w:instrText>
            </w:r>
            <w:r w:rsidR="008404A4">
              <w:rPr>
                <w:noProof/>
                <w:webHidden/>
              </w:rPr>
            </w:r>
            <w:r w:rsidR="008404A4">
              <w:rPr>
                <w:noProof/>
                <w:webHidden/>
              </w:rPr>
              <w:fldChar w:fldCharType="separate"/>
            </w:r>
            <w:r w:rsidR="00E46FB0">
              <w:rPr>
                <w:noProof/>
                <w:webHidden/>
              </w:rPr>
              <w:t>2</w:t>
            </w:r>
            <w:r w:rsidR="008404A4">
              <w:rPr>
                <w:noProof/>
                <w:webHidden/>
              </w:rPr>
              <w:fldChar w:fldCharType="end"/>
            </w:r>
          </w:hyperlink>
        </w:p>
        <w:p w14:paraId="4FC70C1E" w14:textId="272EACB7" w:rsidR="008404A4" w:rsidRDefault="00420CC6">
          <w:pPr>
            <w:pStyle w:val="TOC1"/>
            <w:tabs>
              <w:tab w:val="right" w:leader="dot" w:pos="9016"/>
            </w:tabs>
            <w:rPr>
              <w:rFonts w:eastAsiaTheme="minorEastAsia"/>
              <w:noProof/>
              <w:lang w:val="en-US"/>
            </w:rPr>
          </w:pPr>
          <w:hyperlink w:anchor="_Toc513752248" w:history="1">
            <w:r w:rsidR="008404A4" w:rsidRPr="00FA61EF">
              <w:rPr>
                <w:rStyle w:val="Hyperlink"/>
                <w:noProof/>
              </w:rPr>
              <w:t>Procedure</w:t>
            </w:r>
            <w:r w:rsidR="008404A4">
              <w:rPr>
                <w:noProof/>
                <w:webHidden/>
              </w:rPr>
              <w:tab/>
            </w:r>
            <w:r w:rsidR="008404A4">
              <w:rPr>
                <w:noProof/>
                <w:webHidden/>
              </w:rPr>
              <w:fldChar w:fldCharType="begin"/>
            </w:r>
            <w:r w:rsidR="008404A4">
              <w:rPr>
                <w:noProof/>
                <w:webHidden/>
              </w:rPr>
              <w:instrText xml:space="preserve"> PAGEREF _Toc513752248 \h </w:instrText>
            </w:r>
            <w:r w:rsidR="008404A4">
              <w:rPr>
                <w:noProof/>
                <w:webHidden/>
              </w:rPr>
            </w:r>
            <w:r w:rsidR="008404A4">
              <w:rPr>
                <w:noProof/>
                <w:webHidden/>
              </w:rPr>
              <w:fldChar w:fldCharType="separate"/>
            </w:r>
            <w:r w:rsidR="00E46FB0">
              <w:rPr>
                <w:noProof/>
                <w:webHidden/>
              </w:rPr>
              <w:t>4</w:t>
            </w:r>
            <w:r w:rsidR="008404A4">
              <w:rPr>
                <w:noProof/>
                <w:webHidden/>
              </w:rPr>
              <w:fldChar w:fldCharType="end"/>
            </w:r>
          </w:hyperlink>
        </w:p>
        <w:p w14:paraId="2228BD22" w14:textId="7AEB8D11" w:rsidR="008404A4" w:rsidRDefault="00420CC6">
          <w:pPr>
            <w:pStyle w:val="TOC1"/>
            <w:tabs>
              <w:tab w:val="right" w:leader="dot" w:pos="9016"/>
            </w:tabs>
            <w:rPr>
              <w:rFonts w:eastAsiaTheme="minorEastAsia"/>
              <w:noProof/>
              <w:lang w:val="en-US"/>
            </w:rPr>
          </w:pPr>
          <w:hyperlink w:anchor="_Toc513752249" w:history="1">
            <w:r w:rsidR="008404A4" w:rsidRPr="00FA61EF">
              <w:rPr>
                <w:rStyle w:val="Hyperlink"/>
                <w:noProof/>
              </w:rPr>
              <w:t>Results</w:t>
            </w:r>
            <w:r w:rsidR="008404A4">
              <w:rPr>
                <w:noProof/>
                <w:webHidden/>
              </w:rPr>
              <w:tab/>
            </w:r>
            <w:r w:rsidR="008404A4">
              <w:rPr>
                <w:noProof/>
                <w:webHidden/>
              </w:rPr>
              <w:fldChar w:fldCharType="begin"/>
            </w:r>
            <w:r w:rsidR="008404A4">
              <w:rPr>
                <w:noProof/>
                <w:webHidden/>
              </w:rPr>
              <w:instrText xml:space="preserve"> PAGEREF _Toc513752249 \h </w:instrText>
            </w:r>
            <w:r w:rsidR="008404A4">
              <w:rPr>
                <w:noProof/>
                <w:webHidden/>
              </w:rPr>
            </w:r>
            <w:r w:rsidR="008404A4">
              <w:rPr>
                <w:noProof/>
                <w:webHidden/>
              </w:rPr>
              <w:fldChar w:fldCharType="separate"/>
            </w:r>
            <w:r w:rsidR="00E46FB0">
              <w:rPr>
                <w:noProof/>
                <w:webHidden/>
              </w:rPr>
              <w:t>5</w:t>
            </w:r>
            <w:r w:rsidR="008404A4">
              <w:rPr>
                <w:noProof/>
                <w:webHidden/>
              </w:rPr>
              <w:fldChar w:fldCharType="end"/>
            </w:r>
          </w:hyperlink>
        </w:p>
        <w:p w14:paraId="0FEC79DA" w14:textId="5C9C6016" w:rsidR="008404A4" w:rsidRDefault="00420CC6">
          <w:pPr>
            <w:pStyle w:val="TOC1"/>
            <w:tabs>
              <w:tab w:val="right" w:leader="dot" w:pos="9016"/>
            </w:tabs>
            <w:rPr>
              <w:rFonts w:eastAsiaTheme="minorEastAsia"/>
              <w:noProof/>
              <w:lang w:val="en-US"/>
            </w:rPr>
          </w:pPr>
          <w:hyperlink w:anchor="_Toc513752250" w:history="1">
            <w:r w:rsidR="008404A4" w:rsidRPr="00FA61EF">
              <w:rPr>
                <w:rStyle w:val="Hyperlink"/>
                <w:noProof/>
              </w:rPr>
              <w:t>Discussion</w:t>
            </w:r>
            <w:r w:rsidR="008404A4">
              <w:rPr>
                <w:noProof/>
                <w:webHidden/>
              </w:rPr>
              <w:tab/>
            </w:r>
            <w:r w:rsidR="008404A4">
              <w:rPr>
                <w:noProof/>
                <w:webHidden/>
              </w:rPr>
              <w:fldChar w:fldCharType="begin"/>
            </w:r>
            <w:r w:rsidR="008404A4">
              <w:rPr>
                <w:noProof/>
                <w:webHidden/>
              </w:rPr>
              <w:instrText xml:space="preserve"> PAGEREF _Toc513752250 \h </w:instrText>
            </w:r>
            <w:r w:rsidR="008404A4">
              <w:rPr>
                <w:noProof/>
                <w:webHidden/>
              </w:rPr>
            </w:r>
            <w:r w:rsidR="008404A4">
              <w:rPr>
                <w:noProof/>
                <w:webHidden/>
              </w:rPr>
              <w:fldChar w:fldCharType="separate"/>
            </w:r>
            <w:r w:rsidR="00E46FB0">
              <w:rPr>
                <w:noProof/>
                <w:webHidden/>
              </w:rPr>
              <w:t>6</w:t>
            </w:r>
            <w:r w:rsidR="008404A4">
              <w:rPr>
                <w:noProof/>
                <w:webHidden/>
              </w:rPr>
              <w:fldChar w:fldCharType="end"/>
            </w:r>
          </w:hyperlink>
        </w:p>
        <w:p w14:paraId="7E0B5205" w14:textId="20D61B0B" w:rsidR="008404A4" w:rsidRDefault="00420CC6">
          <w:pPr>
            <w:pStyle w:val="TOC2"/>
            <w:tabs>
              <w:tab w:val="right" w:leader="dot" w:pos="9016"/>
            </w:tabs>
            <w:rPr>
              <w:rFonts w:eastAsiaTheme="minorEastAsia"/>
              <w:noProof/>
              <w:lang w:val="en-US"/>
            </w:rPr>
          </w:pPr>
          <w:hyperlink w:anchor="_Toc513752251" w:history="1">
            <w:r w:rsidR="008404A4" w:rsidRPr="00FA61EF">
              <w:rPr>
                <w:rStyle w:val="Hyperlink"/>
                <w:noProof/>
              </w:rPr>
              <w:t>Inaccuracy</w:t>
            </w:r>
            <w:r w:rsidR="008404A4">
              <w:rPr>
                <w:noProof/>
                <w:webHidden/>
              </w:rPr>
              <w:tab/>
            </w:r>
            <w:r w:rsidR="008404A4">
              <w:rPr>
                <w:noProof/>
                <w:webHidden/>
              </w:rPr>
              <w:fldChar w:fldCharType="begin"/>
            </w:r>
            <w:r w:rsidR="008404A4">
              <w:rPr>
                <w:noProof/>
                <w:webHidden/>
              </w:rPr>
              <w:instrText xml:space="preserve"> PAGEREF _Toc513752251 \h </w:instrText>
            </w:r>
            <w:r w:rsidR="008404A4">
              <w:rPr>
                <w:noProof/>
                <w:webHidden/>
              </w:rPr>
            </w:r>
            <w:r w:rsidR="008404A4">
              <w:rPr>
                <w:noProof/>
                <w:webHidden/>
              </w:rPr>
              <w:fldChar w:fldCharType="separate"/>
            </w:r>
            <w:r w:rsidR="00E46FB0">
              <w:rPr>
                <w:noProof/>
                <w:webHidden/>
              </w:rPr>
              <w:t>6</w:t>
            </w:r>
            <w:r w:rsidR="008404A4">
              <w:rPr>
                <w:noProof/>
                <w:webHidden/>
              </w:rPr>
              <w:fldChar w:fldCharType="end"/>
            </w:r>
          </w:hyperlink>
        </w:p>
        <w:p w14:paraId="13568201" w14:textId="10BAAE71" w:rsidR="008404A4" w:rsidRDefault="00420CC6">
          <w:pPr>
            <w:pStyle w:val="TOC2"/>
            <w:tabs>
              <w:tab w:val="right" w:leader="dot" w:pos="9016"/>
            </w:tabs>
            <w:rPr>
              <w:rFonts w:eastAsiaTheme="minorEastAsia"/>
              <w:noProof/>
              <w:lang w:val="en-US"/>
            </w:rPr>
          </w:pPr>
          <w:hyperlink w:anchor="_Toc513752252" w:history="1">
            <w:r w:rsidR="008404A4" w:rsidRPr="00FA61EF">
              <w:rPr>
                <w:rStyle w:val="Hyperlink"/>
                <w:noProof/>
              </w:rPr>
              <w:t>Data Analysis</w:t>
            </w:r>
            <w:r w:rsidR="008404A4">
              <w:rPr>
                <w:noProof/>
                <w:webHidden/>
              </w:rPr>
              <w:tab/>
            </w:r>
            <w:r w:rsidR="008404A4">
              <w:rPr>
                <w:noProof/>
                <w:webHidden/>
              </w:rPr>
              <w:fldChar w:fldCharType="begin"/>
            </w:r>
            <w:r w:rsidR="008404A4">
              <w:rPr>
                <w:noProof/>
                <w:webHidden/>
              </w:rPr>
              <w:instrText xml:space="preserve"> PAGEREF _Toc513752252 \h </w:instrText>
            </w:r>
            <w:r w:rsidR="008404A4">
              <w:rPr>
                <w:noProof/>
                <w:webHidden/>
              </w:rPr>
            </w:r>
            <w:r w:rsidR="008404A4">
              <w:rPr>
                <w:noProof/>
                <w:webHidden/>
              </w:rPr>
              <w:fldChar w:fldCharType="separate"/>
            </w:r>
            <w:r w:rsidR="00E46FB0">
              <w:rPr>
                <w:noProof/>
                <w:webHidden/>
              </w:rPr>
              <w:t>7</w:t>
            </w:r>
            <w:r w:rsidR="008404A4">
              <w:rPr>
                <w:noProof/>
                <w:webHidden/>
              </w:rPr>
              <w:fldChar w:fldCharType="end"/>
            </w:r>
          </w:hyperlink>
        </w:p>
        <w:p w14:paraId="78C62153" w14:textId="222782A6" w:rsidR="008404A4" w:rsidRDefault="00420CC6">
          <w:pPr>
            <w:pStyle w:val="TOC1"/>
            <w:tabs>
              <w:tab w:val="right" w:leader="dot" w:pos="9016"/>
            </w:tabs>
            <w:rPr>
              <w:rFonts w:eastAsiaTheme="minorEastAsia"/>
              <w:noProof/>
              <w:lang w:val="en-US"/>
            </w:rPr>
          </w:pPr>
          <w:hyperlink w:anchor="_Toc513752253" w:history="1">
            <w:r w:rsidR="008404A4" w:rsidRPr="00FA61EF">
              <w:rPr>
                <w:rStyle w:val="Hyperlink"/>
                <w:noProof/>
              </w:rPr>
              <w:t>Conclusion</w:t>
            </w:r>
            <w:r w:rsidR="008404A4">
              <w:rPr>
                <w:noProof/>
                <w:webHidden/>
              </w:rPr>
              <w:tab/>
            </w:r>
            <w:r w:rsidR="008404A4">
              <w:rPr>
                <w:noProof/>
                <w:webHidden/>
              </w:rPr>
              <w:fldChar w:fldCharType="begin"/>
            </w:r>
            <w:r w:rsidR="008404A4">
              <w:rPr>
                <w:noProof/>
                <w:webHidden/>
              </w:rPr>
              <w:instrText xml:space="preserve"> PAGEREF _Toc513752253 \h </w:instrText>
            </w:r>
            <w:r w:rsidR="008404A4">
              <w:rPr>
                <w:noProof/>
                <w:webHidden/>
              </w:rPr>
            </w:r>
            <w:r w:rsidR="008404A4">
              <w:rPr>
                <w:noProof/>
                <w:webHidden/>
              </w:rPr>
              <w:fldChar w:fldCharType="separate"/>
            </w:r>
            <w:r w:rsidR="00E46FB0">
              <w:rPr>
                <w:noProof/>
                <w:webHidden/>
              </w:rPr>
              <w:t>8</w:t>
            </w:r>
            <w:r w:rsidR="008404A4">
              <w:rPr>
                <w:noProof/>
                <w:webHidden/>
              </w:rPr>
              <w:fldChar w:fldCharType="end"/>
            </w:r>
          </w:hyperlink>
        </w:p>
        <w:p w14:paraId="63F9597F" w14:textId="072EF17C" w:rsidR="008404A4" w:rsidRDefault="00420CC6">
          <w:pPr>
            <w:pStyle w:val="TOC1"/>
            <w:tabs>
              <w:tab w:val="right" w:leader="dot" w:pos="9016"/>
            </w:tabs>
            <w:rPr>
              <w:rFonts w:eastAsiaTheme="minorEastAsia"/>
              <w:noProof/>
              <w:lang w:val="en-US"/>
            </w:rPr>
          </w:pPr>
          <w:hyperlink w:anchor="_Toc513752254" w:history="1">
            <w:r w:rsidR="008404A4" w:rsidRPr="00FA61EF">
              <w:rPr>
                <w:rStyle w:val="Hyperlink"/>
                <w:noProof/>
              </w:rPr>
              <w:t>Appendix</w:t>
            </w:r>
            <w:r w:rsidR="008404A4">
              <w:rPr>
                <w:noProof/>
                <w:webHidden/>
              </w:rPr>
              <w:tab/>
            </w:r>
            <w:r w:rsidR="008404A4">
              <w:rPr>
                <w:noProof/>
                <w:webHidden/>
              </w:rPr>
              <w:fldChar w:fldCharType="begin"/>
            </w:r>
            <w:r w:rsidR="008404A4">
              <w:rPr>
                <w:noProof/>
                <w:webHidden/>
              </w:rPr>
              <w:instrText xml:space="preserve"> PAGEREF _Toc513752254 \h </w:instrText>
            </w:r>
            <w:r w:rsidR="008404A4">
              <w:rPr>
                <w:noProof/>
                <w:webHidden/>
              </w:rPr>
            </w:r>
            <w:r w:rsidR="008404A4">
              <w:rPr>
                <w:noProof/>
                <w:webHidden/>
              </w:rPr>
              <w:fldChar w:fldCharType="separate"/>
            </w:r>
            <w:r w:rsidR="00E46FB0">
              <w:rPr>
                <w:noProof/>
                <w:webHidden/>
              </w:rPr>
              <w:t>9</w:t>
            </w:r>
            <w:r w:rsidR="008404A4">
              <w:rPr>
                <w:noProof/>
                <w:webHidden/>
              </w:rPr>
              <w:fldChar w:fldCharType="end"/>
            </w:r>
          </w:hyperlink>
        </w:p>
        <w:p w14:paraId="6FEB5026" w14:textId="35E7BC7D" w:rsidR="008404A4" w:rsidRDefault="00420CC6">
          <w:pPr>
            <w:pStyle w:val="TOC2"/>
            <w:tabs>
              <w:tab w:val="right" w:leader="dot" w:pos="9016"/>
            </w:tabs>
            <w:rPr>
              <w:rFonts w:eastAsiaTheme="minorEastAsia"/>
              <w:noProof/>
              <w:lang w:val="en-US"/>
            </w:rPr>
          </w:pPr>
          <w:hyperlink w:anchor="_Toc513752255" w:history="1">
            <w:r w:rsidR="008404A4" w:rsidRPr="00FA61EF">
              <w:rPr>
                <w:rStyle w:val="Hyperlink"/>
                <w:noProof/>
              </w:rPr>
              <w:t>Calculations</w:t>
            </w:r>
            <w:r w:rsidR="008404A4">
              <w:rPr>
                <w:noProof/>
                <w:webHidden/>
              </w:rPr>
              <w:tab/>
            </w:r>
            <w:r w:rsidR="008404A4">
              <w:rPr>
                <w:noProof/>
                <w:webHidden/>
              </w:rPr>
              <w:fldChar w:fldCharType="begin"/>
            </w:r>
            <w:r w:rsidR="008404A4">
              <w:rPr>
                <w:noProof/>
                <w:webHidden/>
              </w:rPr>
              <w:instrText xml:space="preserve"> PAGEREF _Toc513752255 \h </w:instrText>
            </w:r>
            <w:r w:rsidR="008404A4">
              <w:rPr>
                <w:noProof/>
                <w:webHidden/>
              </w:rPr>
            </w:r>
            <w:r w:rsidR="008404A4">
              <w:rPr>
                <w:noProof/>
                <w:webHidden/>
              </w:rPr>
              <w:fldChar w:fldCharType="separate"/>
            </w:r>
            <w:r w:rsidR="00E46FB0">
              <w:rPr>
                <w:noProof/>
                <w:webHidden/>
              </w:rPr>
              <w:t>9</w:t>
            </w:r>
            <w:r w:rsidR="008404A4">
              <w:rPr>
                <w:noProof/>
                <w:webHidden/>
              </w:rPr>
              <w:fldChar w:fldCharType="end"/>
            </w:r>
          </w:hyperlink>
        </w:p>
        <w:p w14:paraId="316EBB0A" w14:textId="52386840" w:rsidR="008404A4" w:rsidRDefault="00420CC6">
          <w:pPr>
            <w:pStyle w:val="TOC1"/>
            <w:tabs>
              <w:tab w:val="right" w:leader="dot" w:pos="9016"/>
            </w:tabs>
            <w:rPr>
              <w:rFonts w:eastAsiaTheme="minorEastAsia"/>
              <w:noProof/>
              <w:lang w:val="en-US"/>
            </w:rPr>
          </w:pPr>
          <w:hyperlink w:anchor="_Toc513752256" w:history="1">
            <w:r w:rsidR="008404A4" w:rsidRPr="00FA61EF">
              <w:rPr>
                <w:rStyle w:val="Hyperlink"/>
                <w:noProof/>
              </w:rPr>
              <w:t>Bibliography</w:t>
            </w:r>
            <w:r w:rsidR="008404A4">
              <w:rPr>
                <w:noProof/>
                <w:webHidden/>
              </w:rPr>
              <w:tab/>
            </w:r>
            <w:r w:rsidR="008404A4">
              <w:rPr>
                <w:noProof/>
                <w:webHidden/>
              </w:rPr>
              <w:fldChar w:fldCharType="begin"/>
            </w:r>
            <w:r w:rsidR="008404A4">
              <w:rPr>
                <w:noProof/>
                <w:webHidden/>
              </w:rPr>
              <w:instrText xml:space="preserve"> PAGEREF _Toc513752256 \h </w:instrText>
            </w:r>
            <w:r w:rsidR="008404A4">
              <w:rPr>
                <w:noProof/>
                <w:webHidden/>
              </w:rPr>
            </w:r>
            <w:r w:rsidR="008404A4">
              <w:rPr>
                <w:noProof/>
                <w:webHidden/>
              </w:rPr>
              <w:fldChar w:fldCharType="separate"/>
            </w:r>
            <w:r w:rsidR="00E46FB0">
              <w:rPr>
                <w:noProof/>
                <w:webHidden/>
              </w:rPr>
              <w:t>10</w:t>
            </w:r>
            <w:r w:rsidR="008404A4">
              <w:rPr>
                <w:noProof/>
                <w:webHidden/>
              </w:rPr>
              <w:fldChar w:fldCharType="end"/>
            </w:r>
          </w:hyperlink>
        </w:p>
        <w:p w14:paraId="1F51BDE2" w14:textId="18639305" w:rsidR="00451A57" w:rsidRDefault="00451A57">
          <w:r>
            <w:rPr>
              <w:b/>
              <w:bCs/>
              <w:noProof/>
            </w:rPr>
            <w:fldChar w:fldCharType="end"/>
          </w:r>
        </w:p>
      </w:sdtContent>
    </w:sdt>
    <w:p w14:paraId="409746B0" w14:textId="13FA1F54" w:rsidR="00CC7C77" w:rsidRDefault="00CC7C77" w:rsidP="00451A57"/>
    <w:p w14:paraId="7D909561" w14:textId="2A4771FE" w:rsidR="00040E94" w:rsidRDefault="00040E94">
      <w:r>
        <w:br w:type="page"/>
      </w:r>
    </w:p>
    <w:p w14:paraId="46038A2F" w14:textId="794D5096" w:rsidR="001038A3" w:rsidRDefault="001038A3" w:rsidP="00451A57">
      <w:pPr>
        <w:pStyle w:val="Heading1"/>
      </w:pPr>
      <w:bookmarkStart w:id="0" w:name="_Toc513752246"/>
      <w:r>
        <w:lastRenderedPageBreak/>
        <w:t>Abstract</w:t>
      </w:r>
      <w:bookmarkEnd w:id="0"/>
    </w:p>
    <w:p w14:paraId="72BA57DD" w14:textId="4626465F" w:rsidR="005E3E9C" w:rsidRPr="00FF3F0F" w:rsidRDefault="00C24C46" w:rsidP="00FF3F0F">
      <w:r>
        <w:t xml:space="preserve">This report details </w:t>
      </w:r>
      <w:r w:rsidR="00FF3F0F">
        <w:t>the observation of the Hall effect in two germanium samples, 336</w:t>
      </w:r>
      <w:r w:rsidR="00690C17">
        <w:t>1</w:t>
      </w:r>
      <w:r w:rsidR="00FF3F0F">
        <w:t xml:space="preserve"> and 3375. Hall Voltages were recorded for changing magnetic fields and used to calculate the hall coefficient, carrier type</w:t>
      </w:r>
      <w:r w:rsidR="00DF3A92">
        <w:t xml:space="preserve">, </w:t>
      </w:r>
      <w:r w:rsidR="00FF3F0F">
        <w:t>density and carrier mobility of each material. Sample 336</w:t>
      </w:r>
      <w:r w:rsidR="00690C17">
        <w:t>1</w:t>
      </w:r>
      <w:r w:rsidR="00FF3F0F">
        <w:t xml:space="preserve"> was found to be a p-type semiconductor and its carrier density was 3.</w:t>
      </w:r>
      <w:r w:rsidR="00FF3F0F" w:rsidRPr="00FF3F0F">
        <w:t>03x10</w:t>
      </w:r>
      <w:r w:rsidR="00FF3F0F" w:rsidRPr="00FF3F0F">
        <w:rPr>
          <w:vertAlign w:val="superscript"/>
        </w:rPr>
        <w:t>13</w:t>
      </w:r>
      <w:r w:rsidR="00FF3F0F">
        <w:t xml:space="preserve"> ± </w:t>
      </w:r>
      <w:r w:rsidR="00FF3F0F">
        <w:rPr>
          <w:b/>
        </w:rPr>
        <w:t xml:space="preserve">XX </w:t>
      </w:r>
      <w:r w:rsidR="00FF3F0F" w:rsidRPr="00FF3F0F">
        <w:t>cm</w:t>
      </w:r>
      <w:r w:rsidR="00FF3F0F">
        <w:rPr>
          <w:vertAlign w:val="superscript"/>
        </w:rPr>
        <w:t>-3</w:t>
      </w:r>
      <w:r w:rsidR="00FF3F0F">
        <w:t>. Sample 3375 was found to be an n-type semiconductor with a carrier density of 3.12 x10</w:t>
      </w:r>
      <w:r w:rsidR="00FF3F0F">
        <w:rPr>
          <w:vertAlign w:val="superscript"/>
        </w:rPr>
        <w:t xml:space="preserve">13 </w:t>
      </w:r>
      <w:r w:rsidR="00FF3F0F">
        <w:t xml:space="preserve">± </w:t>
      </w:r>
      <w:r w:rsidR="00FF3F0F">
        <w:rPr>
          <w:b/>
        </w:rPr>
        <w:t xml:space="preserve">XX </w:t>
      </w:r>
      <w:r w:rsidR="00FF3F0F">
        <w:t>cm</w:t>
      </w:r>
      <w:r w:rsidR="00FF3F0F">
        <w:rPr>
          <w:vertAlign w:val="superscript"/>
        </w:rPr>
        <w:t>-3</w:t>
      </w:r>
      <w:r w:rsidR="00FF3F0F">
        <w:t>.</w:t>
      </w:r>
      <w:r w:rsidR="00DF3A92">
        <w:t xml:space="preserve"> </w:t>
      </w:r>
    </w:p>
    <w:p w14:paraId="3A724841" w14:textId="77777777" w:rsidR="00040E94" w:rsidRDefault="00040E94" w:rsidP="00040E94">
      <w:pPr>
        <w:pStyle w:val="Heading1"/>
      </w:pPr>
      <w:bookmarkStart w:id="1" w:name="_Toc513752247"/>
    </w:p>
    <w:p w14:paraId="23685A08" w14:textId="3DB095DE" w:rsidR="00A241F2" w:rsidRDefault="00451A57" w:rsidP="00040E94">
      <w:pPr>
        <w:pStyle w:val="Heading1"/>
      </w:pPr>
      <w:r>
        <w:t>Introduction</w:t>
      </w:r>
      <w:bookmarkEnd w:id="1"/>
    </w:p>
    <w:p w14:paraId="76774DFD" w14:textId="36716939" w:rsidR="007164D5" w:rsidRDefault="00040E94" w:rsidP="00040E94">
      <w:r>
        <w:t xml:space="preserve">The Hall Effect is phenomenon where in a magnetic field is applied perpendicular to a current passing through a conductor. </w:t>
      </w:r>
      <w:r w:rsidR="00346BD5">
        <w:t>The charges moving in the magnetic field experience a</w:t>
      </w:r>
      <w:r>
        <w:t xml:space="preserve"> force </w:t>
      </w:r>
      <w:r w:rsidR="00346BD5">
        <w:t xml:space="preserve">deflecting </w:t>
      </w:r>
      <w:r>
        <w:t>perpendicular to both the magnetic field and current direction</w:t>
      </w:r>
      <w:r w:rsidR="00727EA9">
        <w:t xml:space="preserve"> (s</w:t>
      </w:r>
      <w:r>
        <w:t>ee Figure 1.)</w:t>
      </w:r>
      <w:r w:rsidR="00575730">
        <w:t xml:space="preserve"> The deflection of the carriers creates an accumulation of charges in one place and hence potential difference </w:t>
      </w:r>
      <w:r w:rsidR="00346BD5">
        <w:t xml:space="preserve">and associated electric field </w:t>
      </w:r>
      <w:r w:rsidR="00575730">
        <w:t>is created. This potential difference is the “hall voltage”.</w:t>
      </w:r>
    </w:p>
    <w:p w14:paraId="19E2AC43" w14:textId="77777777" w:rsidR="00575730" w:rsidRDefault="00575730" w:rsidP="00575730">
      <w:pPr>
        <w:keepNext/>
      </w:pPr>
      <w:r>
        <w:rPr>
          <w:noProof/>
        </w:rPr>
        <w:drawing>
          <wp:inline distT="0" distB="0" distL="0" distR="0" wp14:anchorId="65CEB2F2" wp14:editId="2745B424">
            <wp:extent cx="2749550" cy="1698611"/>
            <wp:effectExtent l="19050" t="19050" r="12700" b="16510"/>
            <wp:docPr id="3" name="Picture 3" descr="http://dangerousprototypes.com/blog/wp-content/media/2012/01/HallEff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ngerousprototypes.com/blog/wp-content/media/2012/01/HallEffec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72505" cy="1712792"/>
                    </a:xfrm>
                    <a:prstGeom prst="rect">
                      <a:avLst/>
                    </a:prstGeom>
                    <a:noFill/>
                    <a:ln>
                      <a:solidFill>
                        <a:schemeClr val="tx1"/>
                      </a:solidFill>
                    </a:ln>
                  </pic:spPr>
                </pic:pic>
              </a:graphicData>
            </a:graphic>
          </wp:inline>
        </w:drawing>
      </w:r>
    </w:p>
    <w:p w14:paraId="03557C5E" w14:textId="1FB5762D" w:rsidR="00575730" w:rsidRDefault="00575730" w:rsidP="00575730">
      <w:pPr>
        <w:pStyle w:val="Caption"/>
      </w:pPr>
      <w:r>
        <w:t xml:space="preserve">Figure </w:t>
      </w:r>
      <w:r w:rsidR="00420CC6">
        <w:fldChar w:fldCharType="begin"/>
      </w:r>
      <w:r w:rsidR="00420CC6">
        <w:instrText xml:space="preserve"> SEQ Figure \* ARABIC </w:instrText>
      </w:r>
      <w:r w:rsidR="00420CC6">
        <w:fldChar w:fldCharType="separate"/>
      </w:r>
      <w:r w:rsidR="000C64D4">
        <w:rPr>
          <w:noProof/>
        </w:rPr>
        <w:t>1</w:t>
      </w:r>
      <w:r w:rsidR="00420CC6">
        <w:rPr>
          <w:noProof/>
        </w:rPr>
        <w:fldChar w:fldCharType="end"/>
      </w:r>
      <w:r>
        <w:t xml:space="preserve">: Magnetic field and current applied to a conductor generating a hall voltage (source: </w:t>
      </w:r>
      <w:r w:rsidR="007164D5">
        <w:t>dangerousprototypes.com</w:t>
      </w:r>
      <w:r w:rsidR="007164D5">
        <w:rPr>
          <w:noProof/>
        </w:rPr>
        <w:t>)</w:t>
      </w:r>
    </w:p>
    <w:p w14:paraId="2058AC5C" w14:textId="6A680AC5" w:rsidR="004804C8" w:rsidRDefault="004804C8" w:rsidP="00040E94">
      <w:r>
        <w:t xml:space="preserve">By knowing the direction of the magnetic field </w:t>
      </w:r>
      <w:r w:rsidR="001F20EE">
        <w:t xml:space="preserve">and </w:t>
      </w:r>
      <w:r>
        <w:t>current</w:t>
      </w:r>
      <w:r w:rsidR="001F20EE">
        <w:t>, the direction of the force acting on a charge carrier can be determine</w:t>
      </w:r>
      <w:r w:rsidR="008C6987">
        <w:t>d</w:t>
      </w:r>
      <w:r w:rsidR="001F20EE">
        <w:t xml:space="preserve"> (See figure 2).</w:t>
      </w:r>
      <w:r w:rsidR="008C6987">
        <w:t xml:space="preserve"> This information in combination with knowing the orientation of the voltmeter terminals measuring the hall voltage can be used to figure out the majority carrier “type” of the sample.</w:t>
      </w:r>
    </w:p>
    <w:p w14:paraId="1DFC7F7F" w14:textId="77777777" w:rsidR="00727EA9" w:rsidRDefault="00727EA9" w:rsidP="00727EA9">
      <w:pPr>
        <w:keepNext/>
      </w:pPr>
      <w:r>
        <w:rPr>
          <w:noProof/>
        </w:rPr>
        <w:drawing>
          <wp:inline distT="0" distB="0" distL="0" distR="0" wp14:anchorId="1266163B" wp14:editId="7DBB1F08">
            <wp:extent cx="2435527" cy="1695450"/>
            <wp:effectExtent l="19050" t="19050" r="22225" b="19050"/>
            <wp:docPr id="6" name="Picture 6" descr="Image result for right hand r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right hand ru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7006" cy="1703441"/>
                    </a:xfrm>
                    <a:prstGeom prst="rect">
                      <a:avLst/>
                    </a:prstGeom>
                    <a:noFill/>
                    <a:ln>
                      <a:solidFill>
                        <a:schemeClr val="tx1"/>
                      </a:solidFill>
                    </a:ln>
                  </pic:spPr>
                </pic:pic>
              </a:graphicData>
            </a:graphic>
          </wp:inline>
        </w:drawing>
      </w:r>
    </w:p>
    <w:p w14:paraId="0D33191B" w14:textId="0DEB4CDD" w:rsidR="00727EA9" w:rsidRDefault="00727EA9" w:rsidP="00727EA9">
      <w:pPr>
        <w:pStyle w:val="Caption"/>
      </w:pPr>
      <w:r>
        <w:t xml:space="preserve">Figure </w:t>
      </w:r>
      <w:r w:rsidR="00420CC6">
        <w:fldChar w:fldCharType="begin"/>
      </w:r>
      <w:r w:rsidR="00420CC6">
        <w:instrText xml:space="preserve"> SEQ Figur</w:instrText>
      </w:r>
      <w:r w:rsidR="00420CC6">
        <w:instrText xml:space="preserve">e \* ARABIC </w:instrText>
      </w:r>
      <w:r w:rsidR="00420CC6">
        <w:fldChar w:fldCharType="separate"/>
      </w:r>
      <w:r w:rsidR="000C64D4">
        <w:rPr>
          <w:noProof/>
        </w:rPr>
        <w:t>2</w:t>
      </w:r>
      <w:r w:rsidR="00420CC6">
        <w:rPr>
          <w:noProof/>
        </w:rPr>
        <w:fldChar w:fldCharType="end"/>
      </w:r>
      <w:r>
        <w:t>: Right-hand rule, indicating the direction of force acting on a positive charge carrier.</w:t>
      </w:r>
    </w:p>
    <w:p w14:paraId="15681DD4" w14:textId="1D299DCA" w:rsidR="006318C5" w:rsidRDefault="006318C5" w:rsidP="001F20EE">
      <w:r>
        <w:t xml:space="preserve">The force is calculated as the cross product of the </w:t>
      </w:r>
      <w:r w:rsidR="00F577D5">
        <w:t>hall voltage (V)</w:t>
      </w:r>
      <w:r>
        <w:t xml:space="preserve"> and current </w:t>
      </w:r>
      <w:r w:rsidR="00F577D5">
        <w:t>(I)</w:t>
      </w:r>
      <w:r>
        <w:t>.</w:t>
      </w:r>
    </w:p>
    <w:p w14:paraId="03A0655A" w14:textId="46FA1D29" w:rsidR="006318C5" w:rsidRPr="00AE72E9" w:rsidRDefault="006318C5" w:rsidP="001F20EE">
      <w:pPr>
        <w:rPr>
          <w:rFonts w:eastAsiaTheme="minorEastAsia"/>
        </w:rPr>
      </w:pPr>
      <m:oMathPara>
        <m:oMath>
          <m:r>
            <w:rPr>
              <w:rFonts w:ascii="Cambria Math" w:hAnsi="Cambria Math"/>
            </w:rPr>
            <m:t>F=</m:t>
          </m:r>
          <m:r>
            <w:rPr>
              <w:rFonts w:ascii="Cambria Math" w:hAnsi="Cambria Math"/>
            </w:rPr>
            <m:t>V</m:t>
          </m:r>
          <m:r>
            <w:rPr>
              <w:rFonts w:ascii="Cambria Math" w:hAnsi="Cambria Math"/>
            </w:rPr>
            <m:t xml:space="preserve"> </m:t>
          </m:r>
          <m:r>
            <m:rPr>
              <m:sty m:val="p"/>
            </m:rPr>
            <w:rPr>
              <w:rFonts w:ascii="Cambria Math" w:hAnsi="Cambria Math"/>
            </w:rPr>
            <m:t>x</m:t>
          </m:r>
          <m:r>
            <m:rPr>
              <m:sty m:val="p"/>
            </m:rPr>
            <w:rPr>
              <w:rFonts w:ascii="Cambria Math" w:hAnsi="Cambria Math"/>
            </w:rPr>
            <m:t xml:space="preserve"> </m:t>
          </m:r>
          <m:r>
            <w:rPr>
              <w:rFonts w:ascii="Cambria Math" w:hAnsi="Cambria Math"/>
            </w:rPr>
            <m:t>B</m:t>
          </m:r>
        </m:oMath>
      </m:oMathPara>
    </w:p>
    <w:p w14:paraId="00FD7483" w14:textId="46BE1248" w:rsidR="00AE72E9" w:rsidRPr="00F577D5" w:rsidRDefault="00AE72E9" w:rsidP="001F20EE">
      <w:pPr>
        <w:rPr>
          <w:rFonts w:eastAsiaTheme="minorEastAsia"/>
        </w:rPr>
      </w:pPr>
      <m:oMathPara>
        <m:oMathParaPr>
          <m:jc m:val="left"/>
        </m:oMathParaPr>
        <m:oMath>
          <m:r>
            <w:rPr>
              <w:rFonts w:ascii="Cambria Math" w:hAnsi="Cambria Math"/>
            </w:rPr>
            <m:t xml:space="preserve">Where F, </m:t>
          </m:r>
          <m:r>
            <w:rPr>
              <w:rFonts w:ascii="Cambria Math" w:hAnsi="Cambria Math"/>
            </w:rPr>
            <m:t>V</m:t>
          </m:r>
          <m:r>
            <w:rPr>
              <w:rFonts w:ascii="Cambria Math" w:hAnsi="Cambria Math"/>
            </w:rPr>
            <m:t xml:space="preserve"> and B are all vectors</m:t>
          </m:r>
          <m:r>
            <w:rPr>
              <w:rFonts w:ascii="Cambria Math" w:hAnsi="Cambria Math"/>
            </w:rPr>
            <m:t>.</m:t>
          </m:r>
        </m:oMath>
      </m:oMathPara>
    </w:p>
    <w:p w14:paraId="38298DC5" w14:textId="5D38BBD0" w:rsidR="00F577D5" w:rsidRDefault="00F577D5" w:rsidP="001F20EE">
      <w:pPr>
        <w:rPr>
          <w:rFonts w:eastAsiaTheme="minorEastAsia"/>
        </w:rPr>
      </w:pPr>
      <w:r>
        <w:rPr>
          <w:rFonts w:eastAsiaTheme="minorEastAsia"/>
        </w:rPr>
        <w:lastRenderedPageBreak/>
        <w:t xml:space="preserve">The Hall voltage (V) is related to the magnetic field (B), current (I), charge (q), carrier density (p) and sample conductor thickness (t) by: </w:t>
      </w:r>
    </w:p>
    <w:p w14:paraId="648A03D6" w14:textId="77777777" w:rsidR="00D51C70" w:rsidRDefault="00D51C70" w:rsidP="001F20EE">
      <w:pPr>
        <w:rPr>
          <w:rFonts w:eastAsiaTheme="minorEastAsia"/>
        </w:rPr>
      </w:pPr>
    </w:p>
    <w:p w14:paraId="272E5407" w14:textId="375A61D7" w:rsidR="00AA6DB8" w:rsidRPr="00AA6DB8" w:rsidRDefault="00AA6DB8" w:rsidP="00D51C70">
      <w:pPr>
        <w:rPr>
          <w:rFonts w:eastAsiaTheme="minorEastAsia"/>
        </w:rPr>
      </w:pPr>
      <m:oMathPara>
        <m:oMathParaPr>
          <m:jc m:val="left"/>
        </m:oMathParaPr>
        <m:oMath>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 xml:space="preserve">                                                                              V=</m:t>
          </m:r>
          <m:f>
            <m:fPr>
              <m:ctrlPr>
                <w:rPr>
                  <w:rFonts w:ascii="Cambria Math" w:eastAsiaTheme="minorEastAsia" w:hAnsi="Cambria Math"/>
                  <w:i/>
                </w:rPr>
              </m:ctrlPr>
            </m:fPr>
            <m:num>
              <m:r>
                <w:rPr>
                  <w:rFonts w:ascii="Cambria Math" w:eastAsiaTheme="minorEastAsia" w:hAnsi="Cambria Math"/>
                </w:rPr>
                <m:t>BI</m:t>
              </m:r>
            </m:num>
            <m:den>
              <m:r>
                <w:rPr>
                  <w:rFonts w:ascii="Cambria Math" w:eastAsiaTheme="minorEastAsia" w:hAnsi="Cambria Math"/>
                </w:rPr>
                <m:t>pqt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BI</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num>
            <m:den>
              <m:r>
                <w:rPr>
                  <w:rFonts w:ascii="Cambria Math" w:eastAsiaTheme="minorEastAsia" w:hAnsi="Cambria Math"/>
                </w:rPr>
                <m:t>t</m:t>
              </m:r>
            </m:den>
          </m:f>
        </m:oMath>
      </m:oMathPara>
    </w:p>
    <w:p w14:paraId="3817B239" w14:textId="77777777" w:rsidR="00D51C70" w:rsidRPr="00D51C70" w:rsidRDefault="00D51C70" w:rsidP="00D51C70">
      <w:pPr>
        <w:rPr>
          <w:rFonts w:eastAsiaTheme="minorEastAsia"/>
        </w:rPr>
      </w:pPr>
    </w:p>
    <w:p w14:paraId="24E100B4" w14:textId="77777777" w:rsidR="00AA6DB8" w:rsidRDefault="00AA6DB8" w:rsidP="001F20EE">
      <w:r>
        <w:t xml:space="preserve">If the charges in Figure 1 are positive and the current direction is taken as positive, then </w:t>
      </w:r>
      <m:oMath>
        <m:r>
          <w:rPr>
            <w:rFonts w:ascii="Cambria Math" w:hAnsi="Cambria Math"/>
          </w:rPr>
          <m:t xml:space="preserve">F = </m:t>
        </m:r>
        <m:r>
          <w:rPr>
            <w:rFonts w:ascii="Cambria Math" w:hAnsi="Cambria Math"/>
          </w:rPr>
          <m:t>V</m:t>
        </m:r>
        <m:r>
          <w:rPr>
            <w:rFonts w:ascii="Cambria Math" w:hAnsi="Cambria Math"/>
          </w:rPr>
          <m:t xml:space="preserve"> </m:t>
        </m:r>
        <m:r>
          <w:rPr>
            <w:rFonts w:ascii="Cambria Math" w:hAnsi="Cambria Math"/>
          </w:rPr>
          <m:t>x</m:t>
        </m:r>
        <m:r>
          <w:rPr>
            <w:rFonts w:ascii="Cambria Math" w:hAnsi="Cambria Math"/>
          </w:rPr>
          <m:t xml:space="preserve"> B.</m:t>
        </m:r>
      </m:oMath>
      <w:r w:rsidR="00D7176C">
        <w:t xml:space="preserve"> If the charges were </w:t>
      </w:r>
      <w:r>
        <w:t>negative the current direction would be opposite but so would the sign on the charge therefore,</w:t>
      </w:r>
    </w:p>
    <w:p w14:paraId="6E442CC2" w14:textId="1A56EECF" w:rsidR="00AA6DB8" w:rsidRPr="00AA6DB8" w:rsidRDefault="00AA6DB8" w:rsidP="00AA6DB8">
      <w:pPr>
        <w:jc w:val="center"/>
        <w:rPr>
          <w:rFonts w:eastAsiaTheme="minorEastAsia"/>
        </w:rPr>
      </w:pPr>
      <m:oMathPara>
        <m:oMath>
          <m:r>
            <w:rPr>
              <w:rFonts w:ascii="Cambria Math" w:hAnsi="Cambria Math"/>
            </w:rPr>
            <m:t xml:space="preserve">V = </m:t>
          </m:r>
          <m:f>
            <m:fPr>
              <m:ctrlPr>
                <w:rPr>
                  <w:rFonts w:ascii="Cambria Math" w:hAnsi="Cambria Math"/>
                  <w:i/>
                </w:rPr>
              </m:ctrlPr>
            </m:fPr>
            <m:num>
              <m:r>
                <w:rPr>
                  <w:rFonts w:ascii="Cambria Math" w:hAnsi="Cambria Math"/>
                </w:rPr>
                <m:t>B</m:t>
              </m:r>
              <m:d>
                <m:dPr>
                  <m:ctrlPr>
                    <w:rPr>
                      <w:rFonts w:ascii="Cambria Math" w:hAnsi="Cambria Math"/>
                      <w:i/>
                    </w:rPr>
                  </m:ctrlPr>
                </m:dPr>
                <m:e>
                  <m:r>
                    <w:rPr>
                      <w:rFonts w:ascii="Cambria Math" w:hAnsi="Cambria Math"/>
                    </w:rPr>
                    <m:t>-I</m:t>
                  </m:r>
                </m:e>
              </m:d>
            </m:num>
            <m:den>
              <m:r>
                <w:rPr>
                  <w:rFonts w:ascii="Cambria Math" w:hAnsi="Cambria Math"/>
                </w:rPr>
                <m:t>p</m:t>
              </m:r>
              <m:d>
                <m:dPr>
                  <m:ctrlPr>
                    <w:rPr>
                      <w:rFonts w:ascii="Cambria Math" w:hAnsi="Cambria Math"/>
                      <w:i/>
                    </w:rPr>
                  </m:ctrlPr>
                </m:dPr>
                <m:e>
                  <m:r>
                    <w:rPr>
                      <w:rFonts w:ascii="Cambria Math" w:hAnsi="Cambria Math"/>
                    </w:rPr>
                    <m:t>-q</m:t>
                  </m:r>
                </m:e>
              </m:d>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BI</m:t>
              </m:r>
            </m:num>
            <m:den>
              <m:r>
                <w:rPr>
                  <w:rFonts w:ascii="Cambria Math" w:hAnsi="Cambria Math"/>
                </w:rPr>
                <m:t>pqt</m:t>
              </m:r>
            </m:den>
          </m:f>
        </m:oMath>
      </m:oMathPara>
    </w:p>
    <w:p w14:paraId="141443A8" w14:textId="77777777" w:rsidR="00AA6DB8" w:rsidRDefault="00AA6DB8" w:rsidP="00AA6DB8">
      <w:pPr>
        <w:jc w:val="center"/>
        <w:rPr>
          <w:rFonts w:eastAsiaTheme="minorEastAsia"/>
        </w:rPr>
      </w:pPr>
    </w:p>
    <w:p w14:paraId="3B6AD9A3" w14:textId="77777777" w:rsidR="00AA6DB8" w:rsidRDefault="00AA6DB8" w:rsidP="001F20EE">
      <w:pPr>
        <w:rPr>
          <w:rFonts w:eastAsiaTheme="minorEastAsia"/>
        </w:rPr>
      </w:pPr>
      <w:r>
        <w:rPr>
          <w:rFonts w:eastAsiaTheme="minorEastAsia"/>
        </w:rPr>
        <w:t>and hence</w:t>
      </w:r>
      <m:oMath>
        <m:r>
          <w:rPr>
            <w:rFonts w:ascii="Cambria Math" w:eastAsiaTheme="minorEastAsia" w:hAnsi="Cambria Math"/>
          </w:rPr>
          <m:t xml:space="preserve"> F = V x B</m:t>
        </m:r>
      </m:oMath>
      <w:r>
        <w:rPr>
          <w:rFonts w:eastAsiaTheme="minorEastAsia"/>
        </w:rPr>
        <w:t xml:space="preserve">. That is to say if the moving charge is positive or negative it doesn’t matter, they will be deflected in the same direction with the same force </w:t>
      </w:r>
      <w:sdt>
        <w:sdtPr>
          <w:rPr>
            <w:rFonts w:eastAsiaTheme="minorEastAsia"/>
          </w:rPr>
          <w:id w:val="-1774088705"/>
          <w:citation/>
        </w:sdtPr>
        <w:sdtContent>
          <w:r>
            <w:rPr>
              <w:rFonts w:eastAsiaTheme="minorEastAsia"/>
            </w:rPr>
            <w:fldChar w:fldCharType="begin"/>
          </w:r>
          <w:r>
            <w:rPr>
              <w:rFonts w:eastAsiaTheme="minorEastAsia"/>
              <w:lang w:val="en-US"/>
            </w:rPr>
            <w:instrText xml:space="preserve"> CITATION Phy06 \l 1033 </w:instrText>
          </w:r>
          <w:r>
            <w:rPr>
              <w:rFonts w:eastAsiaTheme="minorEastAsia"/>
            </w:rPr>
            <w:fldChar w:fldCharType="separate"/>
          </w:r>
          <w:r w:rsidRPr="00AA6DB8">
            <w:rPr>
              <w:rFonts w:eastAsiaTheme="minorEastAsia"/>
              <w:noProof/>
              <w:lang w:val="en-US"/>
            </w:rPr>
            <w:t>[1]</w:t>
          </w:r>
          <w:r>
            <w:rPr>
              <w:rFonts w:eastAsiaTheme="minorEastAsia"/>
            </w:rPr>
            <w:fldChar w:fldCharType="end"/>
          </w:r>
        </w:sdtContent>
      </w:sdt>
      <w:r>
        <w:rPr>
          <w:rFonts w:eastAsiaTheme="minorEastAsia"/>
        </w:rPr>
        <w:t xml:space="preserve">. </w:t>
      </w:r>
    </w:p>
    <w:p w14:paraId="66FFCFFA" w14:textId="0C07F942" w:rsidR="00AA6DB8" w:rsidRPr="00AA6DB8" w:rsidRDefault="00AA6DB8" w:rsidP="001F20EE">
      <w:pPr>
        <w:rPr>
          <w:rFonts w:eastAsiaTheme="minorEastAsia"/>
        </w:rPr>
      </w:pPr>
      <w:r>
        <w:t xml:space="preserve">If the magnitude of the magnetic field is increased the hall voltage will either increase or decrease relative to the initial reading. </w:t>
      </w:r>
      <w:r>
        <w:t xml:space="preserve">Knowing that positive charges (holes) and negative charges (electrons) must be accumulating at the same terminal the majority charge carrier of the material can be determined. </w:t>
      </w:r>
    </w:p>
    <w:p w14:paraId="7E2B31B3" w14:textId="1828562C" w:rsidR="001F20EE" w:rsidRDefault="00F373A1" w:rsidP="001F20EE">
      <w:r>
        <w:t>Say that things are oriented as in Figure 3</w:t>
      </w:r>
      <w:r w:rsidR="00753983">
        <w:t xml:space="preserve"> and the current direction is describing positive charges</w:t>
      </w:r>
      <w:r>
        <w:t>.</w:t>
      </w:r>
      <w:r w:rsidR="00753983">
        <w:t xml:space="preserve"> Assume also that as magnetic field is increased the hall voltage decreases. This implies that the majority carrier is negative charges accruing at the positive terminal OR the majority carrier is positive charges</w:t>
      </w:r>
      <w:r>
        <w:t xml:space="preserve"> </w:t>
      </w:r>
      <w:r w:rsidR="00753983">
        <w:t xml:space="preserve">accruing at the negative terminal. </w:t>
      </w:r>
    </w:p>
    <w:p w14:paraId="248C903A" w14:textId="77777777" w:rsidR="00F373A1" w:rsidRDefault="00F373A1" w:rsidP="00F373A1">
      <w:pPr>
        <w:keepNext/>
      </w:pPr>
      <w:r>
        <w:rPr>
          <w:noProof/>
        </w:rPr>
        <w:drawing>
          <wp:inline distT="0" distB="0" distL="0" distR="0" wp14:anchorId="6B3848C1" wp14:editId="3D92A886">
            <wp:extent cx="3078524" cy="2508250"/>
            <wp:effectExtent l="19050" t="19050" r="2667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king out carrier typ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01320" cy="2526823"/>
                    </a:xfrm>
                    <a:prstGeom prst="rect">
                      <a:avLst/>
                    </a:prstGeom>
                    <a:ln>
                      <a:solidFill>
                        <a:schemeClr val="tx1"/>
                      </a:solidFill>
                    </a:ln>
                  </pic:spPr>
                </pic:pic>
              </a:graphicData>
            </a:graphic>
          </wp:inline>
        </w:drawing>
      </w:r>
    </w:p>
    <w:p w14:paraId="27706071" w14:textId="02E79CE0" w:rsidR="00F373A1" w:rsidRDefault="00F373A1" w:rsidP="00F373A1">
      <w:pPr>
        <w:pStyle w:val="Caption"/>
      </w:pPr>
      <w:r>
        <w:t xml:space="preserve">Figure </w:t>
      </w:r>
      <w:r w:rsidR="00420CC6">
        <w:fldChar w:fldCharType="begin"/>
      </w:r>
      <w:r w:rsidR="00420CC6">
        <w:instrText xml:space="preserve"> SEQ Figure \* ARABIC </w:instrText>
      </w:r>
      <w:r w:rsidR="00420CC6">
        <w:fldChar w:fldCharType="separate"/>
      </w:r>
      <w:r w:rsidR="000C64D4">
        <w:rPr>
          <w:noProof/>
        </w:rPr>
        <w:t>3</w:t>
      </w:r>
      <w:r w:rsidR="00420CC6">
        <w:rPr>
          <w:noProof/>
        </w:rPr>
        <w:fldChar w:fldCharType="end"/>
      </w:r>
      <w:r>
        <w:t>: Conducting material experiencing hall effect due to current and magnetic field.</w:t>
      </w:r>
    </w:p>
    <w:p w14:paraId="13D6F576" w14:textId="46B3A9BF" w:rsidR="004804C8" w:rsidRDefault="00AA303E" w:rsidP="00040E94">
      <w:r>
        <w:t>Applying the right-hand-rule</w:t>
      </w:r>
      <w:r w:rsidR="00753983">
        <w:t xml:space="preserve"> (and </w:t>
      </w:r>
      <w:r w:rsidR="00E713CA">
        <w:t>left-hand</w:t>
      </w:r>
      <w:r w:rsidR="00753983">
        <w:t xml:space="preserve"> rule)</w:t>
      </w:r>
      <w:r>
        <w:t xml:space="preserve"> to </w:t>
      </w:r>
      <w:r w:rsidR="00753983">
        <w:t>F</w:t>
      </w:r>
      <w:r>
        <w:t>igure 3</w:t>
      </w:r>
      <w:r w:rsidR="00E713CA">
        <w:t xml:space="preserve"> indicates that</w:t>
      </w:r>
      <w:r w:rsidR="00753983">
        <w:t xml:space="preserve"> both positive and negative charges are accumulating at the negative terminal. As the voltage is decreasing with increased magnetic field strength then the majority charge carrier must be positive holes. </w:t>
      </w:r>
    </w:p>
    <w:p w14:paraId="0A904A8C" w14:textId="77777777" w:rsidR="004804C8" w:rsidRDefault="004804C8" w:rsidP="00040E94"/>
    <w:p w14:paraId="7063B147" w14:textId="77777777" w:rsidR="002D264E" w:rsidRPr="002D264E" w:rsidRDefault="00A46D24" w:rsidP="00040E94">
      <w:pPr>
        <w:rPr>
          <w:rFonts w:eastAsiaTheme="minorEastAsia"/>
        </w:rPr>
      </w:pPr>
      <w:r>
        <w:lastRenderedPageBreak/>
        <w:t xml:space="preserve">Furthermore, the </w:t>
      </w:r>
      <w:r>
        <w:rPr>
          <w:i/>
        </w:rPr>
        <w:t xml:space="preserve">carrier density </w:t>
      </w:r>
      <w:r w:rsidR="002D264E">
        <w:t>may be calculated, knowing the hall coefficient of the material (See Equation 1 – R</w:t>
      </w:r>
      <w:r w:rsidR="002D264E">
        <w:rPr>
          <w:vertAlign w:val="subscript"/>
        </w:rPr>
        <w:t>H</w:t>
      </w:r>
      <w:r w:rsidR="002D264E">
        <w:t>), by:</w:t>
      </w:r>
      <w:r w:rsidR="002D264E">
        <w:br/>
      </w:r>
      <w:r w:rsidR="002D264E">
        <w:br/>
      </w:r>
      <m:oMathPara>
        <m:oMathParaPr>
          <m:jc m:val="left"/>
        </m:oMathParaPr>
        <m:oMath>
          <m:d>
            <m:dPr>
              <m:ctrlPr>
                <w:rPr>
                  <w:rFonts w:ascii="Cambria Math" w:hAnsi="Cambria Math"/>
                  <w:i/>
                </w:rPr>
              </m:ctrlPr>
            </m:dPr>
            <m:e>
              <m:r>
                <w:rPr>
                  <w:rFonts w:ascii="Cambria Math" w:hAnsi="Cambria Math"/>
                </w:rPr>
                <m:t>2</m:t>
              </m:r>
            </m:e>
          </m:d>
          <m:r>
            <w:rPr>
              <w:rFonts w:ascii="Cambria Math" w:hAnsi="Cambria Math"/>
            </w:rPr>
            <m:t xml:space="preserve">                                                                       n=</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q</m:t>
              </m:r>
            </m:den>
          </m:f>
        </m:oMath>
      </m:oMathPara>
    </w:p>
    <w:p w14:paraId="4E5D8AED" w14:textId="77777777" w:rsidR="002839C2" w:rsidRPr="002839C2" w:rsidRDefault="002D264E" w:rsidP="00040E94">
      <w:pPr>
        <w:rPr>
          <w:rFonts w:eastAsiaTheme="minorEastAsia"/>
        </w:rPr>
      </w:pPr>
      <w:r>
        <w:t xml:space="preserve"> </w:t>
      </w:r>
      <w:r>
        <w:br/>
      </w:r>
      <m:oMathPara>
        <m:oMathParaPr>
          <m:jc m:val="left"/>
        </m:oMathParaPr>
        <m:oMath>
          <m:r>
            <w:rPr>
              <w:rFonts w:ascii="Cambria Math" w:eastAsiaTheme="minorEastAsia" w:hAnsi="Cambria Math"/>
            </w:rPr>
            <m:t xml:space="preserve">Where density is n, hall coeffienct is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 xml:space="preserve"> and carrier charge is q.</m:t>
          </m:r>
          <m:r>
            <w:rPr>
              <w:rFonts w:ascii="Cambria Math" w:eastAsiaTheme="minorEastAsia" w:hAnsi="Cambria Math"/>
            </w:rPr>
            <m:t xml:space="preserve"> </m:t>
          </m:r>
        </m:oMath>
      </m:oMathPara>
    </w:p>
    <w:p w14:paraId="270A0881" w14:textId="50685A50" w:rsidR="004804C8" w:rsidRPr="002D264E" w:rsidRDefault="002839C2" w:rsidP="00040E94">
      <w:pPr>
        <w:rPr>
          <w:rFonts w:eastAsiaTheme="minorEastAsia"/>
        </w:rPr>
      </w:pPr>
      <m:oMath>
        <m:r>
          <w:rPr>
            <w:rFonts w:ascii="Cambria Math" w:eastAsiaTheme="minorEastAsia" w:hAnsi="Cambria Math"/>
          </w:rPr>
          <m:t>NB:Charge will be negative for an n-type material.</m:t>
        </m:r>
      </m:oMath>
      <w:r w:rsidRPr="002D264E">
        <w:rPr>
          <w:rFonts w:eastAsiaTheme="minorEastAsia"/>
        </w:rPr>
        <w:t xml:space="preserve"> </w:t>
      </w:r>
    </w:p>
    <w:p w14:paraId="6DE180C4" w14:textId="75A77418" w:rsidR="002D264E" w:rsidRDefault="002D264E" w:rsidP="00040E94"/>
    <w:p w14:paraId="59DB415D" w14:textId="7899FABB" w:rsidR="002839C2" w:rsidRDefault="002839C2" w:rsidP="00040E94">
      <w:r>
        <w:t>The mobility of the charge carrier (</w:t>
      </w:r>
      <w:r>
        <w:rPr>
          <w:rFonts w:cstheme="minorHAnsi"/>
        </w:rPr>
        <w:t>μ</w:t>
      </w:r>
      <w:r>
        <w:t>)</w:t>
      </w:r>
      <w:r>
        <w:rPr>
          <w:rFonts w:cstheme="minorHAnsi"/>
        </w:rPr>
        <w:t xml:space="preserve"> </w:t>
      </w:r>
      <w:r>
        <w:t xml:space="preserve">may be determined, knowing the conductivity of the material </w:t>
      </w:r>
      <w:r>
        <w:t>(</w:t>
      </w:r>
      <w:r>
        <w:rPr>
          <w:rFonts w:cstheme="minorHAnsi"/>
        </w:rPr>
        <w:t>σ)</w:t>
      </w:r>
      <w:r>
        <w:t xml:space="preserve">, its carrier density (n) and charge (q). </w:t>
      </w:r>
    </w:p>
    <w:p w14:paraId="5B6B9F90" w14:textId="77777777" w:rsidR="002839C2" w:rsidRDefault="002839C2" w:rsidP="00040E94"/>
    <w:p w14:paraId="463FC5E3" w14:textId="77777777" w:rsidR="002839C2" w:rsidRPr="002839C2" w:rsidRDefault="002839C2" w:rsidP="00040E94">
      <w:pPr>
        <w:rPr>
          <w:rFonts w:eastAsiaTheme="minorEastAsia"/>
        </w:rPr>
      </w:pPr>
      <m:oMathPara>
        <m:oMathParaPr>
          <m:jc m:val="left"/>
        </m:oMathParaPr>
        <m:oMath>
          <m:d>
            <m:dPr>
              <m:ctrlPr>
                <w:rPr>
                  <w:rFonts w:ascii="Cambria Math" w:hAnsi="Cambria Math"/>
                  <w:i/>
                </w:rPr>
              </m:ctrlPr>
            </m:dPr>
            <m:e>
              <m:r>
                <w:rPr>
                  <w:rFonts w:ascii="Cambria Math" w:hAnsi="Cambria Math"/>
                </w:rPr>
                <m:t>3</m:t>
              </m:r>
            </m:e>
          </m:d>
          <m:r>
            <w:rPr>
              <w:rFonts w:ascii="Cambria Math" w:hAnsi="Cambria Math"/>
            </w:rPr>
            <m:t xml:space="preserve">                                                                       μ=</m:t>
          </m:r>
          <m:f>
            <m:fPr>
              <m:ctrlPr>
                <w:rPr>
                  <w:rFonts w:ascii="Cambria Math" w:hAnsi="Cambria Math" w:cstheme="minorHAnsi"/>
                </w:rPr>
              </m:ctrlPr>
            </m:fPr>
            <m:num>
              <m:r>
                <m:rPr>
                  <m:sty m:val="p"/>
                </m:rPr>
                <w:rPr>
                  <w:rFonts w:ascii="Cambria Math" w:hAnsi="Cambria Math" w:cstheme="minorHAnsi"/>
                </w:rPr>
                <m:t>σ</m:t>
              </m:r>
              <m:ctrlPr>
                <w:rPr>
                  <w:rFonts w:ascii="Cambria Math" w:hAnsi="Cambria Math"/>
                  <w:i/>
                </w:rPr>
              </m:ctrlPr>
            </m:num>
            <m:den>
              <m:r>
                <m:rPr>
                  <m:sty m:val="p"/>
                </m:rPr>
                <w:rPr>
                  <w:rFonts w:ascii="Cambria Math" w:hAnsi="Cambria Math" w:cstheme="minorHAnsi"/>
                </w:rPr>
                <m:t>nq</m:t>
              </m:r>
            </m:den>
          </m:f>
        </m:oMath>
      </m:oMathPara>
    </w:p>
    <w:p w14:paraId="341DC04B" w14:textId="6BF7B483" w:rsidR="002839C2" w:rsidRDefault="002839C2" w:rsidP="00040E94">
      <w:r>
        <w:t xml:space="preserve"> </w:t>
      </w:r>
    </w:p>
    <w:p w14:paraId="18D4EABF" w14:textId="77777777" w:rsidR="002839C2" w:rsidRPr="002839C2" w:rsidRDefault="002839C2" w:rsidP="00040E94">
      <w:pPr>
        <w:rPr>
          <w:rFonts w:eastAsiaTheme="minorEastAsia"/>
        </w:rPr>
      </w:pPr>
    </w:p>
    <w:p w14:paraId="4116445A" w14:textId="77777777" w:rsidR="004804C8" w:rsidRDefault="004804C8" w:rsidP="00040E94"/>
    <w:p w14:paraId="69387732" w14:textId="615C0CEA" w:rsidR="00647EAE" w:rsidRDefault="00957FFC" w:rsidP="00147656">
      <w:pPr>
        <w:pStyle w:val="Heading1"/>
      </w:pPr>
      <w:r>
        <w:br w:type="page"/>
      </w:r>
      <w:bookmarkStart w:id="2" w:name="_Toc513752248"/>
      <w:r w:rsidR="00A92FA5">
        <w:lastRenderedPageBreak/>
        <w:t>Procedure</w:t>
      </w:r>
      <w:bookmarkEnd w:id="2"/>
    </w:p>
    <w:p w14:paraId="779810E7" w14:textId="1D11C69A" w:rsidR="003C6F44" w:rsidRDefault="00F7625E" w:rsidP="00647EAE">
      <w:r>
        <w:t xml:space="preserve">The magnetic field strength of </w:t>
      </w:r>
      <w:r>
        <w:t>an</w:t>
      </w:r>
      <w:r>
        <w:t xml:space="preserve"> electromagnet was recorded at increments of 0.25 A from 0 to 4A using a Gauss Probe.</w:t>
      </w:r>
      <w:r>
        <w:t xml:space="preserve"> A</w:t>
      </w:r>
      <w:r w:rsidR="002839C2">
        <w:t xml:space="preserve"> conductive sample was placed between </w:t>
      </w:r>
      <w:r w:rsidR="00EA3803">
        <w:t xml:space="preserve">the poles of </w:t>
      </w:r>
      <w:r>
        <w:t xml:space="preserve">the </w:t>
      </w:r>
      <w:r w:rsidR="00EA3803">
        <w:t>calibrated</w:t>
      </w:r>
      <w:r>
        <w:t xml:space="preserve"> </w:t>
      </w:r>
      <w:r w:rsidR="00EA3803">
        <w:t>electromagnet.</w:t>
      </w:r>
      <w:r>
        <w:t xml:space="preserve"> </w:t>
      </w:r>
      <w:r w:rsidR="00EA3803">
        <w:t xml:space="preserve">A current of 5mA was passed through the sample perpendicular to the magnetic field and the terminals of a voltmeter that contacted the sample (See Figure </w:t>
      </w:r>
      <w:r w:rsidR="003C6F44">
        <w:t>3</w:t>
      </w:r>
      <w:r w:rsidR="00EA3803">
        <w:t>).</w:t>
      </w:r>
      <w:r w:rsidR="003C6F44">
        <w:t xml:space="preserve"> </w:t>
      </w:r>
    </w:p>
    <w:p w14:paraId="5257B522" w14:textId="0D78CCEC" w:rsidR="00F7625E" w:rsidRPr="007931DA" w:rsidRDefault="00F7625E" w:rsidP="00647EAE">
      <w:pPr>
        <w:rPr>
          <w:rFonts w:eastAsiaTheme="minorEastAsia"/>
        </w:rPr>
      </w:pPr>
      <w:r>
        <w:t>The strength of the magnetic field experienced by the sample was varied by increasing the current through the electromagnet at increments of 0.25A. The voltage was recorded across the sample for each current through the electromagnet and its associated magnetic field strength in Tesla. The magnetic field direction was reversed the process repeated to account for electromagnet misalignment. The offset voltage for each magnetic field strength was calculated using the following formula:</w:t>
      </w:r>
      <w:r>
        <w:br/>
      </w:r>
      <w:r>
        <w:br/>
      </w:r>
      <m:oMathPara>
        <m:oMathParaPr>
          <m:jc m:val="left"/>
        </m:oMathParaPr>
        <m:oMath>
          <m:d>
            <m:dPr>
              <m:ctrlPr>
                <w:rPr>
                  <w:rFonts w:ascii="Cambria Math" w:hAnsi="Cambria Math"/>
                  <w:i/>
                </w:rPr>
              </m:ctrlPr>
            </m:dPr>
            <m:e>
              <m:r>
                <w:rPr>
                  <w:rFonts w:ascii="Cambria Math" w:hAnsi="Cambria Math"/>
                </w:rPr>
                <m:t>4</m:t>
              </m:r>
            </m:e>
          </m:d>
          <m: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offset</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H1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H2</m:t>
                  </m:r>
                </m:sub>
              </m:sSub>
            </m:e>
          </m:d>
        </m:oMath>
      </m:oMathPara>
    </w:p>
    <w:p w14:paraId="6E5A38AC" w14:textId="163D0E81" w:rsidR="007931DA" w:rsidRDefault="007931DA" w:rsidP="00647EAE"/>
    <w:p w14:paraId="3F62339E" w14:textId="47D31FA1" w:rsidR="007931DA" w:rsidRDefault="007931DA" w:rsidP="00647EAE">
      <w:r>
        <w:t>The apparatus was as shown in Figure 4.</w:t>
      </w:r>
    </w:p>
    <w:p w14:paraId="4B0E04A4" w14:textId="77777777" w:rsidR="004D34C3" w:rsidRDefault="004D34C3" w:rsidP="004D34C3">
      <w:pPr>
        <w:keepNext/>
      </w:pPr>
      <w:r>
        <w:rPr>
          <w:noProof/>
        </w:rPr>
        <w:drawing>
          <wp:inline distT="0" distB="0" distL="0" distR="0" wp14:anchorId="363BC119" wp14:editId="0A1CC9B5">
            <wp:extent cx="5816600" cy="2698750"/>
            <wp:effectExtent l="19050" t="19050" r="12700"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ll effect apparatus.png"/>
                    <pic:cNvPicPr/>
                  </pic:nvPicPr>
                  <pic:blipFill rotWithShape="1">
                    <a:blip r:embed="rId14" cstate="print">
                      <a:extLst>
                        <a:ext uri="{28A0092B-C50C-407E-A947-70E740481C1C}">
                          <a14:useLocalDpi xmlns:a14="http://schemas.microsoft.com/office/drawing/2010/main" val="0"/>
                        </a:ext>
                      </a:extLst>
                    </a:blip>
                    <a:srcRect r="22628"/>
                    <a:stretch/>
                  </pic:blipFill>
                  <pic:spPr bwMode="auto">
                    <a:xfrm>
                      <a:off x="0" y="0"/>
                      <a:ext cx="5829040" cy="270452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B667B46" w14:textId="00D35407" w:rsidR="007931DA" w:rsidRDefault="004D34C3" w:rsidP="004D34C3">
      <w:pPr>
        <w:pStyle w:val="Caption"/>
      </w:pPr>
      <w:r>
        <w:t xml:space="preserve">Figure </w:t>
      </w:r>
      <w:fldSimple w:instr=" SEQ Figure \* ARABIC ">
        <w:r w:rsidR="000C64D4">
          <w:rPr>
            <w:noProof/>
          </w:rPr>
          <w:t>4</w:t>
        </w:r>
      </w:fldSimple>
      <w:r>
        <w:t>: Semiconducting sample placing between electromagnetic poles having current passed through it to induce a hall voltage.</w:t>
      </w:r>
    </w:p>
    <w:p w14:paraId="765B4FFE" w14:textId="02FA6587" w:rsidR="004D34C3" w:rsidRPr="004D34C3" w:rsidRDefault="00E94BBF" w:rsidP="004D34C3">
      <w:r>
        <w:t xml:space="preserve">Two </w:t>
      </w:r>
      <w:r w:rsidR="004D34C3">
        <w:t xml:space="preserve">samples were </w:t>
      </w:r>
      <w:r>
        <w:t xml:space="preserve">tested and </w:t>
      </w:r>
      <w:r w:rsidR="004D34C3">
        <w:t>both germanium.</w:t>
      </w:r>
      <w:r w:rsidR="002C2879">
        <w:t xml:space="preserve"> The plot of the offset voltage vs the magnetic field was used to calculate the Hall Coefficient (see Equation 1) and hence carrier density (See Equation 2) and carrier mobility (see Equation 3</w:t>
      </w:r>
      <w:r w:rsidR="0077139C">
        <w:t>).</w:t>
      </w:r>
      <w:r w:rsidR="002C2879">
        <w:t xml:space="preserve"> </w:t>
      </w:r>
    </w:p>
    <w:p w14:paraId="55B3E8C7" w14:textId="77777777" w:rsidR="00263BB9" w:rsidRDefault="00263BB9" w:rsidP="00263BB9">
      <w:bookmarkStart w:id="3" w:name="_Toc513752249"/>
    </w:p>
    <w:p w14:paraId="04C30118" w14:textId="77777777" w:rsidR="00263BB9" w:rsidRDefault="00263BB9" w:rsidP="00263BB9"/>
    <w:p w14:paraId="5CFEB388" w14:textId="77777777" w:rsidR="00263BB9" w:rsidRDefault="00263BB9">
      <w:r>
        <w:br w:type="page"/>
      </w:r>
    </w:p>
    <w:p w14:paraId="1D2F1EAE" w14:textId="57FB4123" w:rsidR="00997508" w:rsidRDefault="00A92FA5" w:rsidP="00D24851">
      <w:pPr>
        <w:pStyle w:val="Heading1"/>
      </w:pPr>
      <w:r>
        <w:lastRenderedPageBreak/>
        <w:t>Results</w:t>
      </w:r>
      <w:bookmarkEnd w:id="3"/>
    </w:p>
    <w:p w14:paraId="255D223E" w14:textId="7FC85ABA" w:rsidR="006A19F7" w:rsidRDefault="006A19F7" w:rsidP="006A19F7"/>
    <w:p w14:paraId="50BE3089" w14:textId="77777777" w:rsidR="00017D6D" w:rsidRDefault="00017D6D" w:rsidP="00017D6D">
      <w:pPr>
        <w:keepNext/>
      </w:pPr>
      <w:r>
        <w:rPr>
          <w:noProof/>
        </w:rPr>
        <w:drawing>
          <wp:inline distT="0" distB="0" distL="0" distR="0" wp14:anchorId="5F39F7D4" wp14:editId="7B7FE605">
            <wp:extent cx="5731510" cy="3187065"/>
            <wp:effectExtent l="0" t="0" r="2540" b="13335"/>
            <wp:docPr id="9" name="Chart 9">
              <a:extLst xmlns:a="http://schemas.openxmlformats.org/drawingml/2006/main">
                <a:ext uri="{FF2B5EF4-FFF2-40B4-BE49-F238E27FC236}">
                  <a16:creationId xmlns:a16="http://schemas.microsoft.com/office/drawing/2014/main" id="{94C6EF6D-522E-4F46-BECC-46A9730E59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B58C6AC" w14:textId="0D4477CB" w:rsidR="00017D6D" w:rsidRDefault="00017D6D" w:rsidP="00017D6D">
      <w:pPr>
        <w:pStyle w:val="Caption"/>
      </w:pPr>
      <w:r>
        <w:t xml:space="preserve">Figure </w:t>
      </w:r>
      <w:fldSimple w:instr=" SEQ Figure \* ARABIC ">
        <w:r w:rsidR="000C64D4">
          <w:rPr>
            <w:noProof/>
          </w:rPr>
          <w:t>5</w:t>
        </w:r>
      </w:fldSimple>
      <w:r>
        <w:t>: Plot of magnetic field against offset hall voltage for germanium sample 3361</w:t>
      </w:r>
      <w:r w:rsidR="00FB6586">
        <w:t xml:space="preserve"> placed in an electromagnet </w:t>
      </w:r>
      <w:r w:rsidR="000C64D4">
        <w:t xml:space="preserve">and </w:t>
      </w:r>
      <w:r w:rsidR="00FB6586">
        <w:t>experiencing a current.</w:t>
      </w:r>
    </w:p>
    <w:p w14:paraId="167A58D9" w14:textId="77777777" w:rsidR="000C64D4" w:rsidRDefault="000C64D4" w:rsidP="000C64D4">
      <w:pPr>
        <w:keepNext/>
      </w:pPr>
      <w:r>
        <w:rPr>
          <w:noProof/>
        </w:rPr>
        <w:drawing>
          <wp:inline distT="0" distB="0" distL="0" distR="0" wp14:anchorId="0B4790FC" wp14:editId="19AAED81">
            <wp:extent cx="5731510" cy="3152140"/>
            <wp:effectExtent l="0" t="0" r="2540" b="10160"/>
            <wp:docPr id="10" name="Chart 10">
              <a:extLst xmlns:a="http://schemas.openxmlformats.org/drawingml/2006/main">
                <a:ext uri="{FF2B5EF4-FFF2-40B4-BE49-F238E27FC236}">
                  <a16:creationId xmlns:a16="http://schemas.microsoft.com/office/drawing/2014/main" id="{EE02085B-7408-4BE4-AD08-8AB41492DF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02DF618" w14:textId="52F8B0D0" w:rsidR="00FB6586" w:rsidRPr="00FB6586" w:rsidRDefault="000C64D4" w:rsidP="000C64D4">
      <w:pPr>
        <w:pStyle w:val="Caption"/>
      </w:pPr>
      <w:r>
        <w:t xml:space="preserve">Figure </w:t>
      </w:r>
      <w:fldSimple w:instr=" SEQ Figure \* ARABIC ">
        <w:r>
          <w:rPr>
            <w:noProof/>
          </w:rPr>
          <w:t>6</w:t>
        </w:r>
      </w:fldSimple>
      <w:r>
        <w:t>: Plot of magnetic field against offset hall voltage for germanium sample 3375 placed in an electromagnet and experiencing a current.</w:t>
      </w:r>
    </w:p>
    <w:p w14:paraId="444DA002" w14:textId="4DF1CFD0" w:rsidR="00690C17" w:rsidRDefault="00690C17" w:rsidP="006A19F7">
      <w:r>
        <w:t xml:space="preserve"> </w:t>
      </w:r>
    </w:p>
    <w:p w14:paraId="678DA888" w14:textId="1845E507" w:rsidR="00DD113F" w:rsidRDefault="00DD113F" w:rsidP="00DD113F"/>
    <w:p w14:paraId="25C8D8E6" w14:textId="2535ADAC" w:rsidR="00DD113F" w:rsidRDefault="00DD113F" w:rsidP="00DD113F"/>
    <w:tbl>
      <w:tblPr>
        <w:tblStyle w:val="TableGrid"/>
        <w:tblW w:w="5000" w:type="pct"/>
        <w:tblLook w:val="04A0" w:firstRow="1" w:lastRow="0" w:firstColumn="1" w:lastColumn="0" w:noHBand="0" w:noVBand="1"/>
      </w:tblPr>
      <w:tblGrid>
        <w:gridCol w:w="1804"/>
        <w:gridCol w:w="1803"/>
        <w:gridCol w:w="1803"/>
        <w:gridCol w:w="1803"/>
        <w:gridCol w:w="1803"/>
      </w:tblGrid>
      <w:tr w:rsidR="007345D6" w14:paraId="4F40CF55" w14:textId="77777777" w:rsidTr="00667FA1">
        <w:tc>
          <w:tcPr>
            <w:tcW w:w="1000" w:type="pct"/>
          </w:tcPr>
          <w:p w14:paraId="7D85B135" w14:textId="5A222540" w:rsidR="007345D6" w:rsidRPr="007345D6" w:rsidRDefault="007345D6" w:rsidP="00DD113F">
            <w:pPr>
              <w:rPr>
                <w:b/>
              </w:rPr>
            </w:pPr>
            <w:r w:rsidRPr="007345D6">
              <w:rPr>
                <w:b/>
              </w:rPr>
              <w:lastRenderedPageBreak/>
              <w:t>Sample</w:t>
            </w:r>
          </w:p>
        </w:tc>
        <w:tc>
          <w:tcPr>
            <w:tcW w:w="1000" w:type="pct"/>
          </w:tcPr>
          <w:p w14:paraId="0CEC3312" w14:textId="3731ECC8" w:rsidR="007345D6" w:rsidRPr="007345D6" w:rsidRDefault="007345D6" w:rsidP="00DD113F">
            <w:pPr>
              <w:rPr>
                <w:b/>
              </w:rPr>
            </w:pPr>
            <w:r w:rsidRPr="007345D6">
              <w:rPr>
                <w:b/>
              </w:rPr>
              <w:t>Majority Carrier Type</w:t>
            </w:r>
          </w:p>
        </w:tc>
        <w:tc>
          <w:tcPr>
            <w:tcW w:w="1000" w:type="pct"/>
          </w:tcPr>
          <w:p w14:paraId="5C6FF3E8" w14:textId="3E6E5794" w:rsidR="007345D6" w:rsidRPr="00667FA1" w:rsidRDefault="007345D6" w:rsidP="00DD113F">
            <w:pPr>
              <w:rPr>
                <w:b/>
              </w:rPr>
            </w:pPr>
            <w:r w:rsidRPr="007345D6">
              <w:rPr>
                <w:b/>
              </w:rPr>
              <w:t xml:space="preserve">Hall Coefficient </w:t>
            </w:r>
            <w:r w:rsidR="00667FA1">
              <w:rPr>
                <w:b/>
              </w:rPr>
              <w:t>(cm</w:t>
            </w:r>
            <w:r w:rsidR="00667FA1">
              <w:rPr>
                <w:b/>
                <w:vertAlign w:val="superscript"/>
              </w:rPr>
              <w:t>3</w:t>
            </w:r>
            <w:r w:rsidR="00667FA1">
              <w:rPr>
                <w:b/>
              </w:rPr>
              <w:t>C</w:t>
            </w:r>
            <w:r w:rsidR="00667FA1">
              <w:rPr>
                <w:b/>
                <w:vertAlign w:val="superscript"/>
              </w:rPr>
              <w:t>-1</w:t>
            </w:r>
            <w:r w:rsidR="00667FA1">
              <w:rPr>
                <w:b/>
              </w:rPr>
              <w:t>)</w:t>
            </w:r>
          </w:p>
        </w:tc>
        <w:tc>
          <w:tcPr>
            <w:tcW w:w="1000" w:type="pct"/>
          </w:tcPr>
          <w:p w14:paraId="4DECF83A" w14:textId="670622CF" w:rsidR="007345D6" w:rsidRPr="007345D6" w:rsidRDefault="007345D6" w:rsidP="00DD113F">
            <w:pPr>
              <w:rPr>
                <w:b/>
              </w:rPr>
            </w:pPr>
            <w:r w:rsidRPr="007345D6">
              <w:rPr>
                <w:b/>
              </w:rPr>
              <w:t>Carrier Density (cm</w:t>
            </w:r>
            <w:r>
              <w:rPr>
                <w:b/>
                <w:vertAlign w:val="superscript"/>
              </w:rPr>
              <w:t>-3</w:t>
            </w:r>
            <w:r>
              <w:rPr>
                <w:b/>
              </w:rPr>
              <w:t>)</w:t>
            </w:r>
          </w:p>
        </w:tc>
        <w:tc>
          <w:tcPr>
            <w:tcW w:w="1000" w:type="pct"/>
          </w:tcPr>
          <w:p w14:paraId="16FBA6F5" w14:textId="7C3B96D2" w:rsidR="007345D6" w:rsidRPr="00667FA1" w:rsidRDefault="00667FA1" w:rsidP="00DD113F">
            <w:pPr>
              <w:rPr>
                <w:b/>
              </w:rPr>
            </w:pPr>
            <w:r>
              <w:rPr>
                <w:b/>
              </w:rPr>
              <w:t>Carrier Mobility (cm</w:t>
            </w:r>
            <w:r>
              <w:rPr>
                <w:b/>
                <w:vertAlign w:val="superscript"/>
              </w:rPr>
              <w:t>2</w:t>
            </w:r>
            <w:r>
              <w:rPr>
                <w:b/>
              </w:rPr>
              <w:t>V</w:t>
            </w:r>
            <w:r>
              <w:rPr>
                <w:b/>
                <w:vertAlign w:val="superscript"/>
              </w:rPr>
              <w:t>-1</w:t>
            </w:r>
            <w:r>
              <w:rPr>
                <w:b/>
              </w:rPr>
              <w:t>s</w:t>
            </w:r>
            <w:r>
              <w:rPr>
                <w:b/>
                <w:vertAlign w:val="superscript"/>
              </w:rPr>
              <w:t>-1</w:t>
            </w:r>
            <w:r>
              <w:rPr>
                <w:b/>
              </w:rPr>
              <w:t>)</w:t>
            </w:r>
          </w:p>
        </w:tc>
      </w:tr>
      <w:tr w:rsidR="007345D6" w14:paraId="7EA8EB5D" w14:textId="77777777" w:rsidTr="007345D6">
        <w:tc>
          <w:tcPr>
            <w:tcW w:w="1000" w:type="pct"/>
          </w:tcPr>
          <w:p w14:paraId="045ED0EA" w14:textId="7C5C4B6E" w:rsidR="007345D6" w:rsidRDefault="007345D6" w:rsidP="00DD113F">
            <w:r>
              <w:t>3361</w:t>
            </w:r>
          </w:p>
        </w:tc>
        <w:tc>
          <w:tcPr>
            <w:tcW w:w="1000" w:type="pct"/>
          </w:tcPr>
          <w:p w14:paraId="44815D1A" w14:textId="7DD32D6C" w:rsidR="007345D6" w:rsidRDefault="00667FA1" w:rsidP="00DD113F">
            <w:r>
              <w:t>p-type</w:t>
            </w:r>
          </w:p>
        </w:tc>
        <w:tc>
          <w:tcPr>
            <w:tcW w:w="1000" w:type="pct"/>
          </w:tcPr>
          <w:p w14:paraId="31DD7BD9" w14:textId="09605C00" w:rsidR="007345D6" w:rsidRPr="004C26E1" w:rsidRDefault="004C26E1" w:rsidP="00DD113F">
            <w:r>
              <w:t xml:space="preserve">20600 ± </w:t>
            </w:r>
            <w:r w:rsidRPr="004C26E1">
              <w:rPr>
                <w:b/>
              </w:rPr>
              <w:t>XX</w:t>
            </w:r>
          </w:p>
        </w:tc>
        <w:tc>
          <w:tcPr>
            <w:tcW w:w="1000" w:type="pct"/>
          </w:tcPr>
          <w:p w14:paraId="18E4FFAA" w14:textId="3460E6DC" w:rsidR="007345D6" w:rsidRPr="0056566B" w:rsidRDefault="004C26E1" w:rsidP="00DD113F">
            <w:r>
              <w:t>3.03 x 10</w:t>
            </w:r>
            <w:r>
              <w:rPr>
                <w:vertAlign w:val="superscript"/>
              </w:rPr>
              <w:t>13</w:t>
            </w:r>
            <w:r w:rsidR="0056566B">
              <w:rPr>
                <w:vertAlign w:val="superscript"/>
              </w:rPr>
              <w:t xml:space="preserve"> </w:t>
            </w:r>
            <w:r w:rsidR="0056566B">
              <w:t xml:space="preserve">± </w:t>
            </w:r>
            <w:r w:rsidR="0056566B" w:rsidRPr="004C26E1">
              <w:rPr>
                <w:b/>
              </w:rPr>
              <w:t>XX</w:t>
            </w:r>
          </w:p>
        </w:tc>
        <w:tc>
          <w:tcPr>
            <w:tcW w:w="1000" w:type="pct"/>
          </w:tcPr>
          <w:p w14:paraId="2430C958" w14:textId="576B759C" w:rsidR="007345D6" w:rsidRPr="000B6F15" w:rsidRDefault="004C26E1" w:rsidP="00DD113F">
            <w:r>
              <w:t>2.943 x 10</w:t>
            </w:r>
            <w:r>
              <w:rPr>
                <w:vertAlign w:val="superscript"/>
              </w:rPr>
              <w:t>3</w:t>
            </w:r>
            <w:r w:rsidR="000B6F15">
              <w:t xml:space="preserve"> </w:t>
            </w:r>
            <w:r w:rsidR="000B6F15">
              <w:t xml:space="preserve">± </w:t>
            </w:r>
            <w:r w:rsidR="000B6F15" w:rsidRPr="004C26E1">
              <w:rPr>
                <w:b/>
              </w:rPr>
              <w:t>XX</w:t>
            </w:r>
          </w:p>
        </w:tc>
      </w:tr>
      <w:tr w:rsidR="007345D6" w14:paraId="293278C6" w14:textId="77777777" w:rsidTr="007345D6">
        <w:tc>
          <w:tcPr>
            <w:tcW w:w="1000" w:type="pct"/>
          </w:tcPr>
          <w:p w14:paraId="315A4A0B" w14:textId="292E40DB" w:rsidR="007345D6" w:rsidRDefault="007345D6" w:rsidP="00DD113F">
            <w:r>
              <w:t>3375</w:t>
            </w:r>
          </w:p>
        </w:tc>
        <w:tc>
          <w:tcPr>
            <w:tcW w:w="1000" w:type="pct"/>
          </w:tcPr>
          <w:p w14:paraId="6FD75A31" w14:textId="218B80DF" w:rsidR="007345D6" w:rsidRDefault="00667FA1" w:rsidP="00DD113F">
            <w:r>
              <w:t>n-type</w:t>
            </w:r>
          </w:p>
        </w:tc>
        <w:tc>
          <w:tcPr>
            <w:tcW w:w="1000" w:type="pct"/>
          </w:tcPr>
          <w:p w14:paraId="33ABED9B" w14:textId="564D7A3B" w:rsidR="007345D6" w:rsidRPr="004C26E1" w:rsidRDefault="004C26E1" w:rsidP="00DD113F">
            <w:pPr>
              <w:rPr>
                <w:b/>
              </w:rPr>
            </w:pPr>
            <w:r>
              <w:t xml:space="preserve">20000 ± </w:t>
            </w:r>
            <w:r>
              <w:rPr>
                <w:b/>
              </w:rPr>
              <w:t>XX</w:t>
            </w:r>
          </w:p>
        </w:tc>
        <w:tc>
          <w:tcPr>
            <w:tcW w:w="1000" w:type="pct"/>
          </w:tcPr>
          <w:p w14:paraId="65C72B0C" w14:textId="0BD72C18" w:rsidR="007345D6" w:rsidRPr="0056566B" w:rsidRDefault="004C26E1" w:rsidP="00DD113F">
            <w:r>
              <w:t>3.12 x 10</w:t>
            </w:r>
            <w:r>
              <w:rPr>
                <w:vertAlign w:val="superscript"/>
              </w:rPr>
              <w:t>13</w:t>
            </w:r>
            <w:r w:rsidR="0056566B">
              <w:t xml:space="preserve"> </w:t>
            </w:r>
            <w:r w:rsidR="0056566B">
              <w:t xml:space="preserve">± </w:t>
            </w:r>
            <w:r w:rsidR="0056566B" w:rsidRPr="004C26E1">
              <w:rPr>
                <w:b/>
              </w:rPr>
              <w:t>XX</w:t>
            </w:r>
          </w:p>
        </w:tc>
        <w:tc>
          <w:tcPr>
            <w:tcW w:w="1000" w:type="pct"/>
          </w:tcPr>
          <w:p w14:paraId="24CB601A" w14:textId="1E826149" w:rsidR="007345D6" w:rsidRPr="000B6F15" w:rsidRDefault="004C26E1" w:rsidP="00DD113F">
            <w:pPr>
              <w:rPr>
                <w:b/>
              </w:rPr>
            </w:pPr>
            <w:r>
              <w:t>3.333 x 10</w:t>
            </w:r>
            <w:r>
              <w:rPr>
                <w:vertAlign w:val="superscript"/>
              </w:rPr>
              <w:t>3</w:t>
            </w:r>
            <w:r w:rsidR="000B6F15">
              <w:rPr>
                <w:vertAlign w:val="superscript"/>
              </w:rPr>
              <w:t xml:space="preserve"> </w:t>
            </w:r>
            <w:r w:rsidR="000B6F15">
              <w:t xml:space="preserve">± </w:t>
            </w:r>
            <w:r w:rsidR="000B6F15" w:rsidRPr="004C26E1">
              <w:rPr>
                <w:b/>
              </w:rPr>
              <w:t>XX</w:t>
            </w:r>
          </w:p>
        </w:tc>
      </w:tr>
    </w:tbl>
    <w:p w14:paraId="17546937" w14:textId="3F79449D" w:rsidR="00DD113F" w:rsidRDefault="00C31C0F" w:rsidP="00C31C0F">
      <w:pPr>
        <w:pStyle w:val="Caption"/>
      </w:pPr>
      <w:r>
        <w:t xml:space="preserve">Table </w:t>
      </w:r>
      <w:fldSimple w:instr=" SEQ Table \* ARABIC ">
        <w:r>
          <w:rPr>
            <w:noProof/>
          </w:rPr>
          <w:t>1</w:t>
        </w:r>
      </w:fldSimple>
      <w:r>
        <w:t xml:space="preserve">: Properties of the tested germanium samples as determined using </w:t>
      </w:r>
      <w:r w:rsidR="000213EE">
        <w:t>E</w:t>
      </w:r>
      <w:bookmarkStart w:id="4" w:name="_GoBack"/>
      <w:bookmarkEnd w:id="4"/>
      <w:r>
        <w:t>quation</w:t>
      </w:r>
      <w:r w:rsidR="000213EE">
        <w:t>s</w:t>
      </w:r>
      <w:r>
        <w:t xml:space="preserve"> 1, 2 &amp; 3.</w:t>
      </w:r>
    </w:p>
    <w:p w14:paraId="0B84278E" w14:textId="67EE16A0" w:rsidR="00DD113F" w:rsidRDefault="00DD113F" w:rsidP="00DD113F"/>
    <w:p w14:paraId="33E6E020" w14:textId="3B3109F6" w:rsidR="00DD113F" w:rsidRDefault="00DD113F" w:rsidP="00DD113F"/>
    <w:p w14:paraId="6357F024" w14:textId="3FA483BF" w:rsidR="00DD113F" w:rsidRDefault="00DD113F" w:rsidP="00DD113F"/>
    <w:p w14:paraId="255F1B18" w14:textId="4C9F1FFD" w:rsidR="00DD113F" w:rsidRDefault="00DD113F" w:rsidP="00DD113F"/>
    <w:p w14:paraId="2010B535" w14:textId="77777777" w:rsidR="00DD113F" w:rsidRDefault="00DD113F" w:rsidP="00DD113F"/>
    <w:p w14:paraId="14ECACFD" w14:textId="77777777" w:rsidR="00DD113F" w:rsidRDefault="00DD113F" w:rsidP="00DD113F"/>
    <w:p w14:paraId="7F4ABDB9" w14:textId="77777777" w:rsidR="00DD113F" w:rsidRDefault="00DD113F" w:rsidP="00DD113F"/>
    <w:p w14:paraId="7A64C1D0" w14:textId="066C3450" w:rsidR="00DD113F" w:rsidRDefault="00DD113F" w:rsidP="00DD113F"/>
    <w:p w14:paraId="53469980" w14:textId="0A6A5C09" w:rsidR="00AA0064" w:rsidRDefault="00DD1D24" w:rsidP="00DD1D24">
      <w:pPr>
        <w:pStyle w:val="Heading1"/>
      </w:pPr>
      <w:r>
        <w:br w:type="page"/>
      </w:r>
      <w:bookmarkStart w:id="5" w:name="_Toc513752250"/>
      <w:r w:rsidR="004D6AEA">
        <w:lastRenderedPageBreak/>
        <w:t>Discussion</w:t>
      </w:r>
      <w:bookmarkEnd w:id="5"/>
    </w:p>
    <w:p w14:paraId="0151CD9B" w14:textId="77777777" w:rsidR="00B54773" w:rsidRDefault="00B54773" w:rsidP="00BC2B91"/>
    <w:p w14:paraId="2D598928" w14:textId="01191136" w:rsidR="00BC2B91" w:rsidRDefault="00B54773" w:rsidP="00B54773">
      <w:pPr>
        <w:pStyle w:val="Heading2"/>
      </w:pPr>
      <w:bookmarkStart w:id="6" w:name="_Toc513752251"/>
      <w:r>
        <w:t>Inaccuracy</w:t>
      </w:r>
      <w:bookmarkEnd w:id="6"/>
    </w:p>
    <w:p w14:paraId="3680A957" w14:textId="79DBB759" w:rsidR="00B54773" w:rsidRDefault="005A5FDC" w:rsidP="005A5FDC">
      <w:r>
        <w:t xml:space="preserve">This experiment was conducted </w:t>
      </w:r>
      <w:r w:rsidR="004F0C62">
        <w:t>affected by</w:t>
      </w:r>
      <w:r>
        <w:t xml:space="preserve"> several inaccuracies. The instruments used all had associated inaccuracies, </w:t>
      </w:r>
      <w:r w:rsidR="00FC16E3">
        <w:t xml:space="preserve">for example </w:t>
      </w:r>
      <w:r>
        <w:t>the thermometer</w:t>
      </w:r>
      <w:r>
        <w:rPr>
          <w:b/>
        </w:rPr>
        <w:t xml:space="preserve"> </w:t>
      </w:r>
      <w:r w:rsidR="00FC16E3" w:rsidRPr="00FC16E3">
        <w:t>±1 °C</w:t>
      </w:r>
      <w:r w:rsidR="00B54773">
        <w:t>. T</w:t>
      </w:r>
      <w:r>
        <w:t xml:space="preserve">he </w:t>
      </w:r>
      <w:r w:rsidR="00B54773">
        <w:t xml:space="preserve">four-probe method assumes </w:t>
      </w:r>
      <w:r w:rsidR="00BE32E2">
        <w:t>a number of</w:t>
      </w:r>
      <w:r w:rsidR="00B54773">
        <w:t xml:space="preserve"> parameters are correctly setup such as </w:t>
      </w:r>
      <w:r w:rsidR="00E94DAF">
        <w:t>alignment</w:t>
      </w:r>
      <w:r w:rsidR="00B54773">
        <w:t xml:space="preserve"> of the probes and perfect contact of the probes. These things are easily executed imperfectly due to human error additionally the instrument has an associated inaccuracy of </w:t>
      </w:r>
      <w:r w:rsidR="00101383">
        <w:t>±0.1% and ±0.1mV for the voltmeter and ±0.25% and ±0.1mA for the current generator</w:t>
      </w:r>
      <w:r>
        <w:t xml:space="preserve">. </w:t>
      </w:r>
    </w:p>
    <w:p w14:paraId="21B60713" w14:textId="2953A25E" w:rsidR="00F603A1" w:rsidRDefault="005A5FDC" w:rsidP="005A5FDC">
      <w:r>
        <w:t xml:space="preserve">In the calculation phase as the results did not produce an exactly linear plot (see Figure 5) the data was linearly fitted. The approximation affected the basis of the calculation to obtain the energy gap of the germanium sample (see Appendix- Calculations 1). Unsurprisingly the results obtained, 0.5160 eV for experimental data and 0.4429 eV for calculated data, were some 20 – 40% different to the actual value for the band gap of germanium which is 0.66 eV </w:t>
      </w:r>
      <w:sdt>
        <w:sdtPr>
          <w:id w:val="-57784942"/>
          <w:citation/>
        </w:sdtPr>
        <w:sdtEndPr/>
        <w:sdtContent>
          <w:r>
            <w:fldChar w:fldCharType="begin"/>
          </w:r>
          <w:r>
            <w:instrText xml:space="preserve"> CITATION Mat18 \l 3081 </w:instrText>
          </w:r>
          <w:r>
            <w:fldChar w:fldCharType="separate"/>
          </w:r>
          <w:r w:rsidR="00007B2B" w:rsidRPr="00007B2B">
            <w:rPr>
              <w:noProof/>
            </w:rPr>
            <w:t>[1]</w:t>
          </w:r>
          <w:r>
            <w:fldChar w:fldCharType="end"/>
          </w:r>
        </w:sdtContent>
      </w:sdt>
      <w:r>
        <w:t>.</w:t>
      </w:r>
      <w:r w:rsidR="00896D7B">
        <w:t xml:space="preserve"> Due to imperfect data </w:t>
      </w:r>
      <w:r w:rsidR="00F603A1">
        <w:t>however,</w:t>
      </w:r>
      <w:r w:rsidR="00896D7B">
        <w:t xml:space="preserve"> this compromise is necessary.</w:t>
      </w:r>
      <w:r w:rsidR="00A006C9">
        <w:t xml:space="preserve"> </w:t>
      </w:r>
    </w:p>
    <w:p w14:paraId="7A4B0BCC" w14:textId="375D908E" w:rsidR="00A006C9" w:rsidRDefault="00A006C9" w:rsidP="005A5FDC">
      <w:r>
        <w:t xml:space="preserve">There was a single outlier in the measured data (see Figure 5) which can </w:t>
      </w:r>
      <w:r w:rsidR="00D47369">
        <w:t xml:space="preserve">be </w:t>
      </w:r>
      <w:r>
        <w:t xml:space="preserve">attributed to a displacement of the instrumentation causing imperfect contact with </w:t>
      </w:r>
      <w:r w:rsidR="00D47369">
        <w:t>t</w:t>
      </w:r>
      <w:r>
        <w:t>he sample</w:t>
      </w:r>
      <w:r w:rsidR="00D47369">
        <w:t>.</w:t>
      </w:r>
      <w:r>
        <w:t xml:space="preserve"> </w:t>
      </w:r>
      <w:r w:rsidR="00D47369">
        <w:t xml:space="preserve">It also could have been cause </w:t>
      </w:r>
      <w:r>
        <w:t xml:space="preserve">random event in the hardware. </w:t>
      </w:r>
    </w:p>
    <w:p w14:paraId="76EEE07B" w14:textId="1027A2D3" w:rsidR="004F0C62" w:rsidRDefault="00F603A1" w:rsidP="005A5FDC">
      <w:r>
        <w:t>The four-probe method, though imperfect, is still superior to other method of measuring the resistivity of a material. Because the millivoltmeter is applied in parallel with the sample</w:t>
      </w:r>
      <w:r w:rsidR="00A7720C">
        <w:t xml:space="preserve"> (see Figure 6)</w:t>
      </w:r>
      <w:r>
        <w:t xml:space="preserve"> and it has a high impedance</w:t>
      </w:r>
      <w:r w:rsidR="000E5B12">
        <w:t xml:space="preserve"> (10MΩ)</w:t>
      </w:r>
      <w:r>
        <w:t xml:space="preserve"> it does not draw any current out of the circuit and affect the calculation of the resistance of the material. This calculation is based on Ohm’s law.</w:t>
      </w:r>
    </w:p>
    <w:p w14:paraId="32660A75" w14:textId="4F89C510" w:rsidR="00F603A1" w:rsidRPr="00621D63" w:rsidRDefault="00621D63" w:rsidP="005A5FDC">
      <w:pPr>
        <w:rPr>
          <w:rFonts w:eastAsiaTheme="minorEastAsia"/>
        </w:rPr>
      </w:pPr>
      <m:oMathPara>
        <m:oMath>
          <m:r>
            <w:rPr>
              <w:rFonts w:ascii="Cambria Math" w:hAnsi="Cambria Math"/>
            </w:rPr>
            <m:t>R=</m:t>
          </m:r>
          <m:f>
            <m:fPr>
              <m:ctrlPr>
                <w:rPr>
                  <w:rFonts w:ascii="Cambria Math" w:hAnsi="Cambria Math"/>
                  <w:i/>
                </w:rPr>
              </m:ctrlPr>
            </m:fPr>
            <m:num>
              <m:r>
                <w:rPr>
                  <w:rFonts w:ascii="Cambria Math" w:hAnsi="Cambria Math"/>
                </w:rPr>
                <m:t>V</m:t>
              </m:r>
            </m:num>
            <m:den>
              <m:r>
                <w:rPr>
                  <w:rFonts w:ascii="Cambria Math" w:hAnsi="Cambria Math"/>
                </w:rPr>
                <m:t>I</m:t>
              </m:r>
            </m:den>
          </m:f>
        </m:oMath>
      </m:oMathPara>
    </w:p>
    <w:p w14:paraId="7359DDD6" w14:textId="6E8C0EE5" w:rsidR="00621D63" w:rsidRDefault="00621D63" w:rsidP="005A5FDC">
      <w:pPr>
        <w:rPr>
          <w:rFonts w:eastAsiaTheme="minorEastAsia"/>
        </w:rPr>
      </w:pPr>
      <w:r>
        <w:rPr>
          <w:rFonts w:eastAsiaTheme="minorEastAsia"/>
        </w:rPr>
        <w:t>If the method of soldering wires onto the sample, the associated resistivity of the soldering and wires would contribute to the series resistance calculated by the probe that is mean to represent that of the sample.</w:t>
      </w:r>
      <w:r w:rsidR="00B54773">
        <w:rPr>
          <w:rFonts w:eastAsiaTheme="minorEastAsia"/>
        </w:rPr>
        <w:t xml:space="preserve"> This in turn would generate inaccurate data, more so than data generated by the four-probe method. </w:t>
      </w:r>
      <w:r>
        <w:rPr>
          <w:rFonts w:eastAsiaTheme="minorEastAsia"/>
        </w:rPr>
        <w:t xml:space="preserve"> </w:t>
      </w:r>
      <w:r w:rsidR="00817D8E">
        <w:rPr>
          <w:rFonts w:eastAsiaTheme="minorEastAsia"/>
        </w:rPr>
        <w:t xml:space="preserve">Comparatively the series resistance contributed by the four-probe method is very small. </w:t>
      </w:r>
    </w:p>
    <w:p w14:paraId="0E244FB8" w14:textId="4F327698" w:rsidR="00521CF0" w:rsidRDefault="00521CF0" w:rsidP="005A5FDC">
      <w:pPr>
        <w:rPr>
          <w:rFonts w:eastAsiaTheme="minorEastAsia"/>
        </w:rPr>
      </w:pPr>
      <w:r>
        <w:rPr>
          <w:rFonts w:eastAsiaTheme="minorEastAsia"/>
        </w:rPr>
        <w:t>The experimental data’s qualities could be improved by an increased number of trials and greater care to implement the four-probe method’s setup.</w:t>
      </w:r>
    </w:p>
    <w:p w14:paraId="7632B1A9" w14:textId="77777777" w:rsidR="007C13D5" w:rsidRDefault="007C13D5" w:rsidP="007C13D5">
      <w:pPr>
        <w:keepNext/>
      </w:pPr>
      <w:r>
        <w:rPr>
          <w:noProof/>
        </w:rPr>
        <w:drawing>
          <wp:inline distT="0" distB="0" distL="0" distR="0" wp14:anchorId="15CCFFE9" wp14:editId="6CC8AFD1">
            <wp:extent cx="3705929" cy="1633796"/>
            <wp:effectExtent l="38100" t="95250" r="46990" b="1003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21441968">
                      <a:off x="0" y="0"/>
                      <a:ext cx="3745887" cy="1651412"/>
                    </a:xfrm>
                    <a:prstGeom prst="rect">
                      <a:avLst/>
                    </a:prstGeom>
                  </pic:spPr>
                </pic:pic>
              </a:graphicData>
            </a:graphic>
          </wp:inline>
        </w:drawing>
      </w:r>
    </w:p>
    <w:p w14:paraId="50A7088F" w14:textId="6C9A8560" w:rsidR="007C13D5" w:rsidRDefault="007C13D5" w:rsidP="007C13D5">
      <w:pPr>
        <w:pStyle w:val="Caption"/>
        <w:rPr>
          <w:rFonts w:eastAsiaTheme="minorEastAsia"/>
        </w:rPr>
      </w:pPr>
      <w:r>
        <w:t>Figure 6</w:t>
      </w:r>
      <w:r w:rsidR="00B43A43">
        <w:t xml:space="preserve">: Four-probe method’s individual contacts diagram. </w:t>
      </w:r>
      <w:r>
        <w:t xml:space="preserve"> </w:t>
      </w:r>
    </w:p>
    <w:p w14:paraId="6A71CBCF" w14:textId="77777777" w:rsidR="00156FD4" w:rsidRDefault="00156FD4" w:rsidP="005A5FDC">
      <w:pPr>
        <w:rPr>
          <w:rFonts w:eastAsiaTheme="minorEastAsia"/>
        </w:rPr>
      </w:pPr>
    </w:p>
    <w:p w14:paraId="31760380" w14:textId="3CA68AAC" w:rsidR="00B54773" w:rsidRDefault="00BB0272" w:rsidP="00BB0272">
      <w:pPr>
        <w:pStyle w:val="Heading2"/>
        <w:rPr>
          <w:rFonts w:eastAsiaTheme="minorEastAsia"/>
        </w:rPr>
      </w:pPr>
      <w:bookmarkStart w:id="7" w:name="_Toc513752252"/>
      <w:r>
        <w:rPr>
          <w:rFonts w:eastAsiaTheme="minorEastAsia"/>
        </w:rPr>
        <w:t>Data Analysis</w:t>
      </w:r>
      <w:bookmarkEnd w:id="7"/>
    </w:p>
    <w:p w14:paraId="7DB8AD24" w14:textId="77777777" w:rsidR="006D7323" w:rsidRDefault="006D7323" w:rsidP="005A5FDC">
      <w:pPr>
        <w:rPr>
          <w:rFonts w:eastAsiaTheme="minorEastAsia"/>
        </w:rPr>
      </w:pPr>
      <w:r>
        <w:rPr>
          <w:rFonts w:eastAsiaTheme="minorEastAsia"/>
        </w:rPr>
        <w:t>The near-linear sections of the plot in Figure 5 which are positively sloped indicate that as the sample cooled the resistance of the sample rose. This implies that the materials conductivity increased with temperature.</w:t>
      </w:r>
    </w:p>
    <w:p w14:paraId="5BEFB454" w14:textId="11D8364A" w:rsidR="003B3942" w:rsidRPr="006D7323" w:rsidRDefault="006D7323" w:rsidP="005A5FDC">
      <w:pPr>
        <w:rPr>
          <w:rFonts w:eastAsiaTheme="minorEastAsia"/>
        </w:rPr>
      </w:pPr>
      <m:oMathPara>
        <m:oMath>
          <m:r>
            <w:rPr>
              <w:rFonts w:ascii="Cambria Math" w:eastAsiaTheme="minorEastAsia" w:hAnsi="Cambria Math"/>
            </w:rPr>
            <m:t>σ=</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ρ</m:t>
              </m:r>
            </m:den>
          </m:f>
        </m:oMath>
      </m:oMathPara>
    </w:p>
    <w:p w14:paraId="2EA76297" w14:textId="153E6C05" w:rsidR="006D7323" w:rsidRPr="006D7323" w:rsidRDefault="006D7323" w:rsidP="005A5FDC">
      <w:pPr>
        <w:rPr>
          <w:rFonts w:eastAsiaTheme="minorEastAsia"/>
        </w:rPr>
      </w:pPr>
      <m:oMathPara>
        <m:oMath>
          <m:r>
            <w:rPr>
              <w:rFonts w:ascii="Cambria Math" w:eastAsiaTheme="minorEastAsia" w:hAnsi="Cambria Math"/>
            </w:rPr>
            <m:t>Where ρ=resistvity and σ=conductivity.</m:t>
          </m:r>
        </m:oMath>
      </m:oMathPara>
    </w:p>
    <w:p w14:paraId="4E46728B" w14:textId="77777777" w:rsidR="006D7323" w:rsidRDefault="006D7323" w:rsidP="005A5FDC">
      <w:pPr>
        <w:rPr>
          <w:rFonts w:eastAsiaTheme="minorEastAsia"/>
        </w:rPr>
      </w:pPr>
    </w:p>
    <w:p w14:paraId="16C2B1B1" w14:textId="388FCE10" w:rsidR="006D7323" w:rsidRDefault="006D7323" w:rsidP="005A5FDC">
      <w:pPr>
        <w:rPr>
          <w:rFonts w:eastAsiaTheme="minorEastAsia"/>
        </w:rPr>
      </w:pPr>
      <w:r>
        <w:rPr>
          <w:rFonts w:eastAsiaTheme="minorEastAsia"/>
        </w:rPr>
        <w:t>The reason that the germanium’s conductivity rose as the sample was heated is that the thermal energy is transferred to the electrons and agitates them. If the agitation is sufficiently large the electrons may be pushed across the band gap and into the conduction band</w:t>
      </w:r>
      <w:r w:rsidR="00F16B5E">
        <w:rPr>
          <w:rFonts w:eastAsiaTheme="minorEastAsia"/>
        </w:rPr>
        <w:t xml:space="preserve">. This generates a hole in the valence band (p-type) which is a positive charge carrier. It also creates an extra electron in the conduction band (n-type) which is a negative charge carrier. This is called </w:t>
      </w:r>
      <w:r w:rsidR="00F16B5E" w:rsidRPr="00F16B5E">
        <w:rPr>
          <w:rFonts w:eastAsiaTheme="minorEastAsia"/>
          <w:i/>
        </w:rPr>
        <w:t>intrinsic</w:t>
      </w:r>
      <w:r w:rsidR="00F16B5E">
        <w:rPr>
          <w:rFonts w:eastAsiaTheme="minorEastAsia"/>
          <w:i/>
        </w:rPr>
        <w:t xml:space="preserve"> </w:t>
      </w:r>
      <w:r w:rsidR="00F16B5E">
        <w:rPr>
          <w:rFonts w:eastAsiaTheme="minorEastAsia"/>
        </w:rPr>
        <w:t xml:space="preserve">conduction. </w:t>
      </w:r>
    </w:p>
    <w:p w14:paraId="71825FD7" w14:textId="77777777" w:rsidR="00F51855" w:rsidRDefault="00F51855" w:rsidP="00F51855">
      <w:pPr>
        <w:keepNext/>
      </w:pPr>
      <w:r>
        <w:rPr>
          <w:noProof/>
        </w:rPr>
        <w:drawing>
          <wp:inline distT="0" distB="0" distL="0" distR="0" wp14:anchorId="4D485681" wp14:editId="6D62D1BF">
            <wp:extent cx="4107976" cy="2217761"/>
            <wp:effectExtent l="0" t="0" r="6985" b="11430"/>
            <wp:docPr id="4" name="Chart 4">
              <a:extLst xmlns:a="http://schemas.openxmlformats.org/drawingml/2006/main">
                <a:ext uri="{FF2B5EF4-FFF2-40B4-BE49-F238E27FC236}">
                  <a16:creationId xmlns:a16="http://schemas.microsoft.com/office/drawing/2014/main" id="{FA24AFCC-28FD-4136-AE46-61703B3CA2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F1E2321" w14:textId="508A941F" w:rsidR="00F16B5E" w:rsidRDefault="00F51855" w:rsidP="00F51855">
      <w:pPr>
        <w:pStyle w:val="Caption"/>
        <w:rPr>
          <w:rFonts w:eastAsiaTheme="minorEastAsia"/>
        </w:rPr>
      </w:pPr>
      <w:r>
        <w:t xml:space="preserve">Figure 7: Ideal plot of </w:t>
      </w:r>
      <w:r w:rsidR="000F009E">
        <w:t>change</w:t>
      </w:r>
      <w:r>
        <w:t xml:space="preserve"> in conductivity due to temperature</w:t>
      </w:r>
    </w:p>
    <w:p w14:paraId="112DD14C" w14:textId="58737BD5" w:rsidR="00F16B5E" w:rsidRDefault="008C0044" w:rsidP="005A5FDC">
      <w:pPr>
        <w:rPr>
          <w:rFonts w:eastAsiaTheme="minorEastAsia"/>
        </w:rPr>
      </w:pPr>
      <w:r>
        <w:rPr>
          <w:rFonts w:eastAsiaTheme="minorEastAsia"/>
        </w:rPr>
        <w:t xml:space="preserve">In Figure 7 above, which is an ideally linear shaped dummy plot, the flat areas of the plot indicate regions of </w:t>
      </w:r>
      <w:r>
        <w:rPr>
          <w:rFonts w:eastAsiaTheme="minorEastAsia"/>
          <w:i/>
        </w:rPr>
        <w:t xml:space="preserve">extrinsic </w:t>
      </w:r>
      <w:r>
        <w:rPr>
          <w:rFonts w:eastAsiaTheme="minorEastAsia"/>
        </w:rPr>
        <w:t xml:space="preserve">conductivity, as temperature has no affect on this region. Therefore, for sufficiently small temperatures insufficient energy is supplied </w:t>
      </w:r>
      <w:r w:rsidR="000F50F7">
        <w:rPr>
          <w:rFonts w:eastAsiaTheme="minorEastAsia"/>
        </w:rPr>
        <w:t xml:space="preserve">to electrons to cross the band gap. </w:t>
      </w:r>
      <w:r w:rsidR="00BD5F16">
        <w:rPr>
          <w:rFonts w:eastAsiaTheme="minorEastAsia"/>
        </w:rPr>
        <w:t>This is the conductive behaviour of the material without extra energy and it can be improved via doping.</w:t>
      </w:r>
    </w:p>
    <w:p w14:paraId="1BFF9844" w14:textId="77777777" w:rsidR="00383D03" w:rsidRPr="00084AA1" w:rsidRDefault="00383D03" w:rsidP="00383D03">
      <w:pPr>
        <w:rPr>
          <w:rFonts w:eastAsiaTheme="minorEastAsia"/>
        </w:rPr>
      </w:pPr>
      <w:r>
        <w:rPr>
          <w:rFonts w:eastAsiaTheme="minorEastAsia"/>
        </w:rPr>
        <w:t>By accounting for errors of ±5% in the linear fit of the plots, the uncertainty in the band gap was found to be ±0.026 eV.</w:t>
      </w:r>
    </w:p>
    <w:p w14:paraId="616287C6" w14:textId="77777777" w:rsidR="00383D03" w:rsidRPr="00F16B5E" w:rsidRDefault="00383D03" w:rsidP="005A5FDC">
      <w:pPr>
        <w:rPr>
          <w:rFonts w:eastAsiaTheme="minorEastAsia"/>
        </w:rPr>
      </w:pPr>
    </w:p>
    <w:p w14:paraId="460C1D14" w14:textId="4C1D2A93" w:rsidR="009E451E" w:rsidRDefault="009E451E" w:rsidP="006D7323">
      <w:pPr>
        <w:pStyle w:val="Heading1"/>
      </w:pPr>
      <w:r>
        <w:br w:type="page"/>
      </w:r>
      <w:bookmarkStart w:id="8" w:name="_Toc513752253"/>
      <w:r w:rsidR="005441E7" w:rsidRPr="005441E7">
        <w:lastRenderedPageBreak/>
        <w:t>Conclusion</w:t>
      </w:r>
      <w:bookmarkEnd w:id="8"/>
    </w:p>
    <w:p w14:paraId="076473F1" w14:textId="6A423EA9" w:rsidR="006313E9" w:rsidRDefault="009E451E" w:rsidP="009E451E">
      <w:r>
        <w:t>By using the relatively accurate four-probe method to measure the resistivity of a germanium wafer and observing the wafer’s changing resistivity as a function of temperature the band gap of germanium could be found. The measure value was 0.516</w:t>
      </w:r>
      <w:r w:rsidR="00F42131">
        <w:t xml:space="preserve"> ± 0.026</w:t>
      </w:r>
      <w:r>
        <w:t xml:space="preserve"> eV and the calculated value was 0.4429 </w:t>
      </w:r>
      <w:r w:rsidR="00F42131">
        <w:t xml:space="preserve">± 0.026 </w:t>
      </w:r>
      <w:r>
        <w:t xml:space="preserve">eV. Disparity between the calculation and the measured value is likely due inaccuracies in measurements also the nature of the linear fit method used in excel. </w:t>
      </w:r>
      <w:r w:rsidR="008539D6">
        <w:t>Likewise,</w:t>
      </w:r>
      <w:r>
        <w:t xml:space="preserve"> this is the justification for the difference in found values and the actual value for germanium’s band gap of 0.66 eV</w:t>
      </w:r>
      <w:sdt>
        <w:sdtPr>
          <w:id w:val="567314726"/>
          <w:citation/>
        </w:sdtPr>
        <w:sdtEndPr/>
        <w:sdtContent>
          <w:r w:rsidR="004E492E">
            <w:fldChar w:fldCharType="begin"/>
          </w:r>
          <w:r w:rsidR="004E492E">
            <w:instrText xml:space="preserve"> CITATION Mat18 \l 3081 </w:instrText>
          </w:r>
          <w:r w:rsidR="004E492E">
            <w:fldChar w:fldCharType="separate"/>
          </w:r>
          <w:r w:rsidR="00007B2B">
            <w:rPr>
              <w:noProof/>
            </w:rPr>
            <w:t xml:space="preserve"> </w:t>
          </w:r>
          <w:r w:rsidR="00007B2B" w:rsidRPr="00007B2B">
            <w:rPr>
              <w:noProof/>
            </w:rPr>
            <w:t>[1]</w:t>
          </w:r>
          <w:r w:rsidR="004E492E">
            <w:fldChar w:fldCharType="end"/>
          </w:r>
        </w:sdtContent>
      </w:sdt>
      <w:r>
        <w:t>.</w:t>
      </w:r>
    </w:p>
    <w:p w14:paraId="35A79E60" w14:textId="32B54F52" w:rsidR="005441E7" w:rsidRDefault="006313E9" w:rsidP="006313E9">
      <w:pPr>
        <w:pStyle w:val="Heading1"/>
      </w:pPr>
      <w:r>
        <w:br w:type="page"/>
      </w:r>
      <w:bookmarkStart w:id="9" w:name="_Toc513752254"/>
      <w:r w:rsidR="0029502B">
        <w:lastRenderedPageBreak/>
        <w:t>Appendix</w:t>
      </w:r>
      <w:bookmarkEnd w:id="9"/>
    </w:p>
    <w:p w14:paraId="66763CF3" w14:textId="610D1D27" w:rsidR="0029502B" w:rsidRDefault="0029502B" w:rsidP="0029502B"/>
    <w:p w14:paraId="4F244A11" w14:textId="48C95055" w:rsidR="0029502B" w:rsidRDefault="0029502B" w:rsidP="0029502B">
      <w:pPr>
        <w:pStyle w:val="Heading2"/>
      </w:pPr>
      <w:bookmarkStart w:id="10" w:name="_Toc513752255"/>
      <w:r>
        <w:t>Calculations</w:t>
      </w:r>
      <w:bookmarkEnd w:id="10"/>
    </w:p>
    <w:p w14:paraId="6E1BACDC" w14:textId="36C367E9" w:rsidR="001E6896" w:rsidRDefault="001E6896" w:rsidP="001E6896"/>
    <w:p w14:paraId="01763662" w14:textId="27AA6426" w:rsidR="001E6896" w:rsidRDefault="001E6896" w:rsidP="00C9634E">
      <w:pPr>
        <w:pStyle w:val="ListParagraph"/>
        <w:numPr>
          <w:ilvl w:val="0"/>
          <w:numId w:val="2"/>
        </w:numPr>
        <w:rPr>
          <w:i/>
        </w:rPr>
      </w:pPr>
      <w:r w:rsidRPr="00C9634E">
        <w:rPr>
          <w:i/>
        </w:rPr>
        <w:t xml:space="preserve">Calculation of the bandgap from the gradient of the linear </w:t>
      </w:r>
      <w:r w:rsidR="004149F9" w:rsidRPr="00C9634E">
        <w:rPr>
          <w:i/>
        </w:rPr>
        <w:t>fit plot Figure 5.</w:t>
      </w:r>
      <w:r w:rsidR="00316857">
        <w:rPr>
          <w:i/>
        </w:rPr>
        <w:t xml:space="preserve"> ln(</w:t>
      </w:r>
      <w:r w:rsidR="00316857">
        <w:rPr>
          <w:rFonts w:ascii="Segoe UI Historic" w:hAnsi="Segoe UI Historic" w:cs="Segoe UI Historic"/>
          <w:i/>
        </w:rPr>
        <w:t>ⲣ) vs 1/</w:t>
      </w:r>
      <w:proofErr w:type="gramStart"/>
      <w:r w:rsidR="00316857">
        <w:rPr>
          <w:rFonts w:ascii="Segoe UI Historic" w:hAnsi="Segoe UI Historic" w:cs="Segoe UI Historic"/>
          <w:i/>
        </w:rPr>
        <w:t>T .</w:t>
      </w:r>
      <w:proofErr w:type="gramEnd"/>
    </w:p>
    <w:p w14:paraId="035820AC" w14:textId="77777777" w:rsidR="00C9634E" w:rsidRPr="00C9634E" w:rsidRDefault="00C9634E" w:rsidP="00F17980">
      <w:pPr>
        <w:pStyle w:val="ListParagraph"/>
        <w:rPr>
          <w:i/>
        </w:rPr>
      </w:pPr>
    </w:p>
    <w:p w14:paraId="40245889" w14:textId="238DA9A4" w:rsidR="00C9634E" w:rsidRPr="00316857" w:rsidRDefault="00420CC6" w:rsidP="00C9634E">
      <w:pPr>
        <w:rPr>
          <w:rFonts w:eastAsiaTheme="minorEastAsia"/>
          <w:i/>
        </w:rPr>
      </w:pPr>
      <m:oMathPara>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Segoe UI Historic" w:hAnsi="Segoe UI Historic" w:cs="Segoe UI Historic"/>
                    </w:rPr>
                    <m:t>ⲣ</m:t>
                  </m:r>
                  <m:ctrlPr>
                    <w:rPr>
                      <w:rFonts w:ascii="Cambria Math" w:hAnsi="Segoe UI Historic" w:cs="Segoe UI Historic"/>
                      <w:i/>
                    </w:rPr>
                  </m:ctrlPr>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g</m:t>
                  </m:r>
                </m:sub>
              </m:sSub>
            </m:num>
            <m:den>
              <m:r>
                <w:rPr>
                  <w:rFonts w:ascii="Cambria Math" w:hAnsi="Cambria Math"/>
                </w:rPr>
                <m:t>2kT</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m:t>
                  </m:r>
                </m:e>
              </m:d>
            </m:e>
          </m:func>
        </m:oMath>
      </m:oMathPara>
    </w:p>
    <w:p w14:paraId="0CB1CE99" w14:textId="089D2DBF" w:rsidR="00316857" w:rsidRPr="00F17980" w:rsidRDefault="00316857" w:rsidP="00C9634E">
      <w:pPr>
        <w:rPr>
          <w:rFonts w:eastAsiaTheme="minorEastAsia"/>
          <w:i/>
        </w:rPr>
      </w:pPr>
      <m:oMathPara>
        <m:oMath>
          <m:r>
            <w:rPr>
              <w:rFonts w:ascii="Cambria Math" w:eastAsiaTheme="minorEastAsia" w:hAnsi="Cambria Math"/>
            </w:rPr>
            <m:t>&amp;</m:t>
          </m:r>
        </m:oMath>
      </m:oMathPara>
    </w:p>
    <w:p w14:paraId="1041023D" w14:textId="6DBBBB97" w:rsidR="00F17980" w:rsidRPr="00316857" w:rsidRDefault="00420CC6" w:rsidP="00C9634E">
      <w:pPr>
        <w:rPr>
          <w:rFonts w:eastAsiaTheme="minorEastAsia"/>
          <w:i/>
        </w:rPr>
      </w:pPr>
      <m:oMathPara>
        <m:oMath>
          <m:func>
            <m:funcPr>
              <m:ctrlPr>
                <w:rPr>
                  <w:rFonts w:ascii="Cambria Math" w:eastAsiaTheme="minorEastAsia" w:hAnsi="Cambria Math"/>
                </w:rPr>
              </m:ctrlPr>
            </m:funcPr>
            <m:fName>
              <m:r>
                <m:rPr>
                  <m:sty m:val="p"/>
                </m:rPr>
                <w:rPr>
                  <w:rFonts w:ascii="Cambria Math" w:eastAsiaTheme="minorEastAsia" w:hAnsi="Cambria Math"/>
                </w:rPr>
                <m:t xml:space="preserve">y = </m:t>
              </m:r>
            </m:fName>
            <m:e>
              <m:r>
                <w:rPr>
                  <w:rFonts w:ascii="Cambria Math" w:eastAsiaTheme="minorEastAsia" w:hAnsi="Cambria Math"/>
                </w:rPr>
                <m:t>mx+b</m:t>
              </m:r>
            </m:e>
          </m:func>
        </m:oMath>
      </m:oMathPara>
    </w:p>
    <w:p w14:paraId="7DFDCEED" w14:textId="6178B6F4" w:rsidR="00316857" w:rsidRDefault="00316857" w:rsidP="00C9634E">
      <w:pPr>
        <w:rPr>
          <w:rFonts w:eastAsiaTheme="minorEastAsia"/>
          <w:i/>
        </w:rPr>
      </w:pPr>
      <w:r>
        <w:rPr>
          <w:rFonts w:eastAsiaTheme="minorEastAsia"/>
          <w:i/>
        </w:rPr>
        <w:t xml:space="preserve">Therefore, </w:t>
      </w:r>
    </w:p>
    <w:p w14:paraId="6F0F978A" w14:textId="714A7F34" w:rsidR="00316857" w:rsidRPr="00316857" w:rsidRDefault="00316857" w:rsidP="00C9634E">
      <w:pPr>
        <w:rPr>
          <w:rFonts w:eastAsiaTheme="minorEastAsia"/>
          <w:i/>
        </w:rPr>
      </w:pPr>
      <m:oMathPara>
        <m:oMath>
          <m:r>
            <w:rPr>
              <w:rFonts w:ascii="Cambria Math" w:eastAsiaTheme="minorEastAsia" w:hAnsi="Cambria Math"/>
            </w:rPr>
            <m:t>m=</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g</m:t>
                  </m:r>
                </m:sub>
              </m:sSub>
            </m:num>
            <m:den>
              <m:r>
                <w:rPr>
                  <w:rFonts w:ascii="Cambria Math" w:eastAsiaTheme="minorEastAsia" w:hAnsi="Cambria Math"/>
                </w:rPr>
                <m:t>2k</m:t>
              </m:r>
            </m:den>
          </m:f>
        </m:oMath>
      </m:oMathPara>
    </w:p>
    <w:p w14:paraId="51FED1D8" w14:textId="77777777" w:rsidR="00316857" w:rsidRPr="00316857" w:rsidRDefault="00316857" w:rsidP="00C9634E">
      <w:pPr>
        <w:rPr>
          <w:rFonts w:eastAsiaTheme="minorEastAsia"/>
          <w:i/>
        </w:rPr>
      </w:pPr>
    </w:p>
    <w:p w14:paraId="26BA7AF1" w14:textId="4E803965" w:rsidR="00C04BDB" w:rsidRDefault="004F0915" w:rsidP="004F0915">
      <w:pPr>
        <w:rPr>
          <w:rFonts w:eastAsiaTheme="minorEastAsia"/>
          <w:i/>
        </w:rPr>
      </w:pPr>
      <w:r>
        <w:rPr>
          <w:rFonts w:eastAsiaTheme="minorEastAsia"/>
          <w:i/>
        </w:rPr>
        <w:t>Hence,</w:t>
      </w:r>
      <w:r>
        <w:rPr>
          <w:rFonts w:eastAsiaTheme="minorEastAsia"/>
          <w:i/>
        </w:rPr>
        <w:tab/>
      </w:r>
      <w:r>
        <w:rPr>
          <w:rFonts w:eastAsiaTheme="minorEastAsia"/>
          <w:i/>
        </w:rPr>
        <w:tab/>
      </w:r>
      <w:r>
        <w:rPr>
          <w:rFonts w:eastAsiaTheme="minorEastAsia"/>
          <w:i/>
        </w:rPr>
        <w:tab/>
      </w:r>
      <w:r>
        <w:rPr>
          <w:rFonts w:eastAsiaTheme="minorEastAsia"/>
          <w:i/>
        </w:rPr>
        <w:tab/>
      </w:r>
      <w:r>
        <w:rPr>
          <w:rFonts w:eastAsiaTheme="minorEastAsia"/>
          <w:i/>
        </w:rPr>
        <w:tab/>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g</m:t>
            </m:r>
          </m:sub>
        </m:sSub>
        <m:r>
          <w:rPr>
            <w:rFonts w:ascii="Cambria Math" w:hAnsi="Cambria Math"/>
          </w:rPr>
          <m:t>=2km</m:t>
        </m:r>
      </m:oMath>
      <w:r w:rsidR="00C04BDB">
        <w:rPr>
          <w:rFonts w:eastAsiaTheme="minorEastAsia"/>
          <w:i/>
        </w:rPr>
        <w:br/>
      </w:r>
    </w:p>
    <w:p w14:paraId="14F5CCD5" w14:textId="691EF132" w:rsidR="00E518D7" w:rsidRPr="003A2C7A" w:rsidRDefault="00C04BDB" w:rsidP="00C04BDB">
      <w:pPr>
        <w:pStyle w:val="Heading1"/>
        <w:rPr>
          <w:rFonts w:asciiTheme="minorHAnsi" w:eastAsiaTheme="minorHAnsi" w:hAnsiTheme="minorHAnsi" w:cstheme="minorBidi"/>
          <w:color w:val="auto"/>
          <w:sz w:val="22"/>
          <w:szCs w:val="22"/>
        </w:rPr>
      </w:pPr>
      <w:r>
        <w:rPr>
          <w:rFonts w:eastAsiaTheme="minorEastAsia"/>
          <w:i/>
        </w:rPr>
        <w:br w:type="page"/>
      </w:r>
    </w:p>
    <w:bookmarkStart w:id="11" w:name="_Toc513752256" w:displacedByCustomXml="next"/>
    <w:sdt>
      <w:sdtPr>
        <w:rPr>
          <w:rFonts w:asciiTheme="minorHAnsi" w:eastAsiaTheme="minorHAnsi" w:hAnsiTheme="minorHAnsi" w:cstheme="minorBidi"/>
          <w:color w:val="auto"/>
          <w:sz w:val="22"/>
          <w:szCs w:val="22"/>
        </w:rPr>
        <w:id w:val="978180864"/>
        <w:docPartObj>
          <w:docPartGallery w:val="Bibliographies"/>
          <w:docPartUnique/>
        </w:docPartObj>
      </w:sdtPr>
      <w:sdtEndPr/>
      <w:sdtContent>
        <w:p w14:paraId="1669B7E1" w14:textId="77777777" w:rsidR="00E518D7" w:rsidRPr="003A2C7A" w:rsidRDefault="00E518D7" w:rsidP="00C04BDB">
          <w:pPr>
            <w:pStyle w:val="Heading1"/>
            <w:rPr>
              <w:rFonts w:asciiTheme="minorHAnsi" w:eastAsiaTheme="minorHAnsi" w:hAnsiTheme="minorHAnsi" w:cstheme="minorBidi"/>
              <w:color w:val="auto"/>
              <w:sz w:val="22"/>
              <w:szCs w:val="22"/>
            </w:rPr>
          </w:pPr>
          <w:r>
            <w:t>Bibliography</w:t>
          </w:r>
          <w:bookmarkEnd w:id="11"/>
        </w:p>
        <w:sdt>
          <w:sdtPr>
            <w:id w:val="111145805"/>
            <w:bibliography/>
          </w:sdtPr>
          <w:sdtEndPr/>
          <w:sdtContent>
            <w:p w14:paraId="532F88CC" w14:textId="77777777" w:rsidR="00007B2B" w:rsidRDefault="00E518D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007B2B" w14:paraId="4B0DD7BE" w14:textId="77777777">
                <w:trPr>
                  <w:divId w:val="718169564"/>
                  <w:tblCellSpacing w:w="15" w:type="dxa"/>
                </w:trPr>
                <w:tc>
                  <w:tcPr>
                    <w:tcW w:w="50" w:type="pct"/>
                    <w:hideMark/>
                  </w:tcPr>
                  <w:p w14:paraId="4987B690" w14:textId="2B937656" w:rsidR="00007B2B" w:rsidRDefault="00007B2B">
                    <w:pPr>
                      <w:pStyle w:val="Bibliography"/>
                      <w:rPr>
                        <w:noProof/>
                        <w:sz w:val="24"/>
                        <w:szCs w:val="24"/>
                      </w:rPr>
                    </w:pPr>
                    <w:r>
                      <w:rPr>
                        <w:noProof/>
                      </w:rPr>
                      <w:t xml:space="preserve">[1] </w:t>
                    </w:r>
                  </w:p>
                </w:tc>
                <w:tc>
                  <w:tcPr>
                    <w:tcW w:w="0" w:type="auto"/>
                    <w:hideMark/>
                  </w:tcPr>
                  <w:p w14:paraId="76739451" w14:textId="77777777" w:rsidR="00007B2B" w:rsidRDefault="00007B2B">
                    <w:pPr>
                      <w:pStyle w:val="Bibliography"/>
                      <w:rPr>
                        <w:noProof/>
                      </w:rPr>
                    </w:pPr>
                    <w:r>
                      <w:rPr>
                        <w:noProof/>
                      </w:rPr>
                      <w:t>M. Design, “Energy band structure of germanium,” materials design, 2018. [Online]. Available: http://www.materialsdesign.com/appnote/energy-band-structure-germanium.</w:t>
                    </w:r>
                  </w:p>
                </w:tc>
              </w:tr>
            </w:tbl>
            <w:p w14:paraId="6D1A78A6" w14:textId="77777777" w:rsidR="00007B2B" w:rsidRDefault="00007B2B">
              <w:pPr>
                <w:divId w:val="718169564"/>
                <w:rPr>
                  <w:rFonts w:eastAsia="Times New Roman"/>
                  <w:noProof/>
                </w:rPr>
              </w:pPr>
            </w:p>
            <w:p w14:paraId="34BFD1DC" w14:textId="71917EC5" w:rsidR="00E518D7" w:rsidRDefault="00E518D7">
              <w:r>
                <w:rPr>
                  <w:b/>
                  <w:bCs/>
                  <w:noProof/>
                </w:rPr>
                <w:fldChar w:fldCharType="end"/>
              </w:r>
            </w:p>
          </w:sdtContent>
        </w:sdt>
      </w:sdtContent>
    </w:sdt>
    <w:p w14:paraId="40B55BB2" w14:textId="241DFC80" w:rsidR="00025DC9" w:rsidRDefault="00025DC9" w:rsidP="00451A57">
      <w:pPr>
        <w:rPr>
          <w:rFonts w:cstheme="minorHAnsi"/>
          <w:sz w:val="24"/>
        </w:rPr>
      </w:pPr>
    </w:p>
    <w:p w14:paraId="4641E460" w14:textId="77777777" w:rsidR="00CA0438" w:rsidRPr="00CA0438" w:rsidRDefault="00CA0438" w:rsidP="00451A57">
      <w:pPr>
        <w:rPr>
          <w:sz w:val="24"/>
        </w:rPr>
      </w:pPr>
    </w:p>
    <w:sectPr w:rsidR="00CA0438" w:rsidRPr="00CA0438" w:rsidSect="00451A57">
      <w:headerReference w:type="default" r:id="rId19"/>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F1E4C" w14:textId="77777777" w:rsidR="00420CC6" w:rsidRDefault="00420CC6" w:rsidP="006F6F01">
      <w:pPr>
        <w:spacing w:after="0" w:line="240" w:lineRule="auto"/>
      </w:pPr>
      <w:r>
        <w:separator/>
      </w:r>
    </w:p>
  </w:endnote>
  <w:endnote w:type="continuationSeparator" w:id="0">
    <w:p w14:paraId="02E6D722" w14:textId="77777777" w:rsidR="00420CC6" w:rsidRDefault="00420CC6" w:rsidP="006F6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3781429"/>
      <w:docPartObj>
        <w:docPartGallery w:val="Page Numbers (Bottom of Page)"/>
        <w:docPartUnique/>
      </w:docPartObj>
    </w:sdtPr>
    <w:sdtEndPr/>
    <w:sdtContent>
      <w:sdt>
        <w:sdtPr>
          <w:id w:val="-1769616900"/>
          <w:docPartObj>
            <w:docPartGallery w:val="Page Numbers (Top of Page)"/>
            <w:docPartUnique/>
          </w:docPartObj>
        </w:sdtPr>
        <w:sdtEndPr/>
        <w:sdtContent>
          <w:p w14:paraId="70CED418" w14:textId="57709E53" w:rsidR="004A17C8" w:rsidRDefault="004A17C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8CEEBD9" w14:textId="738E69DE" w:rsidR="004A17C8" w:rsidRDefault="004A17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E02F5" w14:textId="77777777" w:rsidR="00420CC6" w:rsidRDefault="00420CC6" w:rsidP="006F6F01">
      <w:pPr>
        <w:spacing w:after="0" w:line="240" w:lineRule="auto"/>
      </w:pPr>
      <w:r>
        <w:separator/>
      </w:r>
    </w:p>
  </w:footnote>
  <w:footnote w:type="continuationSeparator" w:id="0">
    <w:p w14:paraId="23CADD35" w14:textId="77777777" w:rsidR="00420CC6" w:rsidRDefault="00420CC6" w:rsidP="006F6F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9F98C" w14:textId="68978DE2" w:rsidR="004A17C8" w:rsidRDefault="004A17C8">
    <w:pPr>
      <w:pStyle w:val="Header"/>
    </w:pPr>
    <w:r>
      <w:tab/>
    </w:r>
    <w:r>
      <w:tab/>
      <w:t xml:space="preserve">Report </w:t>
    </w:r>
    <w:r w:rsidR="00522FA2">
      <w:t>Four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F1A22"/>
    <w:multiLevelType w:val="hybridMultilevel"/>
    <w:tmpl w:val="2AFC77D2"/>
    <w:lvl w:ilvl="0" w:tplc="BAFE189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6EE3180"/>
    <w:multiLevelType w:val="hybridMultilevel"/>
    <w:tmpl w:val="6106C1A2"/>
    <w:lvl w:ilvl="0" w:tplc="720CBD2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CCA6C7D"/>
    <w:multiLevelType w:val="hybridMultilevel"/>
    <w:tmpl w:val="83B66D46"/>
    <w:lvl w:ilvl="0" w:tplc="0C5A322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01"/>
    <w:rsid w:val="00007B2B"/>
    <w:rsid w:val="00007BCA"/>
    <w:rsid w:val="00013E8E"/>
    <w:rsid w:val="0001559C"/>
    <w:rsid w:val="00016AC0"/>
    <w:rsid w:val="00016C3A"/>
    <w:rsid w:val="00017D6D"/>
    <w:rsid w:val="000213EE"/>
    <w:rsid w:val="00025180"/>
    <w:rsid w:val="00025DC9"/>
    <w:rsid w:val="000270BD"/>
    <w:rsid w:val="0004022C"/>
    <w:rsid w:val="00040E94"/>
    <w:rsid w:val="00041E1F"/>
    <w:rsid w:val="00046123"/>
    <w:rsid w:val="0006025B"/>
    <w:rsid w:val="00061BF9"/>
    <w:rsid w:val="00077A27"/>
    <w:rsid w:val="00080747"/>
    <w:rsid w:val="00083079"/>
    <w:rsid w:val="00084AA1"/>
    <w:rsid w:val="00091D91"/>
    <w:rsid w:val="00091E15"/>
    <w:rsid w:val="0009380E"/>
    <w:rsid w:val="000B6F15"/>
    <w:rsid w:val="000C64D4"/>
    <w:rsid w:val="000E10CA"/>
    <w:rsid w:val="000E5179"/>
    <w:rsid w:val="000E51E4"/>
    <w:rsid w:val="000E5B12"/>
    <w:rsid w:val="000F009E"/>
    <w:rsid w:val="000F055F"/>
    <w:rsid w:val="000F1EBC"/>
    <w:rsid w:val="000F3B4B"/>
    <w:rsid w:val="000F50F7"/>
    <w:rsid w:val="000F5B76"/>
    <w:rsid w:val="000F7F58"/>
    <w:rsid w:val="00101383"/>
    <w:rsid w:val="001038A3"/>
    <w:rsid w:val="00104AFB"/>
    <w:rsid w:val="00113BA9"/>
    <w:rsid w:val="00117D60"/>
    <w:rsid w:val="001200BC"/>
    <w:rsid w:val="001331ED"/>
    <w:rsid w:val="00133979"/>
    <w:rsid w:val="00143B43"/>
    <w:rsid w:val="00147656"/>
    <w:rsid w:val="00156FD4"/>
    <w:rsid w:val="00171FE6"/>
    <w:rsid w:val="00172BA8"/>
    <w:rsid w:val="001754EA"/>
    <w:rsid w:val="00176C5C"/>
    <w:rsid w:val="00176D8C"/>
    <w:rsid w:val="00194349"/>
    <w:rsid w:val="00194C06"/>
    <w:rsid w:val="0019682F"/>
    <w:rsid w:val="0019769D"/>
    <w:rsid w:val="001A1B01"/>
    <w:rsid w:val="001B43E6"/>
    <w:rsid w:val="001C3012"/>
    <w:rsid w:val="001C388C"/>
    <w:rsid w:val="001C5FB0"/>
    <w:rsid w:val="001C6764"/>
    <w:rsid w:val="001C67E8"/>
    <w:rsid w:val="001D0BB4"/>
    <w:rsid w:val="001D3BF3"/>
    <w:rsid w:val="001D400B"/>
    <w:rsid w:val="001E6896"/>
    <w:rsid w:val="001F20EE"/>
    <w:rsid w:val="00201FD1"/>
    <w:rsid w:val="002034F0"/>
    <w:rsid w:val="0021447F"/>
    <w:rsid w:val="0021553A"/>
    <w:rsid w:val="00225742"/>
    <w:rsid w:val="0022794F"/>
    <w:rsid w:val="00230050"/>
    <w:rsid w:val="00245ED1"/>
    <w:rsid w:val="00263BB9"/>
    <w:rsid w:val="00280A0C"/>
    <w:rsid w:val="002839C2"/>
    <w:rsid w:val="00292567"/>
    <w:rsid w:val="0029502B"/>
    <w:rsid w:val="002A20CA"/>
    <w:rsid w:val="002A443C"/>
    <w:rsid w:val="002A45B8"/>
    <w:rsid w:val="002B37E2"/>
    <w:rsid w:val="002C12FF"/>
    <w:rsid w:val="002C1C42"/>
    <w:rsid w:val="002C2879"/>
    <w:rsid w:val="002D1830"/>
    <w:rsid w:val="002D1967"/>
    <w:rsid w:val="002D264E"/>
    <w:rsid w:val="002F00B3"/>
    <w:rsid w:val="002F5164"/>
    <w:rsid w:val="002F556D"/>
    <w:rsid w:val="002F67D9"/>
    <w:rsid w:val="002F7A41"/>
    <w:rsid w:val="00302AF9"/>
    <w:rsid w:val="003067A6"/>
    <w:rsid w:val="003166DE"/>
    <w:rsid w:val="00316857"/>
    <w:rsid w:val="00323C5F"/>
    <w:rsid w:val="003243D9"/>
    <w:rsid w:val="00331439"/>
    <w:rsid w:val="003327C7"/>
    <w:rsid w:val="00335C9B"/>
    <w:rsid w:val="00337F7C"/>
    <w:rsid w:val="00345A82"/>
    <w:rsid w:val="00346BD5"/>
    <w:rsid w:val="0035667E"/>
    <w:rsid w:val="00367762"/>
    <w:rsid w:val="0037139A"/>
    <w:rsid w:val="003714E5"/>
    <w:rsid w:val="00371A6F"/>
    <w:rsid w:val="0037217B"/>
    <w:rsid w:val="00372C60"/>
    <w:rsid w:val="003737F1"/>
    <w:rsid w:val="00380156"/>
    <w:rsid w:val="00383D03"/>
    <w:rsid w:val="00384462"/>
    <w:rsid w:val="003873AA"/>
    <w:rsid w:val="0039038B"/>
    <w:rsid w:val="00393414"/>
    <w:rsid w:val="0039680C"/>
    <w:rsid w:val="003A2C7A"/>
    <w:rsid w:val="003B32C5"/>
    <w:rsid w:val="003B3942"/>
    <w:rsid w:val="003C493D"/>
    <w:rsid w:val="003C6F44"/>
    <w:rsid w:val="003D110A"/>
    <w:rsid w:val="003D45F4"/>
    <w:rsid w:val="003F3BC2"/>
    <w:rsid w:val="003F7CF2"/>
    <w:rsid w:val="004021C1"/>
    <w:rsid w:val="00402903"/>
    <w:rsid w:val="00402935"/>
    <w:rsid w:val="00405F42"/>
    <w:rsid w:val="00412286"/>
    <w:rsid w:val="00413DA3"/>
    <w:rsid w:val="004149F9"/>
    <w:rsid w:val="00420CC6"/>
    <w:rsid w:val="00422D51"/>
    <w:rsid w:val="0042365F"/>
    <w:rsid w:val="00435700"/>
    <w:rsid w:val="0044142B"/>
    <w:rsid w:val="004426D4"/>
    <w:rsid w:val="004429EF"/>
    <w:rsid w:val="004445B7"/>
    <w:rsid w:val="00445E56"/>
    <w:rsid w:val="00451A57"/>
    <w:rsid w:val="0045589F"/>
    <w:rsid w:val="00460701"/>
    <w:rsid w:val="00462C55"/>
    <w:rsid w:val="00470E51"/>
    <w:rsid w:val="004804C8"/>
    <w:rsid w:val="004811F7"/>
    <w:rsid w:val="0048243E"/>
    <w:rsid w:val="00485F3D"/>
    <w:rsid w:val="00492E77"/>
    <w:rsid w:val="00493982"/>
    <w:rsid w:val="004A17C8"/>
    <w:rsid w:val="004A3085"/>
    <w:rsid w:val="004A52B8"/>
    <w:rsid w:val="004A6B61"/>
    <w:rsid w:val="004B0A4B"/>
    <w:rsid w:val="004B7271"/>
    <w:rsid w:val="004B7C1E"/>
    <w:rsid w:val="004C26E1"/>
    <w:rsid w:val="004C40FF"/>
    <w:rsid w:val="004C4AF7"/>
    <w:rsid w:val="004D1BAB"/>
    <w:rsid w:val="004D34C3"/>
    <w:rsid w:val="004D4121"/>
    <w:rsid w:val="004D6AEA"/>
    <w:rsid w:val="004E492E"/>
    <w:rsid w:val="004E6B90"/>
    <w:rsid w:val="004F0915"/>
    <w:rsid w:val="004F0C62"/>
    <w:rsid w:val="004F3403"/>
    <w:rsid w:val="004F4CBA"/>
    <w:rsid w:val="004F4F3D"/>
    <w:rsid w:val="00500B64"/>
    <w:rsid w:val="00500FE2"/>
    <w:rsid w:val="005071A8"/>
    <w:rsid w:val="00507E5D"/>
    <w:rsid w:val="00514392"/>
    <w:rsid w:val="00515992"/>
    <w:rsid w:val="00521CF0"/>
    <w:rsid w:val="00522FA2"/>
    <w:rsid w:val="00525E3B"/>
    <w:rsid w:val="00527E23"/>
    <w:rsid w:val="00531C7B"/>
    <w:rsid w:val="00537831"/>
    <w:rsid w:val="005441E7"/>
    <w:rsid w:val="00553B05"/>
    <w:rsid w:val="005601D1"/>
    <w:rsid w:val="005652CF"/>
    <w:rsid w:val="0056566B"/>
    <w:rsid w:val="00575730"/>
    <w:rsid w:val="005761E9"/>
    <w:rsid w:val="005834E2"/>
    <w:rsid w:val="00584554"/>
    <w:rsid w:val="00587E95"/>
    <w:rsid w:val="00591884"/>
    <w:rsid w:val="005962E0"/>
    <w:rsid w:val="005963E4"/>
    <w:rsid w:val="005A3AD8"/>
    <w:rsid w:val="005A5FDC"/>
    <w:rsid w:val="005A7DAF"/>
    <w:rsid w:val="005B4D99"/>
    <w:rsid w:val="005C16AB"/>
    <w:rsid w:val="005C45B7"/>
    <w:rsid w:val="005D1176"/>
    <w:rsid w:val="005D342C"/>
    <w:rsid w:val="005D6E70"/>
    <w:rsid w:val="005E211E"/>
    <w:rsid w:val="005E31F2"/>
    <w:rsid w:val="005E3DB0"/>
    <w:rsid w:val="005E3E9C"/>
    <w:rsid w:val="006002BA"/>
    <w:rsid w:val="006011C6"/>
    <w:rsid w:val="00603ADA"/>
    <w:rsid w:val="00604B9A"/>
    <w:rsid w:val="00604C5D"/>
    <w:rsid w:val="006173A3"/>
    <w:rsid w:val="00621D63"/>
    <w:rsid w:val="006313E9"/>
    <w:rsid w:val="006318C5"/>
    <w:rsid w:val="00640475"/>
    <w:rsid w:val="006429B8"/>
    <w:rsid w:val="00647EAE"/>
    <w:rsid w:val="006552C4"/>
    <w:rsid w:val="00663739"/>
    <w:rsid w:val="00664F8A"/>
    <w:rsid w:val="00667FA1"/>
    <w:rsid w:val="00673DC2"/>
    <w:rsid w:val="006760F2"/>
    <w:rsid w:val="00680C39"/>
    <w:rsid w:val="0068640C"/>
    <w:rsid w:val="00690C17"/>
    <w:rsid w:val="00692694"/>
    <w:rsid w:val="00694302"/>
    <w:rsid w:val="006A19F7"/>
    <w:rsid w:val="006A3824"/>
    <w:rsid w:val="006A684F"/>
    <w:rsid w:val="006B1F41"/>
    <w:rsid w:val="006B5CB3"/>
    <w:rsid w:val="006C67FD"/>
    <w:rsid w:val="006D0DB2"/>
    <w:rsid w:val="006D5AEA"/>
    <w:rsid w:val="006D5EE3"/>
    <w:rsid w:val="006D681F"/>
    <w:rsid w:val="006D7323"/>
    <w:rsid w:val="006E4C69"/>
    <w:rsid w:val="006E4F02"/>
    <w:rsid w:val="006E7124"/>
    <w:rsid w:val="006E7285"/>
    <w:rsid w:val="006E7C82"/>
    <w:rsid w:val="006F42AC"/>
    <w:rsid w:val="006F6F01"/>
    <w:rsid w:val="00700EBA"/>
    <w:rsid w:val="00703B06"/>
    <w:rsid w:val="007119D6"/>
    <w:rsid w:val="0071528A"/>
    <w:rsid w:val="00716465"/>
    <w:rsid w:val="007164D5"/>
    <w:rsid w:val="00723090"/>
    <w:rsid w:val="00724936"/>
    <w:rsid w:val="007249E3"/>
    <w:rsid w:val="00727EA9"/>
    <w:rsid w:val="00730708"/>
    <w:rsid w:val="007345D6"/>
    <w:rsid w:val="007433FD"/>
    <w:rsid w:val="00745AB7"/>
    <w:rsid w:val="00751150"/>
    <w:rsid w:val="007531E2"/>
    <w:rsid w:val="00753983"/>
    <w:rsid w:val="00756676"/>
    <w:rsid w:val="00761E00"/>
    <w:rsid w:val="0077139C"/>
    <w:rsid w:val="00782458"/>
    <w:rsid w:val="0078279C"/>
    <w:rsid w:val="00785AF6"/>
    <w:rsid w:val="0078668D"/>
    <w:rsid w:val="007878EF"/>
    <w:rsid w:val="007931DA"/>
    <w:rsid w:val="0079364D"/>
    <w:rsid w:val="007A60AA"/>
    <w:rsid w:val="007B1A0C"/>
    <w:rsid w:val="007B3993"/>
    <w:rsid w:val="007C13D5"/>
    <w:rsid w:val="007C1FC2"/>
    <w:rsid w:val="007C6BE1"/>
    <w:rsid w:val="007D2585"/>
    <w:rsid w:val="007D31DC"/>
    <w:rsid w:val="007D5C31"/>
    <w:rsid w:val="007E009E"/>
    <w:rsid w:val="007E38EA"/>
    <w:rsid w:val="007E7D9E"/>
    <w:rsid w:val="007F3142"/>
    <w:rsid w:val="007F5C09"/>
    <w:rsid w:val="007F7763"/>
    <w:rsid w:val="008029AF"/>
    <w:rsid w:val="008064AA"/>
    <w:rsid w:val="008067A6"/>
    <w:rsid w:val="00810234"/>
    <w:rsid w:val="00817D8E"/>
    <w:rsid w:val="00817F90"/>
    <w:rsid w:val="008224ED"/>
    <w:rsid w:val="0082463A"/>
    <w:rsid w:val="008314D2"/>
    <w:rsid w:val="008404A4"/>
    <w:rsid w:val="00844427"/>
    <w:rsid w:val="008444B1"/>
    <w:rsid w:val="00844B4C"/>
    <w:rsid w:val="00845FFF"/>
    <w:rsid w:val="0085191B"/>
    <w:rsid w:val="00851E27"/>
    <w:rsid w:val="008533CA"/>
    <w:rsid w:val="008539D6"/>
    <w:rsid w:val="0085421B"/>
    <w:rsid w:val="00860049"/>
    <w:rsid w:val="008625B9"/>
    <w:rsid w:val="00872BBB"/>
    <w:rsid w:val="00872C49"/>
    <w:rsid w:val="00874B64"/>
    <w:rsid w:val="00886A25"/>
    <w:rsid w:val="008951DB"/>
    <w:rsid w:val="00896D7B"/>
    <w:rsid w:val="008A419C"/>
    <w:rsid w:val="008A6237"/>
    <w:rsid w:val="008A6FB5"/>
    <w:rsid w:val="008C0044"/>
    <w:rsid w:val="008C022E"/>
    <w:rsid w:val="008C3EC1"/>
    <w:rsid w:val="008C4017"/>
    <w:rsid w:val="008C6987"/>
    <w:rsid w:val="008D1223"/>
    <w:rsid w:val="008D5D10"/>
    <w:rsid w:val="008D6956"/>
    <w:rsid w:val="008D7594"/>
    <w:rsid w:val="008E3624"/>
    <w:rsid w:val="008E39CC"/>
    <w:rsid w:val="008E6378"/>
    <w:rsid w:val="008E70CA"/>
    <w:rsid w:val="008F02F5"/>
    <w:rsid w:val="008F1D63"/>
    <w:rsid w:val="008F4B5E"/>
    <w:rsid w:val="00900422"/>
    <w:rsid w:val="00907E75"/>
    <w:rsid w:val="00912A37"/>
    <w:rsid w:val="00923E1F"/>
    <w:rsid w:val="00930A02"/>
    <w:rsid w:val="009333CE"/>
    <w:rsid w:val="00934343"/>
    <w:rsid w:val="00940246"/>
    <w:rsid w:val="00940B4C"/>
    <w:rsid w:val="009443A7"/>
    <w:rsid w:val="00955200"/>
    <w:rsid w:val="00957FFC"/>
    <w:rsid w:val="009648CC"/>
    <w:rsid w:val="009658B4"/>
    <w:rsid w:val="009726FF"/>
    <w:rsid w:val="00975A7F"/>
    <w:rsid w:val="009763C1"/>
    <w:rsid w:val="00980869"/>
    <w:rsid w:val="00984E03"/>
    <w:rsid w:val="00984F50"/>
    <w:rsid w:val="009924E2"/>
    <w:rsid w:val="009940D5"/>
    <w:rsid w:val="0099470C"/>
    <w:rsid w:val="00997508"/>
    <w:rsid w:val="009975A8"/>
    <w:rsid w:val="009A1CB2"/>
    <w:rsid w:val="009A4EC5"/>
    <w:rsid w:val="009A79D9"/>
    <w:rsid w:val="009C18C7"/>
    <w:rsid w:val="009D058D"/>
    <w:rsid w:val="009E16B6"/>
    <w:rsid w:val="009E17CB"/>
    <w:rsid w:val="009E2D27"/>
    <w:rsid w:val="009E3D73"/>
    <w:rsid w:val="009E451E"/>
    <w:rsid w:val="009F086C"/>
    <w:rsid w:val="009F3EA8"/>
    <w:rsid w:val="009F50D2"/>
    <w:rsid w:val="00A006C9"/>
    <w:rsid w:val="00A00C86"/>
    <w:rsid w:val="00A03347"/>
    <w:rsid w:val="00A04E95"/>
    <w:rsid w:val="00A072B5"/>
    <w:rsid w:val="00A116C4"/>
    <w:rsid w:val="00A201F8"/>
    <w:rsid w:val="00A241F2"/>
    <w:rsid w:val="00A24E97"/>
    <w:rsid w:val="00A276F5"/>
    <w:rsid w:val="00A410AD"/>
    <w:rsid w:val="00A42D48"/>
    <w:rsid w:val="00A46D24"/>
    <w:rsid w:val="00A50281"/>
    <w:rsid w:val="00A510B1"/>
    <w:rsid w:val="00A56671"/>
    <w:rsid w:val="00A57118"/>
    <w:rsid w:val="00A576E9"/>
    <w:rsid w:val="00A60861"/>
    <w:rsid w:val="00A61C5C"/>
    <w:rsid w:val="00A62414"/>
    <w:rsid w:val="00A63C7A"/>
    <w:rsid w:val="00A7086C"/>
    <w:rsid w:val="00A726C0"/>
    <w:rsid w:val="00A73C31"/>
    <w:rsid w:val="00A7720C"/>
    <w:rsid w:val="00A92FA5"/>
    <w:rsid w:val="00A956DC"/>
    <w:rsid w:val="00A95F8A"/>
    <w:rsid w:val="00A96A29"/>
    <w:rsid w:val="00A96F93"/>
    <w:rsid w:val="00A970D0"/>
    <w:rsid w:val="00AA0064"/>
    <w:rsid w:val="00AA133B"/>
    <w:rsid w:val="00AA303E"/>
    <w:rsid w:val="00AA31FE"/>
    <w:rsid w:val="00AA64FC"/>
    <w:rsid w:val="00AA6DB8"/>
    <w:rsid w:val="00AB0213"/>
    <w:rsid w:val="00AB1E5A"/>
    <w:rsid w:val="00AB7999"/>
    <w:rsid w:val="00AC2477"/>
    <w:rsid w:val="00AC75F6"/>
    <w:rsid w:val="00AD03AD"/>
    <w:rsid w:val="00AD6D2C"/>
    <w:rsid w:val="00AE067E"/>
    <w:rsid w:val="00AE64AF"/>
    <w:rsid w:val="00AE72E9"/>
    <w:rsid w:val="00AF44F6"/>
    <w:rsid w:val="00B02FB4"/>
    <w:rsid w:val="00B050D4"/>
    <w:rsid w:val="00B06AD6"/>
    <w:rsid w:val="00B11939"/>
    <w:rsid w:val="00B14C98"/>
    <w:rsid w:val="00B228D7"/>
    <w:rsid w:val="00B27215"/>
    <w:rsid w:val="00B27785"/>
    <w:rsid w:val="00B30407"/>
    <w:rsid w:val="00B30D33"/>
    <w:rsid w:val="00B320BB"/>
    <w:rsid w:val="00B32942"/>
    <w:rsid w:val="00B349E1"/>
    <w:rsid w:val="00B355AB"/>
    <w:rsid w:val="00B35CD2"/>
    <w:rsid w:val="00B35E66"/>
    <w:rsid w:val="00B36AF9"/>
    <w:rsid w:val="00B40936"/>
    <w:rsid w:val="00B42A3A"/>
    <w:rsid w:val="00B43A43"/>
    <w:rsid w:val="00B4400A"/>
    <w:rsid w:val="00B47021"/>
    <w:rsid w:val="00B47180"/>
    <w:rsid w:val="00B5417E"/>
    <w:rsid w:val="00B54773"/>
    <w:rsid w:val="00B56AB1"/>
    <w:rsid w:val="00B63172"/>
    <w:rsid w:val="00B640E0"/>
    <w:rsid w:val="00B6766F"/>
    <w:rsid w:val="00B7226D"/>
    <w:rsid w:val="00B7442B"/>
    <w:rsid w:val="00B7661E"/>
    <w:rsid w:val="00B902CB"/>
    <w:rsid w:val="00B91114"/>
    <w:rsid w:val="00B926FE"/>
    <w:rsid w:val="00B92F8E"/>
    <w:rsid w:val="00B93214"/>
    <w:rsid w:val="00BA4C75"/>
    <w:rsid w:val="00BA50B6"/>
    <w:rsid w:val="00BB0272"/>
    <w:rsid w:val="00BC13FE"/>
    <w:rsid w:val="00BC2B91"/>
    <w:rsid w:val="00BC2DB4"/>
    <w:rsid w:val="00BC32D1"/>
    <w:rsid w:val="00BC4A88"/>
    <w:rsid w:val="00BD08FF"/>
    <w:rsid w:val="00BD38C4"/>
    <w:rsid w:val="00BD5F16"/>
    <w:rsid w:val="00BD60E7"/>
    <w:rsid w:val="00BE2A4B"/>
    <w:rsid w:val="00BE32E2"/>
    <w:rsid w:val="00BF2144"/>
    <w:rsid w:val="00BF2312"/>
    <w:rsid w:val="00BF3825"/>
    <w:rsid w:val="00BF3B94"/>
    <w:rsid w:val="00BF5584"/>
    <w:rsid w:val="00BF74C3"/>
    <w:rsid w:val="00C04BDB"/>
    <w:rsid w:val="00C06B4D"/>
    <w:rsid w:val="00C13C66"/>
    <w:rsid w:val="00C23199"/>
    <w:rsid w:val="00C23BBA"/>
    <w:rsid w:val="00C24C46"/>
    <w:rsid w:val="00C262F7"/>
    <w:rsid w:val="00C31C0F"/>
    <w:rsid w:val="00C34B92"/>
    <w:rsid w:val="00C42C57"/>
    <w:rsid w:val="00C42CA0"/>
    <w:rsid w:val="00C43EE4"/>
    <w:rsid w:val="00C44328"/>
    <w:rsid w:val="00C44EF2"/>
    <w:rsid w:val="00C47730"/>
    <w:rsid w:val="00C513FC"/>
    <w:rsid w:val="00C53F09"/>
    <w:rsid w:val="00C67615"/>
    <w:rsid w:val="00C83C12"/>
    <w:rsid w:val="00C86EED"/>
    <w:rsid w:val="00C9634E"/>
    <w:rsid w:val="00C97925"/>
    <w:rsid w:val="00CA0438"/>
    <w:rsid w:val="00CB194E"/>
    <w:rsid w:val="00CC02AB"/>
    <w:rsid w:val="00CC7C77"/>
    <w:rsid w:val="00CD0BF3"/>
    <w:rsid w:val="00CD1DE7"/>
    <w:rsid w:val="00CD3D07"/>
    <w:rsid w:val="00CE2ADE"/>
    <w:rsid w:val="00CF5E8D"/>
    <w:rsid w:val="00CF7182"/>
    <w:rsid w:val="00CF75EC"/>
    <w:rsid w:val="00D05C35"/>
    <w:rsid w:val="00D108B4"/>
    <w:rsid w:val="00D12832"/>
    <w:rsid w:val="00D13E5E"/>
    <w:rsid w:val="00D1497F"/>
    <w:rsid w:val="00D20B20"/>
    <w:rsid w:val="00D24851"/>
    <w:rsid w:val="00D30540"/>
    <w:rsid w:val="00D36AC3"/>
    <w:rsid w:val="00D4566C"/>
    <w:rsid w:val="00D45EB7"/>
    <w:rsid w:val="00D468D3"/>
    <w:rsid w:val="00D47369"/>
    <w:rsid w:val="00D51C70"/>
    <w:rsid w:val="00D64198"/>
    <w:rsid w:val="00D71678"/>
    <w:rsid w:val="00D7176C"/>
    <w:rsid w:val="00D745B8"/>
    <w:rsid w:val="00D75184"/>
    <w:rsid w:val="00D758D7"/>
    <w:rsid w:val="00D77C40"/>
    <w:rsid w:val="00D80708"/>
    <w:rsid w:val="00D80B01"/>
    <w:rsid w:val="00D8698E"/>
    <w:rsid w:val="00D8718E"/>
    <w:rsid w:val="00D96A59"/>
    <w:rsid w:val="00DA2A2A"/>
    <w:rsid w:val="00DA3376"/>
    <w:rsid w:val="00DB45A4"/>
    <w:rsid w:val="00DC70C5"/>
    <w:rsid w:val="00DC7A7F"/>
    <w:rsid w:val="00DD113F"/>
    <w:rsid w:val="00DD1D24"/>
    <w:rsid w:val="00DD2317"/>
    <w:rsid w:val="00DD394D"/>
    <w:rsid w:val="00DD4412"/>
    <w:rsid w:val="00DD60FC"/>
    <w:rsid w:val="00DE134F"/>
    <w:rsid w:val="00DE698E"/>
    <w:rsid w:val="00DE7B6F"/>
    <w:rsid w:val="00DF0F89"/>
    <w:rsid w:val="00DF3A92"/>
    <w:rsid w:val="00DF50F8"/>
    <w:rsid w:val="00DF6FF6"/>
    <w:rsid w:val="00E01303"/>
    <w:rsid w:val="00E0145F"/>
    <w:rsid w:val="00E10E5B"/>
    <w:rsid w:val="00E1381A"/>
    <w:rsid w:val="00E172C2"/>
    <w:rsid w:val="00E26443"/>
    <w:rsid w:val="00E33AB8"/>
    <w:rsid w:val="00E342D5"/>
    <w:rsid w:val="00E371F0"/>
    <w:rsid w:val="00E415D1"/>
    <w:rsid w:val="00E43F03"/>
    <w:rsid w:val="00E44C56"/>
    <w:rsid w:val="00E46FB0"/>
    <w:rsid w:val="00E47362"/>
    <w:rsid w:val="00E47C25"/>
    <w:rsid w:val="00E47DE6"/>
    <w:rsid w:val="00E518D7"/>
    <w:rsid w:val="00E51A4A"/>
    <w:rsid w:val="00E60C4C"/>
    <w:rsid w:val="00E643BF"/>
    <w:rsid w:val="00E713CA"/>
    <w:rsid w:val="00E86DE5"/>
    <w:rsid w:val="00E9447A"/>
    <w:rsid w:val="00E94BBF"/>
    <w:rsid w:val="00E94DAF"/>
    <w:rsid w:val="00E951CD"/>
    <w:rsid w:val="00EA3803"/>
    <w:rsid w:val="00EB0F60"/>
    <w:rsid w:val="00EB4389"/>
    <w:rsid w:val="00EB51DA"/>
    <w:rsid w:val="00EC2117"/>
    <w:rsid w:val="00ED6348"/>
    <w:rsid w:val="00ED6C6E"/>
    <w:rsid w:val="00ED7166"/>
    <w:rsid w:val="00EF53DF"/>
    <w:rsid w:val="00F02CC6"/>
    <w:rsid w:val="00F03C63"/>
    <w:rsid w:val="00F03D2B"/>
    <w:rsid w:val="00F0555C"/>
    <w:rsid w:val="00F067B9"/>
    <w:rsid w:val="00F114BF"/>
    <w:rsid w:val="00F13523"/>
    <w:rsid w:val="00F144CD"/>
    <w:rsid w:val="00F1458D"/>
    <w:rsid w:val="00F16B5E"/>
    <w:rsid w:val="00F17980"/>
    <w:rsid w:val="00F22A8E"/>
    <w:rsid w:val="00F334E9"/>
    <w:rsid w:val="00F33728"/>
    <w:rsid w:val="00F373A1"/>
    <w:rsid w:val="00F379E2"/>
    <w:rsid w:val="00F40C12"/>
    <w:rsid w:val="00F42131"/>
    <w:rsid w:val="00F51855"/>
    <w:rsid w:val="00F542A7"/>
    <w:rsid w:val="00F5627F"/>
    <w:rsid w:val="00F577D5"/>
    <w:rsid w:val="00F603A1"/>
    <w:rsid w:val="00F61CCA"/>
    <w:rsid w:val="00F640D2"/>
    <w:rsid w:val="00F7044E"/>
    <w:rsid w:val="00F70E11"/>
    <w:rsid w:val="00F748EF"/>
    <w:rsid w:val="00F74BEC"/>
    <w:rsid w:val="00F7625E"/>
    <w:rsid w:val="00F80866"/>
    <w:rsid w:val="00F82E3B"/>
    <w:rsid w:val="00F91335"/>
    <w:rsid w:val="00FA0B4D"/>
    <w:rsid w:val="00FA5646"/>
    <w:rsid w:val="00FB6586"/>
    <w:rsid w:val="00FB7B8C"/>
    <w:rsid w:val="00FC16E3"/>
    <w:rsid w:val="00FC5F43"/>
    <w:rsid w:val="00FC5FDC"/>
    <w:rsid w:val="00FC61C3"/>
    <w:rsid w:val="00FD0751"/>
    <w:rsid w:val="00FE2FFF"/>
    <w:rsid w:val="00FF36CF"/>
    <w:rsid w:val="00FF3F0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59CB"/>
  <w15:chartTrackingRefBased/>
  <w15:docId w15:val="{8AB02B36-81C9-4B69-BE4F-7B71685AD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1A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D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A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6F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6F01"/>
  </w:style>
  <w:style w:type="paragraph" w:styleId="Footer">
    <w:name w:val="footer"/>
    <w:basedOn w:val="Normal"/>
    <w:link w:val="FooterChar"/>
    <w:uiPriority w:val="99"/>
    <w:unhideWhenUsed/>
    <w:rsid w:val="006F6F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6F01"/>
  </w:style>
  <w:style w:type="paragraph" w:styleId="Title">
    <w:name w:val="Title"/>
    <w:basedOn w:val="Normal"/>
    <w:next w:val="Normal"/>
    <w:link w:val="TitleChar"/>
    <w:uiPriority w:val="10"/>
    <w:qFormat/>
    <w:rsid w:val="006F6F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6F01"/>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F6F01"/>
    <w:rPr>
      <w:color w:val="0563C1" w:themeColor="hyperlink"/>
      <w:u w:val="single"/>
    </w:rPr>
  </w:style>
  <w:style w:type="character" w:styleId="UnresolvedMention">
    <w:name w:val="Unresolved Mention"/>
    <w:basedOn w:val="DefaultParagraphFont"/>
    <w:uiPriority w:val="99"/>
    <w:semiHidden/>
    <w:unhideWhenUsed/>
    <w:rsid w:val="006F6F01"/>
    <w:rPr>
      <w:color w:val="808080"/>
      <w:shd w:val="clear" w:color="auto" w:fill="E6E6E6"/>
    </w:rPr>
  </w:style>
  <w:style w:type="paragraph" w:styleId="NoSpacing">
    <w:name w:val="No Spacing"/>
    <w:link w:val="NoSpacingChar"/>
    <w:uiPriority w:val="1"/>
    <w:qFormat/>
    <w:rsid w:val="00451A5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51A57"/>
    <w:rPr>
      <w:rFonts w:eastAsiaTheme="minorEastAsia"/>
      <w:lang w:val="en-US"/>
    </w:rPr>
  </w:style>
  <w:style w:type="character" w:customStyle="1" w:styleId="Heading1Char">
    <w:name w:val="Heading 1 Char"/>
    <w:basedOn w:val="DefaultParagraphFont"/>
    <w:link w:val="Heading1"/>
    <w:uiPriority w:val="9"/>
    <w:rsid w:val="00451A5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51A57"/>
    <w:pPr>
      <w:outlineLvl w:val="9"/>
    </w:pPr>
    <w:rPr>
      <w:lang w:val="en-US"/>
    </w:rPr>
  </w:style>
  <w:style w:type="character" w:styleId="PlaceholderText">
    <w:name w:val="Placeholder Text"/>
    <w:basedOn w:val="DefaultParagraphFont"/>
    <w:uiPriority w:val="99"/>
    <w:semiHidden/>
    <w:rsid w:val="003F7CF2"/>
    <w:rPr>
      <w:color w:val="808080"/>
    </w:rPr>
  </w:style>
  <w:style w:type="paragraph" w:styleId="TOC1">
    <w:name w:val="toc 1"/>
    <w:basedOn w:val="Normal"/>
    <w:next w:val="Normal"/>
    <w:autoRedefine/>
    <w:uiPriority w:val="39"/>
    <w:unhideWhenUsed/>
    <w:rsid w:val="008C4017"/>
    <w:pPr>
      <w:spacing w:after="100"/>
    </w:pPr>
  </w:style>
  <w:style w:type="paragraph" w:styleId="Bibliography">
    <w:name w:val="Bibliography"/>
    <w:basedOn w:val="Normal"/>
    <w:next w:val="Normal"/>
    <w:uiPriority w:val="37"/>
    <w:unhideWhenUsed/>
    <w:rsid w:val="00E518D7"/>
  </w:style>
  <w:style w:type="character" w:customStyle="1" w:styleId="Heading2Char">
    <w:name w:val="Heading 2 Char"/>
    <w:basedOn w:val="DefaultParagraphFont"/>
    <w:link w:val="Heading2"/>
    <w:uiPriority w:val="9"/>
    <w:rsid w:val="00B30D3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680C39"/>
    <w:pPr>
      <w:spacing w:after="100"/>
      <w:ind w:left="220"/>
    </w:pPr>
  </w:style>
  <w:style w:type="paragraph" w:styleId="Caption">
    <w:name w:val="caption"/>
    <w:basedOn w:val="Normal"/>
    <w:next w:val="Normal"/>
    <w:uiPriority w:val="35"/>
    <w:unhideWhenUsed/>
    <w:qFormat/>
    <w:rsid w:val="005652CF"/>
    <w:pPr>
      <w:spacing w:after="200" w:line="240" w:lineRule="auto"/>
    </w:pPr>
    <w:rPr>
      <w:i/>
      <w:iCs/>
      <w:color w:val="44546A" w:themeColor="text2"/>
      <w:sz w:val="18"/>
      <w:szCs w:val="18"/>
    </w:rPr>
  </w:style>
  <w:style w:type="table" w:styleId="TableGrid">
    <w:name w:val="Table Grid"/>
    <w:basedOn w:val="TableNormal"/>
    <w:uiPriority w:val="39"/>
    <w:rsid w:val="00694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i">
    <w:name w:val="mi"/>
    <w:basedOn w:val="DefaultParagraphFont"/>
    <w:rsid w:val="00C513FC"/>
  </w:style>
  <w:style w:type="character" w:customStyle="1" w:styleId="mo">
    <w:name w:val="mo"/>
    <w:basedOn w:val="DefaultParagraphFont"/>
    <w:rsid w:val="00C513FC"/>
  </w:style>
  <w:style w:type="character" w:customStyle="1" w:styleId="mjxassistivemathml">
    <w:name w:val="mjx_assistive_mathml"/>
    <w:basedOn w:val="DefaultParagraphFont"/>
    <w:rsid w:val="00C513FC"/>
  </w:style>
  <w:style w:type="character" w:customStyle="1" w:styleId="mn">
    <w:name w:val="mn"/>
    <w:basedOn w:val="DefaultParagraphFont"/>
    <w:rsid w:val="00C513FC"/>
  </w:style>
  <w:style w:type="paragraph" w:styleId="EndnoteText">
    <w:name w:val="endnote text"/>
    <w:basedOn w:val="Normal"/>
    <w:link w:val="EndnoteTextChar"/>
    <w:uiPriority w:val="99"/>
    <w:semiHidden/>
    <w:unhideWhenUsed/>
    <w:rsid w:val="00C513F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513FC"/>
    <w:rPr>
      <w:sz w:val="20"/>
      <w:szCs w:val="20"/>
    </w:rPr>
  </w:style>
  <w:style w:type="character" w:styleId="EndnoteReference">
    <w:name w:val="endnote reference"/>
    <w:basedOn w:val="DefaultParagraphFont"/>
    <w:uiPriority w:val="99"/>
    <w:semiHidden/>
    <w:unhideWhenUsed/>
    <w:rsid w:val="00C513FC"/>
    <w:rPr>
      <w:vertAlign w:val="superscript"/>
    </w:rPr>
  </w:style>
  <w:style w:type="character" w:styleId="CommentReference">
    <w:name w:val="annotation reference"/>
    <w:basedOn w:val="DefaultParagraphFont"/>
    <w:uiPriority w:val="99"/>
    <w:semiHidden/>
    <w:unhideWhenUsed/>
    <w:rsid w:val="006B1F41"/>
    <w:rPr>
      <w:sz w:val="16"/>
      <w:szCs w:val="16"/>
    </w:rPr>
  </w:style>
  <w:style w:type="paragraph" w:styleId="CommentText">
    <w:name w:val="annotation text"/>
    <w:basedOn w:val="Normal"/>
    <w:link w:val="CommentTextChar"/>
    <w:uiPriority w:val="99"/>
    <w:semiHidden/>
    <w:unhideWhenUsed/>
    <w:rsid w:val="006B1F41"/>
    <w:pPr>
      <w:spacing w:line="240" w:lineRule="auto"/>
    </w:pPr>
    <w:rPr>
      <w:sz w:val="20"/>
      <w:szCs w:val="20"/>
    </w:rPr>
  </w:style>
  <w:style w:type="character" w:customStyle="1" w:styleId="CommentTextChar">
    <w:name w:val="Comment Text Char"/>
    <w:basedOn w:val="DefaultParagraphFont"/>
    <w:link w:val="CommentText"/>
    <w:uiPriority w:val="99"/>
    <w:semiHidden/>
    <w:rsid w:val="006B1F41"/>
    <w:rPr>
      <w:sz w:val="20"/>
      <w:szCs w:val="20"/>
    </w:rPr>
  </w:style>
  <w:style w:type="paragraph" w:styleId="CommentSubject">
    <w:name w:val="annotation subject"/>
    <w:basedOn w:val="CommentText"/>
    <w:next w:val="CommentText"/>
    <w:link w:val="CommentSubjectChar"/>
    <w:uiPriority w:val="99"/>
    <w:semiHidden/>
    <w:unhideWhenUsed/>
    <w:rsid w:val="006B1F41"/>
    <w:rPr>
      <w:b/>
      <w:bCs/>
    </w:rPr>
  </w:style>
  <w:style w:type="character" w:customStyle="1" w:styleId="CommentSubjectChar">
    <w:name w:val="Comment Subject Char"/>
    <w:basedOn w:val="CommentTextChar"/>
    <w:link w:val="CommentSubject"/>
    <w:uiPriority w:val="99"/>
    <w:semiHidden/>
    <w:rsid w:val="006B1F41"/>
    <w:rPr>
      <w:b/>
      <w:bCs/>
      <w:sz w:val="20"/>
      <w:szCs w:val="20"/>
    </w:rPr>
  </w:style>
  <w:style w:type="paragraph" w:styleId="BalloonText">
    <w:name w:val="Balloon Text"/>
    <w:basedOn w:val="Normal"/>
    <w:link w:val="BalloonTextChar"/>
    <w:uiPriority w:val="99"/>
    <w:semiHidden/>
    <w:unhideWhenUsed/>
    <w:rsid w:val="006B1F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1F41"/>
    <w:rPr>
      <w:rFonts w:ascii="Segoe UI" w:hAnsi="Segoe UI" w:cs="Segoe UI"/>
      <w:sz w:val="18"/>
      <w:szCs w:val="18"/>
    </w:rPr>
  </w:style>
  <w:style w:type="character" w:customStyle="1" w:styleId="Heading3Char">
    <w:name w:val="Heading 3 Char"/>
    <w:basedOn w:val="DefaultParagraphFont"/>
    <w:link w:val="Heading3"/>
    <w:uiPriority w:val="9"/>
    <w:rsid w:val="00930A0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926FE"/>
    <w:pPr>
      <w:spacing w:after="100"/>
      <w:ind w:left="440"/>
    </w:pPr>
  </w:style>
  <w:style w:type="paragraph" w:styleId="ListParagraph">
    <w:name w:val="List Paragraph"/>
    <w:basedOn w:val="Normal"/>
    <w:uiPriority w:val="34"/>
    <w:qFormat/>
    <w:rsid w:val="001E68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359802">
      <w:bodyDiv w:val="1"/>
      <w:marLeft w:val="0"/>
      <w:marRight w:val="0"/>
      <w:marTop w:val="0"/>
      <w:marBottom w:val="0"/>
      <w:divBdr>
        <w:top w:val="none" w:sz="0" w:space="0" w:color="auto"/>
        <w:left w:val="none" w:sz="0" w:space="0" w:color="auto"/>
        <w:bottom w:val="none" w:sz="0" w:space="0" w:color="auto"/>
        <w:right w:val="none" w:sz="0" w:space="0" w:color="auto"/>
      </w:divBdr>
    </w:div>
    <w:div w:id="133832667">
      <w:bodyDiv w:val="1"/>
      <w:marLeft w:val="0"/>
      <w:marRight w:val="0"/>
      <w:marTop w:val="0"/>
      <w:marBottom w:val="0"/>
      <w:divBdr>
        <w:top w:val="none" w:sz="0" w:space="0" w:color="auto"/>
        <w:left w:val="none" w:sz="0" w:space="0" w:color="auto"/>
        <w:bottom w:val="none" w:sz="0" w:space="0" w:color="auto"/>
        <w:right w:val="none" w:sz="0" w:space="0" w:color="auto"/>
      </w:divBdr>
    </w:div>
    <w:div w:id="155608909">
      <w:bodyDiv w:val="1"/>
      <w:marLeft w:val="0"/>
      <w:marRight w:val="0"/>
      <w:marTop w:val="0"/>
      <w:marBottom w:val="0"/>
      <w:divBdr>
        <w:top w:val="none" w:sz="0" w:space="0" w:color="auto"/>
        <w:left w:val="none" w:sz="0" w:space="0" w:color="auto"/>
        <w:bottom w:val="none" w:sz="0" w:space="0" w:color="auto"/>
        <w:right w:val="none" w:sz="0" w:space="0" w:color="auto"/>
      </w:divBdr>
    </w:div>
    <w:div w:id="166747454">
      <w:bodyDiv w:val="1"/>
      <w:marLeft w:val="0"/>
      <w:marRight w:val="0"/>
      <w:marTop w:val="0"/>
      <w:marBottom w:val="0"/>
      <w:divBdr>
        <w:top w:val="none" w:sz="0" w:space="0" w:color="auto"/>
        <w:left w:val="none" w:sz="0" w:space="0" w:color="auto"/>
        <w:bottom w:val="none" w:sz="0" w:space="0" w:color="auto"/>
        <w:right w:val="none" w:sz="0" w:space="0" w:color="auto"/>
      </w:divBdr>
    </w:div>
    <w:div w:id="186062668">
      <w:bodyDiv w:val="1"/>
      <w:marLeft w:val="0"/>
      <w:marRight w:val="0"/>
      <w:marTop w:val="0"/>
      <w:marBottom w:val="0"/>
      <w:divBdr>
        <w:top w:val="none" w:sz="0" w:space="0" w:color="auto"/>
        <w:left w:val="none" w:sz="0" w:space="0" w:color="auto"/>
        <w:bottom w:val="none" w:sz="0" w:space="0" w:color="auto"/>
        <w:right w:val="none" w:sz="0" w:space="0" w:color="auto"/>
      </w:divBdr>
    </w:div>
    <w:div w:id="213125965">
      <w:bodyDiv w:val="1"/>
      <w:marLeft w:val="0"/>
      <w:marRight w:val="0"/>
      <w:marTop w:val="0"/>
      <w:marBottom w:val="0"/>
      <w:divBdr>
        <w:top w:val="none" w:sz="0" w:space="0" w:color="auto"/>
        <w:left w:val="none" w:sz="0" w:space="0" w:color="auto"/>
        <w:bottom w:val="none" w:sz="0" w:space="0" w:color="auto"/>
        <w:right w:val="none" w:sz="0" w:space="0" w:color="auto"/>
      </w:divBdr>
    </w:div>
    <w:div w:id="251668790">
      <w:bodyDiv w:val="1"/>
      <w:marLeft w:val="0"/>
      <w:marRight w:val="0"/>
      <w:marTop w:val="0"/>
      <w:marBottom w:val="0"/>
      <w:divBdr>
        <w:top w:val="none" w:sz="0" w:space="0" w:color="auto"/>
        <w:left w:val="none" w:sz="0" w:space="0" w:color="auto"/>
        <w:bottom w:val="none" w:sz="0" w:space="0" w:color="auto"/>
        <w:right w:val="none" w:sz="0" w:space="0" w:color="auto"/>
      </w:divBdr>
    </w:div>
    <w:div w:id="303434574">
      <w:bodyDiv w:val="1"/>
      <w:marLeft w:val="0"/>
      <w:marRight w:val="0"/>
      <w:marTop w:val="0"/>
      <w:marBottom w:val="0"/>
      <w:divBdr>
        <w:top w:val="none" w:sz="0" w:space="0" w:color="auto"/>
        <w:left w:val="none" w:sz="0" w:space="0" w:color="auto"/>
        <w:bottom w:val="none" w:sz="0" w:space="0" w:color="auto"/>
        <w:right w:val="none" w:sz="0" w:space="0" w:color="auto"/>
      </w:divBdr>
    </w:div>
    <w:div w:id="316611158">
      <w:bodyDiv w:val="1"/>
      <w:marLeft w:val="0"/>
      <w:marRight w:val="0"/>
      <w:marTop w:val="0"/>
      <w:marBottom w:val="0"/>
      <w:divBdr>
        <w:top w:val="none" w:sz="0" w:space="0" w:color="auto"/>
        <w:left w:val="none" w:sz="0" w:space="0" w:color="auto"/>
        <w:bottom w:val="none" w:sz="0" w:space="0" w:color="auto"/>
        <w:right w:val="none" w:sz="0" w:space="0" w:color="auto"/>
      </w:divBdr>
    </w:div>
    <w:div w:id="585771940">
      <w:bodyDiv w:val="1"/>
      <w:marLeft w:val="0"/>
      <w:marRight w:val="0"/>
      <w:marTop w:val="0"/>
      <w:marBottom w:val="0"/>
      <w:divBdr>
        <w:top w:val="none" w:sz="0" w:space="0" w:color="auto"/>
        <w:left w:val="none" w:sz="0" w:space="0" w:color="auto"/>
        <w:bottom w:val="none" w:sz="0" w:space="0" w:color="auto"/>
        <w:right w:val="none" w:sz="0" w:space="0" w:color="auto"/>
      </w:divBdr>
    </w:div>
    <w:div w:id="690060915">
      <w:bodyDiv w:val="1"/>
      <w:marLeft w:val="0"/>
      <w:marRight w:val="0"/>
      <w:marTop w:val="0"/>
      <w:marBottom w:val="0"/>
      <w:divBdr>
        <w:top w:val="none" w:sz="0" w:space="0" w:color="auto"/>
        <w:left w:val="none" w:sz="0" w:space="0" w:color="auto"/>
        <w:bottom w:val="none" w:sz="0" w:space="0" w:color="auto"/>
        <w:right w:val="none" w:sz="0" w:space="0" w:color="auto"/>
      </w:divBdr>
    </w:div>
    <w:div w:id="718169564">
      <w:bodyDiv w:val="1"/>
      <w:marLeft w:val="0"/>
      <w:marRight w:val="0"/>
      <w:marTop w:val="0"/>
      <w:marBottom w:val="0"/>
      <w:divBdr>
        <w:top w:val="none" w:sz="0" w:space="0" w:color="auto"/>
        <w:left w:val="none" w:sz="0" w:space="0" w:color="auto"/>
        <w:bottom w:val="none" w:sz="0" w:space="0" w:color="auto"/>
        <w:right w:val="none" w:sz="0" w:space="0" w:color="auto"/>
      </w:divBdr>
    </w:div>
    <w:div w:id="739594473">
      <w:bodyDiv w:val="1"/>
      <w:marLeft w:val="0"/>
      <w:marRight w:val="0"/>
      <w:marTop w:val="0"/>
      <w:marBottom w:val="0"/>
      <w:divBdr>
        <w:top w:val="none" w:sz="0" w:space="0" w:color="auto"/>
        <w:left w:val="none" w:sz="0" w:space="0" w:color="auto"/>
        <w:bottom w:val="none" w:sz="0" w:space="0" w:color="auto"/>
        <w:right w:val="none" w:sz="0" w:space="0" w:color="auto"/>
      </w:divBdr>
    </w:div>
    <w:div w:id="772439436">
      <w:bodyDiv w:val="1"/>
      <w:marLeft w:val="0"/>
      <w:marRight w:val="0"/>
      <w:marTop w:val="0"/>
      <w:marBottom w:val="0"/>
      <w:divBdr>
        <w:top w:val="none" w:sz="0" w:space="0" w:color="auto"/>
        <w:left w:val="none" w:sz="0" w:space="0" w:color="auto"/>
        <w:bottom w:val="none" w:sz="0" w:space="0" w:color="auto"/>
        <w:right w:val="none" w:sz="0" w:space="0" w:color="auto"/>
      </w:divBdr>
    </w:div>
    <w:div w:id="808281047">
      <w:bodyDiv w:val="1"/>
      <w:marLeft w:val="0"/>
      <w:marRight w:val="0"/>
      <w:marTop w:val="0"/>
      <w:marBottom w:val="0"/>
      <w:divBdr>
        <w:top w:val="none" w:sz="0" w:space="0" w:color="auto"/>
        <w:left w:val="none" w:sz="0" w:space="0" w:color="auto"/>
        <w:bottom w:val="none" w:sz="0" w:space="0" w:color="auto"/>
        <w:right w:val="none" w:sz="0" w:space="0" w:color="auto"/>
      </w:divBdr>
    </w:div>
    <w:div w:id="820199588">
      <w:bodyDiv w:val="1"/>
      <w:marLeft w:val="0"/>
      <w:marRight w:val="0"/>
      <w:marTop w:val="0"/>
      <w:marBottom w:val="0"/>
      <w:divBdr>
        <w:top w:val="none" w:sz="0" w:space="0" w:color="auto"/>
        <w:left w:val="none" w:sz="0" w:space="0" w:color="auto"/>
        <w:bottom w:val="none" w:sz="0" w:space="0" w:color="auto"/>
        <w:right w:val="none" w:sz="0" w:space="0" w:color="auto"/>
      </w:divBdr>
    </w:div>
    <w:div w:id="856891501">
      <w:bodyDiv w:val="1"/>
      <w:marLeft w:val="0"/>
      <w:marRight w:val="0"/>
      <w:marTop w:val="0"/>
      <w:marBottom w:val="0"/>
      <w:divBdr>
        <w:top w:val="none" w:sz="0" w:space="0" w:color="auto"/>
        <w:left w:val="none" w:sz="0" w:space="0" w:color="auto"/>
        <w:bottom w:val="none" w:sz="0" w:space="0" w:color="auto"/>
        <w:right w:val="none" w:sz="0" w:space="0" w:color="auto"/>
      </w:divBdr>
    </w:div>
    <w:div w:id="874393709">
      <w:bodyDiv w:val="1"/>
      <w:marLeft w:val="0"/>
      <w:marRight w:val="0"/>
      <w:marTop w:val="0"/>
      <w:marBottom w:val="0"/>
      <w:divBdr>
        <w:top w:val="none" w:sz="0" w:space="0" w:color="auto"/>
        <w:left w:val="none" w:sz="0" w:space="0" w:color="auto"/>
        <w:bottom w:val="none" w:sz="0" w:space="0" w:color="auto"/>
        <w:right w:val="none" w:sz="0" w:space="0" w:color="auto"/>
      </w:divBdr>
    </w:div>
    <w:div w:id="888297721">
      <w:bodyDiv w:val="1"/>
      <w:marLeft w:val="0"/>
      <w:marRight w:val="0"/>
      <w:marTop w:val="0"/>
      <w:marBottom w:val="0"/>
      <w:divBdr>
        <w:top w:val="none" w:sz="0" w:space="0" w:color="auto"/>
        <w:left w:val="none" w:sz="0" w:space="0" w:color="auto"/>
        <w:bottom w:val="none" w:sz="0" w:space="0" w:color="auto"/>
        <w:right w:val="none" w:sz="0" w:space="0" w:color="auto"/>
      </w:divBdr>
    </w:div>
    <w:div w:id="894120499">
      <w:bodyDiv w:val="1"/>
      <w:marLeft w:val="0"/>
      <w:marRight w:val="0"/>
      <w:marTop w:val="0"/>
      <w:marBottom w:val="0"/>
      <w:divBdr>
        <w:top w:val="none" w:sz="0" w:space="0" w:color="auto"/>
        <w:left w:val="none" w:sz="0" w:space="0" w:color="auto"/>
        <w:bottom w:val="none" w:sz="0" w:space="0" w:color="auto"/>
        <w:right w:val="none" w:sz="0" w:space="0" w:color="auto"/>
      </w:divBdr>
    </w:div>
    <w:div w:id="1020744720">
      <w:bodyDiv w:val="1"/>
      <w:marLeft w:val="0"/>
      <w:marRight w:val="0"/>
      <w:marTop w:val="0"/>
      <w:marBottom w:val="0"/>
      <w:divBdr>
        <w:top w:val="none" w:sz="0" w:space="0" w:color="auto"/>
        <w:left w:val="none" w:sz="0" w:space="0" w:color="auto"/>
        <w:bottom w:val="none" w:sz="0" w:space="0" w:color="auto"/>
        <w:right w:val="none" w:sz="0" w:space="0" w:color="auto"/>
      </w:divBdr>
    </w:div>
    <w:div w:id="1059786720">
      <w:bodyDiv w:val="1"/>
      <w:marLeft w:val="0"/>
      <w:marRight w:val="0"/>
      <w:marTop w:val="0"/>
      <w:marBottom w:val="0"/>
      <w:divBdr>
        <w:top w:val="none" w:sz="0" w:space="0" w:color="auto"/>
        <w:left w:val="none" w:sz="0" w:space="0" w:color="auto"/>
        <w:bottom w:val="none" w:sz="0" w:space="0" w:color="auto"/>
        <w:right w:val="none" w:sz="0" w:space="0" w:color="auto"/>
      </w:divBdr>
    </w:div>
    <w:div w:id="1110124870">
      <w:bodyDiv w:val="1"/>
      <w:marLeft w:val="0"/>
      <w:marRight w:val="0"/>
      <w:marTop w:val="0"/>
      <w:marBottom w:val="0"/>
      <w:divBdr>
        <w:top w:val="none" w:sz="0" w:space="0" w:color="auto"/>
        <w:left w:val="none" w:sz="0" w:space="0" w:color="auto"/>
        <w:bottom w:val="none" w:sz="0" w:space="0" w:color="auto"/>
        <w:right w:val="none" w:sz="0" w:space="0" w:color="auto"/>
      </w:divBdr>
    </w:div>
    <w:div w:id="1120419397">
      <w:bodyDiv w:val="1"/>
      <w:marLeft w:val="0"/>
      <w:marRight w:val="0"/>
      <w:marTop w:val="0"/>
      <w:marBottom w:val="0"/>
      <w:divBdr>
        <w:top w:val="none" w:sz="0" w:space="0" w:color="auto"/>
        <w:left w:val="none" w:sz="0" w:space="0" w:color="auto"/>
        <w:bottom w:val="none" w:sz="0" w:space="0" w:color="auto"/>
        <w:right w:val="none" w:sz="0" w:space="0" w:color="auto"/>
      </w:divBdr>
    </w:div>
    <w:div w:id="1338922261">
      <w:bodyDiv w:val="1"/>
      <w:marLeft w:val="0"/>
      <w:marRight w:val="0"/>
      <w:marTop w:val="0"/>
      <w:marBottom w:val="0"/>
      <w:divBdr>
        <w:top w:val="none" w:sz="0" w:space="0" w:color="auto"/>
        <w:left w:val="none" w:sz="0" w:space="0" w:color="auto"/>
        <w:bottom w:val="none" w:sz="0" w:space="0" w:color="auto"/>
        <w:right w:val="none" w:sz="0" w:space="0" w:color="auto"/>
      </w:divBdr>
    </w:div>
    <w:div w:id="1387801893">
      <w:bodyDiv w:val="1"/>
      <w:marLeft w:val="0"/>
      <w:marRight w:val="0"/>
      <w:marTop w:val="0"/>
      <w:marBottom w:val="0"/>
      <w:divBdr>
        <w:top w:val="none" w:sz="0" w:space="0" w:color="auto"/>
        <w:left w:val="none" w:sz="0" w:space="0" w:color="auto"/>
        <w:bottom w:val="none" w:sz="0" w:space="0" w:color="auto"/>
        <w:right w:val="none" w:sz="0" w:space="0" w:color="auto"/>
      </w:divBdr>
    </w:div>
    <w:div w:id="1539127177">
      <w:bodyDiv w:val="1"/>
      <w:marLeft w:val="0"/>
      <w:marRight w:val="0"/>
      <w:marTop w:val="0"/>
      <w:marBottom w:val="0"/>
      <w:divBdr>
        <w:top w:val="none" w:sz="0" w:space="0" w:color="auto"/>
        <w:left w:val="none" w:sz="0" w:space="0" w:color="auto"/>
        <w:bottom w:val="none" w:sz="0" w:space="0" w:color="auto"/>
        <w:right w:val="none" w:sz="0" w:space="0" w:color="auto"/>
      </w:divBdr>
    </w:div>
    <w:div w:id="1616520256">
      <w:bodyDiv w:val="1"/>
      <w:marLeft w:val="0"/>
      <w:marRight w:val="0"/>
      <w:marTop w:val="0"/>
      <w:marBottom w:val="0"/>
      <w:divBdr>
        <w:top w:val="none" w:sz="0" w:space="0" w:color="auto"/>
        <w:left w:val="none" w:sz="0" w:space="0" w:color="auto"/>
        <w:bottom w:val="none" w:sz="0" w:space="0" w:color="auto"/>
        <w:right w:val="none" w:sz="0" w:space="0" w:color="auto"/>
      </w:divBdr>
    </w:div>
    <w:div w:id="1617254616">
      <w:bodyDiv w:val="1"/>
      <w:marLeft w:val="0"/>
      <w:marRight w:val="0"/>
      <w:marTop w:val="0"/>
      <w:marBottom w:val="0"/>
      <w:divBdr>
        <w:top w:val="none" w:sz="0" w:space="0" w:color="auto"/>
        <w:left w:val="none" w:sz="0" w:space="0" w:color="auto"/>
        <w:bottom w:val="none" w:sz="0" w:space="0" w:color="auto"/>
        <w:right w:val="none" w:sz="0" w:space="0" w:color="auto"/>
      </w:divBdr>
    </w:div>
    <w:div w:id="1652901379">
      <w:bodyDiv w:val="1"/>
      <w:marLeft w:val="0"/>
      <w:marRight w:val="0"/>
      <w:marTop w:val="0"/>
      <w:marBottom w:val="0"/>
      <w:divBdr>
        <w:top w:val="none" w:sz="0" w:space="0" w:color="auto"/>
        <w:left w:val="none" w:sz="0" w:space="0" w:color="auto"/>
        <w:bottom w:val="none" w:sz="0" w:space="0" w:color="auto"/>
        <w:right w:val="none" w:sz="0" w:space="0" w:color="auto"/>
      </w:divBdr>
    </w:div>
    <w:div w:id="1659267599">
      <w:bodyDiv w:val="1"/>
      <w:marLeft w:val="0"/>
      <w:marRight w:val="0"/>
      <w:marTop w:val="0"/>
      <w:marBottom w:val="0"/>
      <w:divBdr>
        <w:top w:val="none" w:sz="0" w:space="0" w:color="auto"/>
        <w:left w:val="none" w:sz="0" w:space="0" w:color="auto"/>
        <w:bottom w:val="none" w:sz="0" w:space="0" w:color="auto"/>
        <w:right w:val="none" w:sz="0" w:space="0" w:color="auto"/>
      </w:divBdr>
    </w:div>
    <w:div w:id="1700936815">
      <w:bodyDiv w:val="1"/>
      <w:marLeft w:val="0"/>
      <w:marRight w:val="0"/>
      <w:marTop w:val="0"/>
      <w:marBottom w:val="0"/>
      <w:divBdr>
        <w:top w:val="none" w:sz="0" w:space="0" w:color="auto"/>
        <w:left w:val="none" w:sz="0" w:space="0" w:color="auto"/>
        <w:bottom w:val="none" w:sz="0" w:space="0" w:color="auto"/>
        <w:right w:val="none" w:sz="0" w:space="0" w:color="auto"/>
      </w:divBdr>
    </w:div>
    <w:div w:id="1732341594">
      <w:bodyDiv w:val="1"/>
      <w:marLeft w:val="0"/>
      <w:marRight w:val="0"/>
      <w:marTop w:val="0"/>
      <w:marBottom w:val="0"/>
      <w:divBdr>
        <w:top w:val="none" w:sz="0" w:space="0" w:color="auto"/>
        <w:left w:val="none" w:sz="0" w:space="0" w:color="auto"/>
        <w:bottom w:val="none" w:sz="0" w:space="0" w:color="auto"/>
        <w:right w:val="none" w:sz="0" w:space="0" w:color="auto"/>
      </w:divBdr>
    </w:div>
    <w:div w:id="1885824321">
      <w:bodyDiv w:val="1"/>
      <w:marLeft w:val="0"/>
      <w:marRight w:val="0"/>
      <w:marTop w:val="0"/>
      <w:marBottom w:val="0"/>
      <w:divBdr>
        <w:top w:val="none" w:sz="0" w:space="0" w:color="auto"/>
        <w:left w:val="none" w:sz="0" w:space="0" w:color="auto"/>
        <w:bottom w:val="none" w:sz="0" w:space="0" w:color="auto"/>
        <w:right w:val="none" w:sz="0" w:space="0" w:color="auto"/>
      </w:divBdr>
    </w:div>
    <w:div w:id="1914923060">
      <w:bodyDiv w:val="1"/>
      <w:marLeft w:val="0"/>
      <w:marRight w:val="0"/>
      <w:marTop w:val="0"/>
      <w:marBottom w:val="0"/>
      <w:divBdr>
        <w:top w:val="none" w:sz="0" w:space="0" w:color="auto"/>
        <w:left w:val="none" w:sz="0" w:space="0" w:color="auto"/>
        <w:bottom w:val="none" w:sz="0" w:space="0" w:color="auto"/>
        <w:right w:val="none" w:sz="0" w:space="0" w:color="auto"/>
      </w:divBdr>
    </w:div>
    <w:div w:id="1956017727">
      <w:bodyDiv w:val="1"/>
      <w:marLeft w:val="0"/>
      <w:marRight w:val="0"/>
      <w:marTop w:val="0"/>
      <w:marBottom w:val="0"/>
      <w:divBdr>
        <w:top w:val="none" w:sz="0" w:space="0" w:color="auto"/>
        <w:left w:val="none" w:sz="0" w:space="0" w:color="auto"/>
        <w:bottom w:val="none" w:sz="0" w:space="0" w:color="auto"/>
        <w:right w:val="none" w:sz="0" w:space="0" w:color="auto"/>
      </w:divBdr>
    </w:div>
    <w:div w:id="1998534980">
      <w:bodyDiv w:val="1"/>
      <w:marLeft w:val="0"/>
      <w:marRight w:val="0"/>
      <w:marTop w:val="0"/>
      <w:marBottom w:val="0"/>
      <w:divBdr>
        <w:top w:val="none" w:sz="0" w:space="0" w:color="auto"/>
        <w:left w:val="none" w:sz="0" w:space="0" w:color="auto"/>
        <w:bottom w:val="none" w:sz="0" w:space="0" w:color="auto"/>
        <w:right w:val="none" w:sz="0" w:space="0" w:color="auto"/>
      </w:divBdr>
    </w:div>
    <w:div w:id="2006516085">
      <w:bodyDiv w:val="1"/>
      <w:marLeft w:val="0"/>
      <w:marRight w:val="0"/>
      <w:marTop w:val="0"/>
      <w:marBottom w:val="0"/>
      <w:divBdr>
        <w:top w:val="none" w:sz="0" w:space="0" w:color="auto"/>
        <w:left w:val="none" w:sz="0" w:space="0" w:color="auto"/>
        <w:bottom w:val="none" w:sz="0" w:space="0" w:color="auto"/>
        <w:right w:val="none" w:sz="0" w:space="0" w:color="auto"/>
      </w:divBdr>
    </w:div>
    <w:div w:id="2061203679">
      <w:bodyDiv w:val="1"/>
      <w:marLeft w:val="0"/>
      <w:marRight w:val="0"/>
      <w:marTop w:val="0"/>
      <w:marBottom w:val="0"/>
      <w:divBdr>
        <w:top w:val="none" w:sz="0" w:space="0" w:color="auto"/>
        <w:left w:val="none" w:sz="0" w:space="0" w:color="auto"/>
        <w:bottom w:val="none" w:sz="0" w:space="0" w:color="auto"/>
        <w:right w:val="none" w:sz="0" w:space="0" w:color="auto"/>
      </w:divBdr>
    </w:div>
    <w:div w:id="2085104690">
      <w:bodyDiv w:val="1"/>
      <w:marLeft w:val="0"/>
      <w:marRight w:val="0"/>
      <w:marTop w:val="0"/>
      <w:marBottom w:val="0"/>
      <w:divBdr>
        <w:top w:val="none" w:sz="0" w:space="0" w:color="auto"/>
        <w:left w:val="none" w:sz="0" w:space="0" w:color="auto"/>
        <w:bottom w:val="none" w:sz="0" w:space="0" w:color="auto"/>
        <w:right w:val="none" w:sz="0" w:space="0" w:color="auto"/>
      </w:divBdr>
    </w:div>
    <w:div w:id="212207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chart" Target="charts/chart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theme" Target="theme/theme1.xml"/><Relationship Id="rId10" Type="http://schemas.openxmlformats.org/officeDocument/2006/relationships/hyperlink" Target="http://python-math0and0physics0solver.wikispaces.com/"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om\Desktop\Physics\Physics\Labs\Lab%204%20-%20Investigation%20of%20the%20Hall%20Effect%20in%20Semiconductors\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om\Desktop\Physics\Physics\Labs\Lab%204%20-%20Investigation%20of%20the%20Hall%20Effect%20in%20Semiconductors\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om\Desktop\physics\Physics\Labs\Lab%203%20-%20Measurement%20of%20the%20Bandgap%20in%20Germanium\dummy%20plot.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Electromagnetic Field vs Offset Voltage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1"/>
            <c:trendlineLbl>
              <c:layout>
                <c:manualLayout>
                  <c:x val="-0.40069596563587445"/>
                  <c:y val="0.1658160237388724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'Voltage Measurements 3361 Ge'!$E$2:$E$18</c:f>
              <c:numCache>
                <c:formatCode>General</c:formatCode>
                <c:ptCount val="17"/>
                <c:pt idx="0">
                  <c:v>-5.5E-2</c:v>
                </c:pt>
                <c:pt idx="1">
                  <c:v>-0.245</c:v>
                </c:pt>
                <c:pt idx="2">
                  <c:v>-0.44400000000000001</c:v>
                </c:pt>
                <c:pt idx="3">
                  <c:v>-0.65200000000000002</c:v>
                </c:pt>
                <c:pt idx="4">
                  <c:v>-0.85599999999999998</c:v>
                </c:pt>
                <c:pt idx="5">
                  <c:v>-1.071</c:v>
                </c:pt>
                <c:pt idx="6">
                  <c:v>-1.2869999999999999</c:v>
                </c:pt>
                <c:pt idx="7">
                  <c:v>-1.4950000000000001</c:v>
                </c:pt>
                <c:pt idx="8">
                  <c:v>-1.712</c:v>
                </c:pt>
                <c:pt idx="9">
                  <c:v>-1.9180000000000001</c:v>
                </c:pt>
                <c:pt idx="10">
                  <c:v>-2.12</c:v>
                </c:pt>
                <c:pt idx="11">
                  <c:v>-2.34</c:v>
                </c:pt>
                <c:pt idx="12">
                  <c:v>-2.54</c:v>
                </c:pt>
                <c:pt idx="13">
                  <c:v>-2.75</c:v>
                </c:pt>
                <c:pt idx="14">
                  <c:v>-2.95</c:v>
                </c:pt>
                <c:pt idx="15">
                  <c:v>-3.15</c:v>
                </c:pt>
                <c:pt idx="16">
                  <c:v>-3.35</c:v>
                </c:pt>
              </c:numCache>
            </c:numRef>
          </c:xVal>
          <c:yVal>
            <c:numRef>
              <c:f>'Voltage Measurements 3361 Ge'!$F$2:$F$18</c:f>
              <c:numCache>
                <c:formatCode>General</c:formatCode>
                <c:ptCount val="17"/>
                <c:pt idx="0">
                  <c:v>-1.1000000000000015E-2</c:v>
                </c:pt>
                <c:pt idx="1">
                  <c:v>-5.899999999999999E-2</c:v>
                </c:pt>
                <c:pt idx="2">
                  <c:v>-0.10649999999999998</c:v>
                </c:pt>
                <c:pt idx="3">
                  <c:v>-0.155</c:v>
                </c:pt>
                <c:pt idx="4">
                  <c:v>-0.20300000000000004</c:v>
                </c:pt>
                <c:pt idx="5">
                  <c:v>-0.2505</c:v>
                </c:pt>
                <c:pt idx="6">
                  <c:v>-0.29799999999999999</c:v>
                </c:pt>
                <c:pt idx="7">
                  <c:v>-0.34399999999999997</c:v>
                </c:pt>
                <c:pt idx="8">
                  <c:v>-0.38799999999999996</c:v>
                </c:pt>
                <c:pt idx="9">
                  <c:v>-0.43350000000000011</c:v>
                </c:pt>
                <c:pt idx="10">
                  <c:v>-0.47449999999999998</c:v>
                </c:pt>
                <c:pt idx="11">
                  <c:v>-0.51249999999999996</c:v>
                </c:pt>
                <c:pt idx="12">
                  <c:v>-0.55049999999999999</c:v>
                </c:pt>
                <c:pt idx="13">
                  <c:v>-0.58899999999999997</c:v>
                </c:pt>
                <c:pt idx="14">
                  <c:v>-0.62300000000000011</c:v>
                </c:pt>
                <c:pt idx="15">
                  <c:v>-0.65749999999999997</c:v>
                </c:pt>
                <c:pt idx="16">
                  <c:v>-0.6905</c:v>
                </c:pt>
              </c:numCache>
            </c:numRef>
          </c:yVal>
          <c:smooth val="1"/>
          <c:extLst>
            <c:ext xmlns:c16="http://schemas.microsoft.com/office/drawing/2014/chart" uri="{C3380CC4-5D6E-409C-BE32-E72D297353CC}">
              <c16:uniqueId val="{00000001-E13A-48DB-AF34-6EB1A4B73754}"/>
            </c:ext>
          </c:extLst>
        </c:ser>
        <c:dLbls>
          <c:showLegendKey val="0"/>
          <c:showVal val="0"/>
          <c:showCatName val="0"/>
          <c:showSerName val="0"/>
          <c:showPercent val="0"/>
          <c:showBubbleSize val="0"/>
        </c:dLbls>
        <c:axId val="461534912"/>
        <c:axId val="461536224"/>
      </c:scatterChart>
      <c:valAx>
        <c:axId val="4615349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Electromagnetic Field (T)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536224"/>
        <c:crosses val="autoZero"/>
        <c:crossBetween val="midCat"/>
      </c:valAx>
      <c:valAx>
        <c:axId val="461536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Hall Voltage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15349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Magnetic Field vs Offset Voltage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none"/>
          </c:marker>
          <c:trendline>
            <c:spPr>
              <a:ln w="19050" cap="rnd">
                <a:solidFill>
                  <a:schemeClr val="accent1"/>
                </a:solidFill>
                <a:prstDash val="sysDot"/>
              </a:ln>
              <a:effectLst/>
            </c:spPr>
            <c:trendlineType val="linear"/>
            <c:dispRSqr val="0"/>
            <c:dispEq val="1"/>
            <c:trendlineLbl>
              <c:layout>
                <c:manualLayout>
                  <c:x val="-0.4309165223637339"/>
                  <c:y val="0.26840324294614221"/>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'Voltage Measurements 3375 Ge'!$E$2:$E$18</c:f>
              <c:numCache>
                <c:formatCode>General</c:formatCode>
                <c:ptCount val="17"/>
                <c:pt idx="0">
                  <c:v>-5.5E-2</c:v>
                </c:pt>
                <c:pt idx="1">
                  <c:v>-0.245</c:v>
                </c:pt>
                <c:pt idx="2">
                  <c:v>-0.44400000000000001</c:v>
                </c:pt>
                <c:pt idx="3">
                  <c:v>-0.65200000000000002</c:v>
                </c:pt>
                <c:pt idx="4">
                  <c:v>-0.85599999999999998</c:v>
                </c:pt>
                <c:pt idx="5">
                  <c:v>-1.071</c:v>
                </c:pt>
                <c:pt idx="6">
                  <c:v>-1.2869999999999999</c:v>
                </c:pt>
                <c:pt idx="7">
                  <c:v>-1.4950000000000001</c:v>
                </c:pt>
                <c:pt idx="8">
                  <c:v>-1.712</c:v>
                </c:pt>
                <c:pt idx="9">
                  <c:v>-1.9180000000000001</c:v>
                </c:pt>
                <c:pt idx="10">
                  <c:v>-2.12</c:v>
                </c:pt>
                <c:pt idx="11">
                  <c:v>-2.34</c:v>
                </c:pt>
                <c:pt idx="12">
                  <c:v>-2.54</c:v>
                </c:pt>
                <c:pt idx="13">
                  <c:v>-2.75</c:v>
                </c:pt>
                <c:pt idx="14">
                  <c:v>-2.95</c:v>
                </c:pt>
                <c:pt idx="15">
                  <c:v>-3.15</c:v>
                </c:pt>
                <c:pt idx="16">
                  <c:v>-3.35</c:v>
                </c:pt>
              </c:numCache>
            </c:numRef>
          </c:xVal>
          <c:yVal>
            <c:numRef>
              <c:f>'Voltage Measurements 3375 Ge'!$F$2:$F$18</c:f>
              <c:numCache>
                <c:formatCode>General</c:formatCode>
                <c:ptCount val="17"/>
                <c:pt idx="0">
                  <c:v>0</c:v>
                </c:pt>
                <c:pt idx="1">
                  <c:v>-0.04</c:v>
                </c:pt>
                <c:pt idx="2">
                  <c:v>-8.1999999999999962E-2</c:v>
                </c:pt>
                <c:pt idx="3">
                  <c:v>-0.12449999999999996</c:v>
                </c:pt>
                <c:pt idx="4">
                  <c:v>-0.16750000000000001</c:v>
                </c:pt>
                <c:pt idx="5">
                  <c:v>-0.21050000000000005</c:v>
                </c:pt>
                <c:pt idx="6">
                  <c:v>-0.25400000000000006</c:v>
                </c:pt>
                <c:pt idx="7">
                  <c:v>-0.29700000000000004</c:v>
                </c:pt>
                <c:pt idx="8">
                  <c:v>-0.33949999999999997</c:v>
                </c:pt>
                <c:pt idx="9">
                  <c:v>-0.38100000000000001</c:v>
                </c:pt>
                <c:pt idx="10">
                  <c:v>-0.4235000000000001</c:v>
                </c:pt>
                <c:pt idx="11">
                  <c:v>-0.46450000000000002</c:v>
                </c:pt>
                <c:pt idx="12">
                  <c:v>-0.50449999999999995</c:v>
                </c:pt>
                <c:pt idx="13">
                  <c:v>-0.54500000000000004</c:v>
                </c:pt>
                <c:pt idx="14">
                  <c:v>-0.58450000000000002</c:v>
                </c:pt>
                <c:pt idx="15">
                  <c:v>-0.62250000000000005</c:v>
                </c:pt>
                <c:pt idx="16">
                  <c:v>-0.65950000000000009</c:v>
                </c:pt>
              </c:numCache>
            </c:numRef>
          </c:yVal>
          <c:smooth val="1"/>
          <c:extLst>
            <c:ext xmlns:c16="http://schemas.microsoft.com/office/drawing/2014/chart" uri="{C3380CC4-5D6E-409C-BE32-E72D297353CC}">
              <c16:uniqueId val="{00000001-DCB2-488D-BB1C-80DD51CC603F}"/>
            </c:ext>
          </c:extLst>
        </c:ser>
        <c:dLbls>
          <c:showLegendKey val="0"/>
          <c:showVal val="0"/>
          <c:showCatName val="0"/>
          <c:showSerName val="0"/>
          <c:showPercent val="0"/>
          <c:showBubbleSize val="0"/>
        </c:dLbls>
        <c:axId val="303504864"/>
        <c:axId val="303510440"/>
      </c:scatterChart>
      <c:valAx>
        <c:axId val="3035048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Magnetic Field (T)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510440"/>
        <c:crosses val="autoZero"/>
        <c:crossBetween val="midCat"/>
      </c:valAx>
      <c:valAx>
        <c:axId val="303510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Voltage (V)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35048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Changing</a:t>
            </a:r>
            <a:r>
              <a:rPr lang="en-AU" baseline="0"/>
              <a:t> resistivity due to temperature of semiconductor</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Sheet1!$B$1</c:f>
              <c:strCache>
                <c:ptCount val="1"/>
                <c:pt idx="0">
                  <c:v>Resistance</c:v>
                </c:pt>
              </c:strCache>
            </c:strRef>
          </c:tx>
          <c:spPr>
            <a:ln w="19050" cap="rnd">
              <a:solidFill>
                <a:schemeClr val="accent1"/>
              </a:solidFill>
              <a:round/>
            </a:ln>
            <a:effectLst/>
          </c:spPr>
          <c:marker>
            <c:symbol val="none"/>
          </c:marker>
          <c:xVal>
            <c:numRef>
              <c:f>Sheet1!$A$2:$A$19</c:f>
              <c:numCache>
                <c:formatCode>General</c:formatCode>
                <c:ptCount val="18"/>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numCache>
            </c:numRef>
          </c:xVal>
          <c:yVal>
            <c:numRef>
              <c:f>Sheet1!$B$2:$B$21</c:f>
              <c:numCache>
                <c:formatCode>General</c:formatCode>
                <c:ptCount val="20"/>
                <c:pt idx="0">
                  <c:v>1</c:v>
                </c:pt>
                <c:pt idx="1">
                  <c:v>1</c:v>
                </c:pt>
                <c:pt idx="2">
                  <c:v>1</c:v>
                </c:pt>
                <c:pt idx="3">
                  <c:v>1</c:v>
                </c:pt>
                <c:pt idx="4">
                  <c:v>1</c:v>
                </c:pt>
                <c:pt idx="5">
                  <c:v>1</c:v>
                </c:pt>
                <c:pt idx="6">
                  <c:v>1</c:v>
                </c:pt>
                <c:pt idx="7">
                  <c:v>2</c:v>
                </c:pt>
                <c:pt idx="8">
                  <c:v>3</c:v>
                </c:pt>
                <c:pt idx="9">
                  <c:v>4</c:v>
                </c:pt>
                <c:pt idx="10">
                  <c:v>5</c:v>
                </c:pt>
                <c:pt idx="11">
                  <c:v>6</c:v>
                </c:pt>
                <c:pt idx="12">
                  <c:v>7</c:v>
                </c:pt>
                <c:pt idx="13">
                  <c:v>8</c:v>
                </c:pt>
                <c:pt idx="14">
                  <c:v>9</c:v>
                </c:pt>
                <c:pt idx="15">
                  <c:v>10</c:v>
                </c:pt>
                <c:pt idx="16">
                  <c:v>11</c:v>
                </c:pt>
                <c:pt idx="17">
                  <c:v>12</c:v>
                </c:pt>
              </c:numCache>
            </c:numRef>
          </c:yVal>
          <c:smooth val="1"/>
          <c:extLst>
            <c:ext xmlns:c16="http://schemas.microsoft.com/office/drawing/2014/chart" uri="{C3380CC4-5D6E-409C-BE32-E72D297353CC}">
              <c16:uniqueId val="{00000000-8271-4AC6-83D4-18746E45117D}"/>
            </c:ext>
          </c:extLst>
        </c:ser>
        <c:dLbls>
          <c:showLegendKey val="0"/>
          <c:showVal val="0"/>
          <c:showCatName val="0"/>
          <c:showSerName val="0"/>
          <c:showPercent val="0"/>
          <c:showBubbleSize val="0"/>
        </c:dLbls>
        <c:axId val="495672104"/>
        <c:axId val="495667512"/>
      </c:scatterChart>
      <c:valAx>
        <c:axId val="495672104"/>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495667512"/>
        <c:crosses val="autoZero"/>
        <c:crossBetween val="midCat"/>
      </c:valAx>
      <c:valAx>
        <c:axId val="495667512"/>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Conductivity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4956721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E8A"/>
    <w:rsid w:val="004E4034"/>
    <w:rsid w:val="00E60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E8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UON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Mat18</b:Tag>
    <b:SourceType>InternetSite</b:SourceType>
    <b:Guid>{3EEB7076-1612-4B4F-87CC-0F4D04668226}</b:Guid>
    <b:Title>Energy band structure of germanium </b:Title>
    <b:Year>2018</b:Year>
    <b:Author>
      <b:Author>
        <b:NameList>
          <b:Person>
            <b:Last>Design</b:Last>
            <b:First>Material</b:First>
          </b:Person>
        </b:NameList>
      </b:Author>
    </b:Author>
    <b:ProductionCompany>materials design</b:ProductionCompany>
    <b:URL>http://www.materialsdesign.com/appnote/energy-band-structure-germanium</b:URL>
    <b:RefOrder>2</b:RefOrder>
  </b:Source>
  <b:Source>
    <b:Tag>Phy06</b:Tag>
    <b:SourceType>DocumentFromInternetSite</b:SourceType>
    <b:Guid>{6C5478C3-B0A5-4D7F-9094-FD154EF2795E}</b:Guid>
    <b:Title>The Hall Effect and the Conductivity of Semiconductors</b:Title>
    <b:Year>2006</b:Year>
    <b:City>Michigan</b:City>
    <b:Publisher>University of Michigan</b:Publisher>
    <b:Author>
      <b:Author>
        <b:NameList>
          <b:Person>
            <b:Last>Laboratory</b:Last>
            <b:First>Physics</b:First>
            <b:Middle>Advanced</b:Middle>
          </b:Person>
        </b:NameList>
      </b:Author>
    </b:Author>
    <b:Month>February</b:Month>
    <b:Day>22</b:Day>
    <b:YearAccessed>2018</b:YearAccessed>
    <b:MonthAccessed>May</b:MonthAccessed>
    <b:URL>http://instructor.physics.lsa.umich.edu/adv-labs/Hall/hall_effect_2005.pdf</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0BFFFE-EA88-49DB-B261-F22931EC8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3644</TotalTime>
  <Pages>13</Pages>
  <Words>1788</Words>
  <Characters>10196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PHYS2170: Investigation of the Hall Effect in Semiconductors</vt:lpstr>
    </vt:vector>
  </TitlesOfParts>
  <Company>3175353</Company>
  <LinksUpToDate>false</LinksUpToDate>
  <CharactersWithSpaces>11961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PHYS2170: Investigation of the Hall Effect in Semiconductors</dc:title>
  <dc:subject/>
  <dc:creator>Thomas Courtney</dc:creator>
  <cp:keywords/>
  <dc:description/>
  <cp:lastModifiedBy>Thomas Courtney</cp:lastModifiedBy>
  <cp:revision>425</cp:revision>
  <cp:lastPrinted>2018-05-10T11:52:00Z</cp:lastPrinted>
  <dcterms:created xsi:type="dcterms:W3CDTF">2018-03-26T00:28:00Z</dcterms:created>
  <dcterms:modified xsi:type="dcterms:W3CDTF">2018-05-22T13:55:00Z</dcterms:modified>
</cp:coreProperties>
</file>