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940365"/>
        <w:docPartObj>
          <w:docPartGallery w:val="Cover Pages"/>
          <w:docPartUnique/>
        </w:docPartObj>
      </w:sdtPr>
      <w:sdtEndP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dtEndPr>
      <w:sdtContent>
        <w:p w14:paraId="5409DBD2" w14:textId="05B06405" w:rsidR="00451A57" w:rsidRDefault="00451A57" w:rsidP="00C23BBA">
          <w:pPr>
            <w:tabs>
              <w:tab w:val="right" w:pos="9026"/>
            </w:tabs>
          </w:pPr>
          <w:r>
            <w:rPr>
              <w:noProof/>
            </w:rPr>
            <mc:AlternateContent>
              <mc:Choice Requires="wpg">
                <w:drawing>
                  <wp:anchor distT="0" distB="0" distL="114300" distR="114300" simplePos="0" relativeHeight="251660288" behindDoc="1" locked="0" layoutInCell="1" allowOverlap="1" wp14:anchorId="1942EFBE" wp14:editId="37F40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844832" w14:textId="401BA865" w:rsidR="000C1711" w:rsidRDefault="000C1711">
                                      <w:pPr>
                                        <w:pStyle w:val="NoSpacing"/>
                                        <w:spacing w:before="120"/>
                                        <w:jc w:val="center"/>
                                        <w:rPr>
                                          <w:color w:val="FFFFFF" w:themeColor="background1"/>
                                        </w:rPr>
                                      </w:pPr>
                                      <w:r>
                                        <w:rPr>
                                          <w:color w:val="FFFFFF" w:themeColor="background1"/>
                                        </w:rPr>
                                        <w:t>Thomas Courtney</w:t>
                                      </w:r>
                                    </w:p>
                                  </w:sdtContent>
                                </w:sdt>
                                <w:p w14:paraId="69D25F8F" w14:textId="045D2725" w:rsidR="000C1711" w:rsidRDefault="000C171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3175353</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A8D008" w14:textId="27D889F9" w:rsidR="000C1711" w:rsidRDefault="000C1711">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PHYS2170: </w:t>
                                      </w: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Investigation of the Hall Effect in Semiconductors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42EFBE"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844832" w14:textId="401BA865" w:rsidR="000C1711" w:rsidRDefault="000C1711">
                                <w:pPr>
                                  <w:pStyle w:val="NoSpacing"/>
                                  <w:spacing w:before="120"/>
                                  <w:jc w:val="center"/>
                                  <w:rPr>
                                    <w:color w:val="FFFFFF" w:themeColor="background1"/>
                                  </w:rPr>
                                </w:pPr>
                                <w:r>
                                  <w:rPr>
                                    <w:color w:val="FFFFFF" w:themeColor="background1"/>
                                  </w:rPr>
                                  <w:t>Thomas Courtney</w:t>
                                </w:r>
                              </w:p>
                            </w:sdtContent>
                          </w:sdt>
                          <w:p w14:paraId="69D25F8F" w14:textId="045D2725" w:rsidR="000C1711" w:rsidRDefault="000C171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3175353</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UON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A8D008" w14:textId="27D889F9" w:rsidR="000C1711" w:rsidRDefault="000C1711">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PHYS2170: </w:t>
                                </w:r>
                                <w: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Investigation of the Hall Effect in Semiconductors</w:t>
                                </w:r>
                              </w:p>
                            </w:sdtContent>
                          </w:sdt>
                        </w:txbxContent>
                      </v:textbox>
                    </v:shape>
                    <w10:wrap anchorx="page" anchory="page"/>
                  </v:group>
                </w:pict>
              </mc:Fallback>
            </mc:AlternateContent>
          </w:r>
          <w:r w:rsidR="00C23BBA">
            <w:tab/>
          </w:r>
        </w:p>
        <w:p w14:paraId="242B4F0C" w14:textId="0AFA5926" w:rsidR="00451A57" w:rsidRDefault="00451A57">
          <w:pPr>
            <w:rPr>
              <w:rFonts w:asciiTheme="majorHAnsi" w:eastAsiaTheme="majorEastAsia" w:hAnsiTheme="majorHAnsi" w:cstheme="majorBidi"/>
              <w:b/>
              <w:outline/>
              <w:color w:val="5B9BD5" w:themeColor="accent5"/>
              <w:kern w:val="28"/>
              <w:sz w:val="9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F6F01">
            <w:rPr>
              <w:b/>
              <w:outline/>
              <w:noProof/>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anchor distT="0" distB="0" distL="114300" distR="114300" simplePos="0" relativeHeight="251662336" behindDoc="0" locked="0" layoutInCell="1" allowOverlap="1" wp14:anchorId="47165A98" wp14:editId="413AB5A3">
                <wp:simplePos x="0" y="0"/>
                <wp:positionH relativeFrom="margin">
                  <wp:align>center</wp:align>
                </wp:positionH>
                <wp:positionV relativeFrom="paragraph">
                  <wp:posOffset>3962400</wp:posOffset>
                </wp:positionV>
                <wp:extent cx="3810000" cy="342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810000" cy="3429000"/>
                        </a:xfrm>
                        <a:prstGeom prst="rect">
                          <a:avLst/>
                        </a:prstGeom>
                      </pic:spPr>
                    </pic:pic>
                  </a:graphicData>
                </a:graphic>
              </wp:anchor>
            </w:drawing>
          </w:r>
          <w: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p>
      </w:sdtContent>
    </w:sdt>
    <w:sdt>
      <w:sdtPr>
        <w:rPr>
          <w:rFonts w:asciiTheme="minorHAnsi" w:eastAsiaTheme="minorHAnsi" w:hAnsiTheme="minorHAnsi" w:cstheme="minorBidi"/>
          <w:color w:val="auto"/>
          <w:sz w:val="22"/>
          <w:szCs w:val="22"/>
          <w:lang w:val="en-AU"/>
        </w:rPr>
        <w:id w:val="-643037903"/>
        <w:docPartObj>
          <w:docPartGallery w:val="Table of Contents"/>
          <w:docPartUnique/>
        </w:docPartObj>
      </w:sdtPr>
      <w:sdtEndPr>
        <w:rPr>
          <w:b/>
          <w:bCs/>
          <w:noProof/>
        </w:rPr>
      </w:sdtEndPr>
      <w:sdtContent>
        <w:p w14:paraId="2188FCAA" w14:textId="55CAC3A2" w:rsidR="00451A57" w:rsidRDefault="00451A57">
          <w:pPr>
            <w:pStyle w:val="TOCHeading"/>
          </w:pPr>
          <w:r>
            <w:t>Contents</w:t>
          </w:r>
          <w:r w:rsidR="00664F8A">
            <w:t xml:space="preserve"> </w:t>
          </w:r>
        </w:p>
        <w:p w14:paraId="3C85AFC1" w14:textId="26C933C9" w:rsidR="0096673C" w:rsidRDefault="00451A5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14859564" w:history="1">
            <w:r w:rsidR="0096673C" w:rsidRPr="00B73554">
              <w:rPr>
                <w:rStyle w:val="Hyperlink"/>
                <w:noProof/>
              </w:rPr>
              <w:t>Abstract</w:t>
            </w:r>
            <w:r w:rsidR="0096673C">
              <w:rPr>
                <w:noProof/>
                <w:webHidden/>
              </w:rPr>
              <w:tab/>
            </w:r>
            <w:r w:rsidR="0096673C">
              <w:rPr>
                <w:noProof/>
                <w:webHidden/>
              </w:rPr>
              <w:fldChar w:fldCharType="begin"/>
            </w:r>
            <w:r w:rsidR="0096673C">
              <w:rPr>
                <w:noProof/>
                <w:webHidden/>
              </w:rPr>
              <w:instrText xml:space="preserve"> PAGEREF _Toc514859564 \h </w:instrText>
            </w:r>
            <w:r w:rsidR="0096673C">
              <w:rPr>
                <w:noProof/>
                <w:webHidden/>
              </w:rPr>
            </w:r>
            <w:r w:rsidR="0096673C">
              <w:rPr>
                <w:noProof/>
                <w:webHidden/>
              </w:rPr>
              <w:fldChar w:fldCharType="separate"/>
            </w:r>
            <w:r w:rsidR="000C1711">
              <w:rPr>
                <w:noProof/>
                <w:webHidden/>
              </w:rPr>
              <w:t>2</w:t>
            </w:r>
            <w:r w:rsidR="0096673C">
              <w:rPr>
                <w:noProof/>
                <w:webHidden/>
              </w:rPr>
              <w:fldChar w:fldCharType="end"/>
            </w:r>
          </w:hyperlink>
        </w:p>
        <w:p w14:paraId="6FB45DBF" w14:textId="6109E857" w:rsidR="0096673C" w:rsidRDefault="0096673C">
          <w:pPr>
            <w:pStyle w:val="TOC1"/>
            <w:tabs>
              <w:tab w:val="right" w:leader="dot" w:pos="9016"/>
            </w:tabs>
            <w:rPr>
              <w:rFonts w:eastAsiaTheme="minorEastAsia"/>
              <w:noProof/>
              <w:lang w:val="en-US"/>
            </w:rPr>
          </w:pPr>
          <w:hyperlink w:anchor="_Toc514859565" w:history="1">
            <w:r w:rsidRPr="00B73554">
              <w:rPr>
                <w:rStyle w:val="Hyperlink"/>
                <w:noProof/>
              </w:rPr>
              <w:t>Introduction</w:t>
            </w:r>
            <w:r>
              <w:rPr>
                <w:noProof/>
                <w:webHidden/>
              </w:rPr>
              <w:tab/>
            </w:r>
            <w:r>
              <w:rPr>
                <w:noProof/>
                <w:webHidden/>
              </w:rPr>
              <w:fldChar w:fldCharType="begin"/>
            </w:r>
            <w:r>
              <w:rPr>
                <w:noProof/>
                <w:webHidden/>
              </w:rPr>
              <w:instrText xml:space="preserve"> PAGEREF _Toc514859565 \h </w:instrText>
            </w:r>
            <w:r>
              <w:rPr>
                <w:noProof/>
                <w:webHidden/>
              </w:rPr>
            </w:r>
            <w:r>
              <w:rPr>
                <w:noProof/>
                <w:webHidden/>
              </w:rPr>
              <w:fldChar w:fldCharType="separate"/>
            </w:r>
            <w:r w:rsidR="000C1711">
              <w:rPr>
                <w:noProof/>
                <w:webHidden/>
              </w:rPr>
              <w:t>2</w:t>
            </w:r>
            <w:r>
              <w:rPr>
                <w:noProof/>
                <w:webHidden/>
              </w:rPr>
              <w:fldChar w:fldCharType="end"/>
            </w:r>
          </w:hyperlink>
        </w:p>
        <w:p w14:paraId="757D5208" w14:textId="67D2DD38" w:rsidR="0096673C" w:rsidRDefault="0096673C">
          <w:pPr>
            <w:pStyle w:val="TOC1"/>
            <w:tabs>
              <w:tab w:val="right" w:leader="dot" w:pos="9016"/>
            </w:tabs>
            <w:rPr>
              <w:rFonts w:eastAsiaTheme="minorEastAsia"/>
              <w:noProof/>
              <w:lang w:val="en-US"/>
            </w:rPr>
          </w:pPr>
          <w:hyperlink w:anchor="_Toc514859566" w:history="1">
            <w:r w:rsidRPr="00B73554">
              <w:rPr>
                <w:rStyle w:val="Hyperlink"/>
                <w:noProof/>
              </w:rPr>
              <w:t>Procedure</w:t>
            </w:r>
            <w:r>
              <w:rPr>
                <w:noProof/>
                <w:webHidden/>
              </w:rPr>
              <w:tab/>
            </w:r>
            <w:r>
              <w:rPr>
                <w:noProof/>
                <w:webHidden/>
              </w:rPr>
              <w:fldChar w:fldCharType="begin"/>
            </w:r>
            <w:r>
              <w:rPr>
                <w:noProof/>
                <w:webHidden/>
              </w:rPr>
              <w:instrText xml:space="preserve"> PAGEREF _Toc514859566 \h </w:instrText>
            </w:r>
            <w:r>
              <w:rPr>
                <w:noProof/>
                <w:webHidden/>
              </w:rPr>
            </w:r>
            <w:r>
              <w:rPr>
                <w:noProof/>
                <w:webHidden/>
              </w:rPr>
              <w:fldChar w:fldCharType="separate"/>
            </w:r>
            <w:r w:rsidR="000C1711">
              <w:rPr>
                <w:noProof/>
                <w:webHidden/>
              </w:rPr>
              <w:t>5</w:t>
            </w:r>
            <w:r>
              <w:rPr>
                <w:noProof/>
                <w:webHidden/>
              </w:rPr>
              <w:fldChar w:fldCharType="end"/>
            </w:r>
          </w:hyperlink>
        </w:p>
        <w:p w14:paraId="63C1019A" w14:textId="2DF724E7" w:rsidR="0096673C" w:rsidRDefault="0096673C">
          <w:pPr>
            <w:pStyle w:val="TOC1"/>
            <w:tabs>
              <w:tab w:val="right" w:leader="dot" w:pos="9016"/>
            </w:tabs>
            <w:rPr>
              <w:rFonts w:eastAsiaTheme="minorEastAsia"/>
              <w:noProof/>
              <w:lang w:val="en-US"/>
            </w:rPr>
          </w:pPr>
          <w:hyperlink w:anchor="_Toc514859567" w:history="1">
            <w:r w:rsidRPr="00B73554">
              <w:rPr>
                <w:rStyle w:val="Hyperlink"/>
                <w:noProof/>
              </w:rPr>
              <w:t>Results</w:t>
            </w:r>
            <w:r>
              <w:rPr>
                <w:noProof/>
                <w:webHidden/>
              </w:rPr>
              <w:tab/>
            </w:r>
            <w:r>
              <w:rPr>
                <w:noProof/>
                <w:webHidden/>
              </w:rPr>
              <w:fldChar w:fldCharType="begin"/>
            </w:r>
            <w:r>
              <w:rPr>
                <w:noProof/>
                <w:webHidden/>
              </w:rPr>
              <w:instrText xml:space="preserve"> PAGEREF _Toc514859567 \h </w:instrText>
            </w:r>
            <w:r>
              <w:rPr>
                <w:noProof/>
                <w:webHidden/>
              </w:rPr>
            </w:r>
            <w:r>
              <w:rPr>
                <w:noProof/>
                <w:webHidden/>
              </w:rPr>
              <w:fldChar w:fldCharType="separate"/>
            </w:r>
            <w:r w:rsidR="000C1711">
              <w:rPr>
                <w:noProof/>
                <w:webHidden/>
              </w:rPr>
              <w:t>6</w:t>
            </w:r>
            <w:r>
              <w:rPr>
                <w:noProof/>
                <w:webHidden/>
              </w:rPr>
              <w:fldChar w:fldCharType="end"/>
            </w:r>
          </w:hyperlink>
        </w:p>
        <w:p w14:paraId="7E676528" w14:textId="6D897BFA" w:rsidR="0096673C" w:rsidRDefault="0096673C">
          <w:pPr>
            <w:pStyle w:val="TOC1"/>
            <w:tabs>
              <w:tab w:val="right" w:leader="dot" w:pos="9016"/>
            </w:tabs>
            <w:rPr>
              <w:rFonts w:eastAsiaTheme="minorEastAsia"/>
              <w:noProof/>
              <w:lang w:val="en-US"/>
            </w:rPr>
          </w:pPr>
          <w:hyperlink w:anchor="_Toc514859568" w:history="1">
            <w:r w:rsidRPr="00B73554">
              <w:rPr>
                <w:rStyle w:val="Hyperlink"/>
                <w:noProof/>
              </w:rPr>
              <w:t>Discussion</w:t>
            </w:r>
            <w:r>
              <w:rPr>
                <w:noProof/>
                <w:webHidden/>
              </w:rPr>
              <w:tab/>
            </w:r>
            <w:r>
              <w:rPr>
                <w:noProof/>
                <w:webHidden/>
              </w:rPr>
              <w:fldChar w:fldCharType="begin"/>
            </w:r>
            <w:r>
              <w:rPr>
                <w:noProof/>
                <w:webHidden/>
              </w:rPr>
              <w:instrText xml:space="preserve"> PAGEREF _Toc514859568 \h </w:instrText>
            </w:r>
            <w:r>
              <w:rPr>
                <w:noProof/>
                <w:webHidden/>
              </w:rPr>
            </w:r>
            <w:r>
              <w:rPr>
                <w:noProof/>
                <w:webHidden/>
              </w:rPr>
              <w:fldChar w:fldCharType="separate"/>
            </w:r>
            <w:r w:rsidR="000C1711">
              <w:rPr>
                <w:noProof/>
                <w:webHidden/>
              </w:rPr>
              <w:t>8</w:t>
            </w:r>
            <w:r>
              <w:rPr>
                <w:noProof/>
                <w:webHidden/>
              </w:rPr>
              <w:fldChar w:fldCharType="end"/>
            </w:r>
          </w:hyperlink>
        </w:p>
        <w:p w14:paraId="5FA0A52B" w14:textId="3D9A1F46" w:rsidR="0096673C" w:rsidRDefault="0096673C">
          <w:pPr>
            <w:pStyle w:val="TOC2"/>
            <w:tabs>
              <w:tab w:val="right" w:leader="dot" w:pos="9016"/>
            </w:tabs>
            <w:rPr>
              <w:rFonts w:eastAsiaTheme="minorEastAsia"/>
              <w:noProof/>
              <w:lang w:val="en-US"/>
            </w:rPr>
          </w:pPr>
          <w:hyperlink w:anchor="_Toc514859569" w:history="1">
            <w:r w:rsidRPr="00B73554">
              <w:rPr>
                <w:rStyle w:val="Hyperlink"/>
                <w:noProof/>
              </w:rPr>
              <w:t>Inaccuracy</w:t>
            </w:r>
            <w:r>
              <w:rPr>
                <w:noProof/>
                <w:webHidden/>
              </w:rPr>
              <w:tab/>
            </w:r>
            <w:r>
              <w:rPr>
                <w:noProof/>
                <w:webHidden/>
              </w:rPr>
              <w:fldChar w:fldCharType="begin"/>
            </w:r>
            <w:r>
              <w:rPr>
                <w:noProof/>
                <w:webHidden/>
              </w:rPr>
              <w:instrText xml:space="preserve"> PAGEREF _Toc514859569 \h </w:instrText>
            </w:r>
            <w:r>
              <w:rPr>
                <w:noProof/>
                <w:webHidden/>
              </w:rPr>
            </w:r>
            <w:r>
              <w:rPr>
                <w:noProof/>
                <w:webHidden/>
              </w:rPr>
              <w:fldChar w:fldCharType="separate"/>
            </w:r>
            <w:r w:rsidR="000C1711">
              <w:rPr>
                <w:noProof/>
                <w:webHidden/>
              </w:rPr>
              <w:t>8</w:t>
            </w:r>
            <w:r>
              <w:rPr>
                <w:noProof/>
                <w:webHidden/>
              </w:rPr>
              <w:fldChar w:fldCharType="end"/>
            </w:r>
          </w:hyperlink>
        </w:p>
        <w:p w14:paraId="30ED435B" w14:textId="32ABABDE" w:rsidR="0096673C" w:rsidRDefault="0096673C">
          <w:pPr>
            <w:pStyle w:val="TOC2"/>
            <w:tabs>
              <w:tab w:val="right" w:leader="dot" w:pos="9016"/>
            </w:tabs>
            <w:rPr>
              <w:rFonts w:eastAsiaTheme="minorEastAsia"/>
              <w:noProof/>
              <w:lang w:val="en-US"/>
            </w:rPr>
          </w:pPr>
          <w:hyperlink w:anchor="_Toc514859570" w:history="1">
            <w:r w:rsidRPr="00B73554">
              <w:rPr>
                <w:rStyle w:val="Hyperlink"/>
                <w:noProof/>
              </w:rPr>
              <w:t>Hall Effect Applications</w:t>
            </w:r>
            <w:r>
              <w:rPr>
                <w:noProof/>
                <w:webHidden/>
              </w:rPr>
              <w:tab/>
            </w:r>
            <w:r>
              <w:rPr>
                <w:noProof/>
                <w:webHidden/>
              </w:rPr>
              <w:fldChar w:fldCharType="begin"/>
            </w:r>
            <w:r>
              <w:rPr>
                <w:noProof/>
                <w:webHidden/>
              </w:rPr>
              <w:instrText xml:space="preserve"> PAGEREF _Toc514859570 \h </w:instrText>
            </w:r>
            <w:r>
              <w:rPr>
                <w:noProof/>
                <w:webHidden/>
              </w:rPr>
            </w:r>
            <w:r>
              <w:rPr>
                <w:noProof/>
                <w:webHidden/>
              </w:rPr>
              <w:fldChar w:fldCharType="separate"/>
            </w:r>
            <w:r w:rsidR="000C1711">
              <w:rPr>
                <w:noProof/>
                <w:webHidden/>
              </w:rPr>
              <w:t>8</w:t>
            </w:r>
            <w:r>
              <w:rPr>
                <w:noProof/>
                <w:webHidden/>
              </w:rPr>
              <w:fldChar w:fldCharType="end"/>
            </w:r>
          </w:hyperlink>
        </w:p>
        <w:p w14:paraId="193DC0A5" w14:textId="6C432E43" w:rsidR="0096673C" w:rsidRDefault="0096673C">
          <w:pPr>
            <w:pStyle w:val="TOC2"/>
            <w:tabs>
              <w:tab w:val="right" w:leader="dot" w:pos="9016"/>
            </w:tabs>
            <w:rPr>
              <w:rFonts w:eastAsiaTheme="minorEastAsia"/>
              <w:noProof/>
              <w:lang w:val="en-US"/>
            </w:rPr>
          </w:pPr>
          <w:hyperlink w:anchor="_Toc514859571" w:history="1">
            <w:r w:rsidRPr="00B73554">
              <w:rPr>
                <w:rStyle w:val="Hyperlink"/>
                <w:noProof/>
              </w:rPr>
              <w:t>Intrinsic Semiconductors</w:t>
            </w:r>
            <w:r>
              <w:rPr>
                <w:noProof/>
                <w:webHidden/>
              </w:rPr>
              <w:tab/>
            </w:r>
            <w:r>
              <w:rPr>
                <w:noProof/>
                <w:webHidden/>
              </w:rPr>
              <w:fldChar w:fldCharType="begin"/>
            </w:r>
            <w:r>
              <w:rPr>
                <w:noProof/>
                <w:webHidden/>
              </w:rPr>
              <w:instrText xml:space="preserve"> PAGEREF _Toc514859571 \h </w:instrText>
            </w:r>
            <w:r>
              <w:rPr>
                <w:noProof/>
                <w:webHidden/>
              </w:rPr>
            </w:r>
            <w:r>
              <w:rPr>
                <w:noProof/>
                <w:webHidden/>
              </w:rPr>
              <w:fldChar w:fldCharType="separate"/>
            </w:r>
            <w:r w:rsidR="000C1711">
              <w:rPr>
                <w:noProof/>
                <w:webHidden/>
              </w:rPr>
              <w:t>8</w:t>
            </w:r>
            <w:r>
              <w:rPr>
                <w:noProof/>
                <w:webHidden/>
              </w:rPr>
              <w:fldChar w:fldCharType="end"/>
            </w:r>
          </w:hyperlink>
        </w:p>
        <w:p w14:paraId="71143176" w14:textId="4A246112" w:rsidR="0096673C" w:rsidRDefault="0096673C">
          <w:pPr>
            <w:pStyle w:val="TOC1"/>
            <w:tabs>
              <w:tab w:val="right" w:leader="dot" w:pos="9016"/>
            </w:tabs>
            <w:rPr>
              <w:rFonts w:eastAsiaTheme="minorEastAsia"/>
              <w:noProof/>
              <w:lang w:val="en-US"/>
            </w:rPr>
          </w:pPr>
          <w:hyperlink w:anchor="_Toc514859572" w:history="1">
            <w:r w:rsidRPr="00B73554">
              <w:rPr>
                <w:rStyle w:val="Hyperlink"/>
                <w:noProof/>
              </w:rPr>
              <w:t>Conclusion</w:t>
            </w:r>
            <w:r>
              <w:rPr>
                <w:noProof/>
                <w:webHidden/>
              </w:rPr>
              <w:tab/>
            </w:r>
            <w:r>
              <w:rPr>
                <w:noProof/>
                <w:webHidden/>
              </w:rPr>
              <w:fldChar w:fldCharType="begin"/>
            </w:r>
            <w:r>
              <w:rPr>
                <w:noProof/>
                <w:webHidden/>
              </w:rPr>
              <w:instrText xml:space="preserve"> PAGEREF _Toc514859572 \h </w:instrText>
            </w:r>
            <w:r>
              <w:rPr>
                <w:noProof/>
                <w:webHidden/>
              </w:rPr>
            </w:r>
            <w:r>
              <w:rPr>
                <w:noProof/>
                <w:webHidden/>
              </w:rPr>
              <w:fldChar w:fldCharType="separate"/>
            </w:r>
            <w:r w:rsidR="000C1711">
              <w:rPr>
                <w:noProof/>
                <w:webHidden/>
              </w:rPr>
              <w:t>10</w:t>
            </w:r>
            <w:r>
              <w:rPr>
                <w:noProof/>
                <w:webHidden/>
              </w:rPr>
              <w:fldChar w:fldCharType="end"/>
            </w:r>
          </w:hyperlink>
        </w:p>
        <w:p w14:paraId="2EBA6C90" w14:textId="2EFB8851" w:rsidR="0096673C" w:rsidRDefault="0096673C">
          <w:pPr>
            <w:pStyle w:val="TOC1"/>
            <w:tabs>
              <w:tab w:val="right" w:leader="dot" w:pos="9016"/>
            </w:tabs>
            <w:rPr>
              <w:rFonts w:eastAsiaTheme="minorEastAsia"/>
              <w:noProof/>
              <w:lang w:val="en-US"/>
            </w:rPr>
          </w:pPr>
          <w:hyperlink w:anchor="_Toc514859573" w:history="1">
            <w:r w:rsidRPr="00B73554">
              <w:rPr>
                <w:rStyle w:val="Hyperlink"/>
                <w:noProof/>
              </w:rPr>
              <w:t>Bibliography</w:t>
            </w:r>
            <w:r>
              <w:rPr>
                <w:noProof/>
                <w:webHidden/>
              </w:rPr>
              <w:tab/>
            </w:r>
            <w:r>
              <w:rPr>
                <w:noProof/>
                <w:webHidden/>
              </w:rPr>
              <w:fldChar w:fldCharType="begin"/>
            </w:r>
            <w:r>
              <w:rPr>
                <w:noProof/>
                <w:webHidden/>
              </w:rPr>
              <w:instrText xml:space="preserve"> PAGEREF _Toc514859573 \h </w:instrText>
            </w:r>
            <w:r>
              <w:rPr>
                <w:noProof/>
                <w:webHidden/>
              </w:rPr>
            </w:r>
            <w:r>
              <w:rPr>
                <w:noProof/>
                <w:webHidden/>
              </w:rPr>
              <w:fldChar w:fldCharType="separate"/>
            </w:r>
            <w:r w:rsidR="000C1711">
              <w:rPr>
                <w:noProof/>
                <w:webHidden/>
              </w:rPr>
              <w:t>11</w:t>
            </w:r>
            <w:r>
              <w:rPr>
                <w:noProof/>
                <w:webHidden/>
              </w:rPr>
              <w:fldChar w:fldCharType="end"/>
            </w:r>
          </w:hyperlink>
        </w:p>
        <w:p w14:paraId="1F51BDE2" w14:textId="7D518C70" w:rsidR="00451A57" w:rsidRDefault="00451A57">
          <w:r>
            <w:rPr>
              <w:b/>
              <w:bCs/>
              <w:noProof/>
            </w:rPr>
            <w:fldChar w:fldCharType="end"/>
          </w:r>
        </w:p>
      </w:sdtContent>
    </w:sdt>
    <w:p w14:paraId="409746B0" w14:textId="13FA1F54" w:rsidR="00CC7C77" w:rsidRDefault="00CC7C77" w:rsidP="00451A57"/>
    <w:p w14:paraId="7D909561" w14:textId="2A4771FE" w:rsidR="00040E94" w:rsidRDefault="00040E94">
      <w:bookmarkStart w:id="0" w:name="_GoBack"/>
      <w:bookmarkEnd w:id="0"/>
      <w:r>
        <w:br w:type="page"/>
      </w:r>
    </w:p>
    <w:p w14:paraId="46038A2F" w14:textId="794D5096" w:rsidR="001038A3" w:rsidRDefault="001038A3" w:rsidP="00451A57">
      <w:pPr>
        <w:pStyle w:val="Heading1"/>
      </w:pPr>
      <w:bookmarkStart w:id="1" w:name="_Toc514859564"/>
      <w:r>
        <w:lastRenderedPageBreak/>
        <w:t>Abstract</w:t>
      </w:r>
      <w:bookmarkEnd w:id="1"/>
    </w:p>
    <w:p w14:paraId="72BA57DD" w14:textId="68D8B894" w:rsidR="005E3E9C" w:rsidRPr="00FF3F0F" w:rsidRDefault="00C24C46" w:rsidP="00FF3F0F">
      <w:r>
        <w:t xml:space="preserve">This report details </w:t>
      </w:r>
      <w:r w:rsidR="00FF3F0F">
        <w:t>the observation of the Hall effect in two germanium samples, 336</w:t>
      </w:r>
      <w:r w:rsidR="00690C17">
        <w:t>1</w:t>
      </w:r>
      <w:r w:rsidR="00FF3F0F">
        <w:t xml:space="preserve"> and 3375. Hall Voltages were recorded for changing magnetic fields and used to calculate the hall coefficient, carrier type</w:t>
      </w:r>
      <w:r w:rsidR="00DF3A92">
        <w:t xml:space="preserve">, </w:t>
      </w:r>
      <w:r w:rsidR="00FF3F0F">
        <w:t>density and carrier mobility of each material. Sample 336</w:t>
      </w:r>
      <w:r w:rsidR="00690C17">
        <w:t>1</w:t>
      </w:r>
      <w:r w:rsidR="00FF3F0F">
        <w:t xml:space="preserve"> was found to be a p-type semiconductor and its carrier density was </w:t>
      </w:r>
      <w:r w:rsidR="00302129">
        <w:t>3.03 ± 0.16 x 10</w:t>
      </w:r>
      <w:r w:rsidR="00302129">
        <w:rPr>
          <w:vertAlign w:val="superscript"/>
        </w:rPr>
        <w:t>13</w:t>
      </w:r>
      <w:r w:rsidR="00FF3F0F">
        <w:t xml:space="preserve">. Sample 3375 was found to be an n-type semiconductor with a carrier density of </w:t>
      </w:r>
      <w:r w:rsidR="00302129">
        <w:t>3.12 ± 0.16 x 10</w:t>
      </w:r>
      <w:r w:rsidR="00302129">
        <w:rPr>
          <w:vertAlign w:val="superscript"/>
        </w:rPr>
        <w:t>13</w:t>
      </w:r>
      <w:r w:rsidR="00FF3F0F">
        <w:t>.</w:t>
      </w:r>
      <w:r w:rsidR="00DF3A92">
        <w:t xml:space="preserve"> </w:t>
      </w:r>
      <w:r w:rsidR="006076F2">
        <w:t>The difference in majority carrier types between the two “pure” crystals of germanium suggests that intrinsic semiconductors exhibit extrinsic conductive behaviour.</w:t>
      </w:r>
    </w:p>
    <w:p w14:paraId="3A724841" w14:textId="77777777" w:rsidR="00040E94" w:rsidRDefault="00040E94" w:rsidP="00040E94">
      <w:pPr>
        <w:pStyle w:val="Heading1"/>
      </w:pPr>
    </w:p>
    <w:p w14:paraId="23685A08" w14:textId="3DB095DE" w:rsidR="00A241F2" w:rsidRDefault="00451A57" w:rsidP="00040E94">
      <w:pPr>
        <w:pStyle w:val="Heading1"/>
      </w:pPr>
      <w:bookmarkStart w:id="2" w:name="_Toc514859565"/>
      <w:r>
        <w:t>Introduction</w:t>
      </w:r>
      <w:bookmarkEnd w:id="2"/>
    </w:p>
    <w:p w14:paraId="76774DFD" w14:textId="36716939" w:rsidR="007164D5" w:rsidRDefault="00040E94" w:rsidP="00040E94">
      <w:r>
        <w:t xml:space="preserve">The Hall Effect is phenomenon where in a magnetic field is applied perpendicular to a current passing through a conductor. </w:t>
      </w:r>
      <w:r w:rsidR="00346BD5">
        <w:t>The charges moving in the magnetic field experience a</w:t>
      </w:r>
      <w:r>
        <w:t xml:space="preserve"> force </w:t>
      </w:r>
      <w:r w:rsidR="00346BD5">
        <w:t xml:space="preserve">deflecting </w:t>
      </w:r>
      <w:r>
        <w:t>perpendicular to both the magnetic field and current direction</w:t>
      </w:r>
      <w:r w:rsidR="00727EA9">
        <w:t xml:space="preserve"> (s</w:t>
      </w:r>
      <w:r>
        <w:t>ee Figure 1.)</w:t>
      </w:r>
      <w:r w:rsidR="00575730">
        <w:t xml:space="preserve"> The deflection of the carriers creates an accumulation of charges in one place and hence potential difference </w:t>
      </w:r>
      <w:r w:rsidR="00346BD5">
        <w:t xml:space="preserve">and associated electric field </w:t>
      </w:r>
      <w:r w:rsidR="00575730">
        <w:t>is created. This potential difference is the “hall voltage”.</w:t>
      </w:r>
    </w:p>
    <w:p w14:paraId="19E2AC43" w14:textId="77777777" w:rsidR="00575730" w:rsidRDefault="00575730" w:rsidP="00575730">
      <w:pPr>
        <w:keepNext/>
      </w:pPr>
      <w:r>
        <w:rPr>
          <w:noProof/>
        </w:rPr>
        <w:drawing>
          <wp:inline distT="0" distB="0" distL="0" distR="0" wp14:anchorId="65CEB2F2" wp14:editId="2745B424">
            <wp:extent cx="2749550" cy="1698611"/>
            <wp:effectExtent l="19050" t="19050" r="12700" b="16510"/>
            <wp:docPr id="3" name="Picture 3" descr="http://dangerousprototypes.com/blog/wp-content/media/2012/01/HallEff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ngerousprototypes.com/blog/wp-content/media/2012/01/HallEffec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2505" cy="1712792"/>
                    </a:xfrm>
                    <a:prstGeom prst="rect">
                      <a:avLst/>
                    </a:prstGeom>
                    <a:noFill/>
                    <a:ln>
                      <a:solidFill>
                        <a:schemeClr val="tx1"/>
                      </a:solidFill>
                    </a:ln>
                  </pic:spPr>
                </pic:pic>
              </a:graphicData>
            </a:graphic>
          </wp:inline>
        </w:drawing>
      </w:r>
    </w:p>
    <w:p w14:paraId="03557C5E" w14:textId="23BE67A5" w:rsidR="00575730" w:rsidRDefault="00575730" w:rsidP="00575730">
      <w:pPr>
        <w:pStyle w:val="Caption"/>
      </w:pPr>
      <w:r>
        <w:t xml:space="preserve">Figure </w:t>
      </w:r>
      <w:fldSimple w:instr=" SEQ Figure \* ARABIC ">
        <w:r w:rsidR="000C1711">
          <w:rPr>
            <w:noProof/>
          </w:rPr>
          <w:t>1</w:t>
        </w:r>
      </w:fldSimple>
      <w:r>
        <w:t xml:space="preserve">: Magnetic field and current applied to a conductor generating a hall voltage (source: </w:t>
      </w:r>
      <w:r w:rsidR="007164D5">
        <w:t>dangerousprototypes.com</w:t>
      </w:r>
      <w:r w:rsidR="007164D5">
        <w:rPr>
          <w:noProof/>
        </w:rPr>
        <w:t>)</w:t>
      </w:r>
    </w:p>
    <w:p w14:paraId="2058AC5C" w14:textId="6A680AC5" w:rsidR="004804C8" w:rsidRDefault="004804C8" w:rsidP="00040E94">
      <w:r>
        <w:t xml:space="preserve">By knowing the direction of the magnetic field </w:t>
      </w:r>
      <w:r w:rsidR="001F20EE">
        <w:t xml:space="preserve">and </w:t>
      </w:r>
      <w:r>
        <w:t>current</w:t>
      </w:r>
      <w:r w:rsidR="001F20EE">
        <w:t>, the direction of the force acting on a charge carrier can be determine</w:t>
      </w:r>
      <w:r w:rsidR="008C6987">
        <w:t>d</w:t>
      </w:r>
      <w:r w:rsidR="001F20EE">
        <w:t xml:space="preserve"> (See figure 2).</w:t>
      </w:r>
      <w:r w:rsidR="008C6987">
        <w:t xml:space="preserve"> This information in combination with knowing the orientation of the voltmeter terminals measuring the hall voltage can be used to figure out the majority carrier “type” of the sample.</w:t>
      </w:r>
    </w:p>
    <w:p w14:paraId="1DFC7F7F" w14:textId="77777777" w:rsidR="00727EA9" w:rsidRDefault="00727EA9" w:rsidP="00727EA9">
      <w:pPr>
        <w:keepNext/>
      </w:pPr>
      <w:r>
        <w:rPr>
          <w:noProof/>
        </w:rPr>
        <w:drawing>
          <wp:inline distT="0" distB="0" distL="0" distR="0" wp14:anchorId="1266163B" wp14:editId="7DBB1F08">
            <wp:extent cx="2435527" cy="1695450"/>
            <wp:effectExtent l="19050" t="19050" r="22225" b="19050"/>
            <wp:docPr id="6" name="Picture 6" descr="Image result for right hand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ight hand ru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7006" cy="1703441"/>
                    </a:xfrm>
                    <a:prstGeom prst="rect">
                      <a:avLst/>
                    </a:prstGeom>
                    <a:noFill/>
                    <a:ln>
                      <a:solidFill>
                        <a:schemeClr val="tx1"/>
                      </a:solidFill>
                    </a:ln>
                  </pic:spPr>
                </pic:pic>
              </a:graphicData>
            </a:graphic>
          </wp:inline>
        </w:drawing>
      </w:r>
    </w:p>
    <w:p w14:paraId="0D33191B" w14:textId="770C6536" w:rsidR="00727EA9" w:rsidRDefault="00727EA9" w:rsidP="00727EA9">
      <w:pPr>
        <w:pStyle w:val="Caption"/>
      </w:pPr>
      <w:r>
        <w:t xml:space="preserve">Figure </w:t>
      </w:r>
      <w:fldSimple w:instr=" SEQ Figure \* ARABIC ">
        <w:r w:rsidR="000C1711">
          <w:rPr>
            <w:noProof/>
          </w:rPr>
          <w:t>2</w:t>
        </w:r>
      </w:fldSimple>
      <w:r>
        <w:t>: Right-hand rule, indicating the direction of force acting on a positive charge carrier.</w:t>
      </w:r>
    </w:p>
    <w:p w14:paraId="15681DD4" w14:textId="1D299DCA" w:rsidR="006318C5" w:rsidRDefault="006318C5" w:rsidP="001F20EE">
      <w:r>
        <w:t xml:space="preserve">The force is calculated as the cross product of the </w:t>
      </w:r>
      <w:r w:rsidR="00F577D5">
        <w:t>hall voltage (V)</w:t>
      </w:r>
      <w:r>
        <w:t xml:space="preserve"> and current </w:t>
      </w:r>
      <w:r w:rsidR="00F577D5">
        <w:t>(I)</w:t>
      </w:r>
      <w:r>
        <w:t>.</w:t>
      </w:r>
    </w:p>
    <w:p w14:paraId="03A0655A" w14:textId="46FA1D29" w:rsidR="006318C5" w:rsidRPr="00AE72E9" w:rsidRDefault="006318C5" w:rsidP="001F20EE">
      <w:pPr>
        <w:rPr>
          <w:rFonts w:eastAsiaTheme="minorEastAsia"/>
        </w:rPr>
      </w:pPr>
      <m:oMathPara>
        <m:oMath>
          <m:r>
            <w:rPr>
              <w:rFonts w:ascii="Cambria Math" w:hAnsi="Cambria Math"/>
            </w:rPr>
            <w:lastRenderedPageBreak/>
            <m:t xml:space="preserve">F=V </m:t>
          </m:r>
          <m:r>
            <m:rPr>
              <m:sty m:val="p"/>
            </m:rPr>
            <w:rPr>
              <w:rFonts w:ascii="Cambria Math" w:hAnsi="Cambria Math"/>
            </w:rPr>
            <m:t xml:space="preserve">x </m:t>
          </m:r>
          <m:r>
            <w:rPr>
              <w:rFonts w:ascii="Cambria Math" w:hAnsi="Cambria Math"/>
            </w:rPr>
            <m:t>B</m:t>
          </m:r>
        </m:oMath>
      </m:oMathPara>
    </w:p>
    <w:p w14:paraId="00FD7483" w14:textId="46BE1248" w:rsidR="00AE72E9" w:rsidRPr="00F577D5" w:rsidRDefault="00AE72E9" w:rsidP="001F20EE">
      <w:pPr>
        <w:rPr>
          <w:rFonts w:eastAsiaTheme="minorEastAsia"/>
        </w:rPr>
      </w:pPr>
      <m:oMathPara>
        <m:oMathParaPr>
          <m:jc m:val="left"/>
        </m:oMathParaPr>
        <m:oMath>
          <m:r>
            <w:rPr>
              <w:rFonts w:ascii="Cambria Math" w:hAnsi="Cambria Math"/>
            </w:rPr>
            <m:t>Where F, V and B are all vectors.</m:t>
          </m:r>
        </m:oMath>
      </m:oMathPara>
    </w:p>
    <w:p w14:paraId="38298DC5" w14:textId="5D38BBD0" w:rsidR="00F577D5" w:rsidRDefault="00F577D5" w:rsidP="001F20EE">
      <w:pPr>
        <w:rPr>
          <w:rFonts w:eastAsiaTheme="minorEastAsia"/>
        </w:rPr>
      </w:pPr>
      <w:r>
        <w:rPr>
          <w:rFonts w:eastAsiaTheme="minorEastAsia"/>
        </w:rPr>
        <w:t xml:space="preserve">The Hall voltage (V) is related to the magnetic field (B), current (I), charge (q), carrier density (p) and sample conductor thickness (t) by: </w:t>
      </w:r>
    </w:p>
    <w:p w14:paraId="648A03D6" w14:textId="77777777" w:rsidR="00D51C70" w:rsidRDefault="00D51C70" w:rsidP="001F20EE">
      <w:pPr>
        <w:rPr>
          <w:rFonts w:eastAsiaTheme="minorEastAsia"/>
        </w:rPr>
      </w:pPr>
    </w:p>
    <w:p w14:paraId="272E5407" w14:textId="375A61D7" w:rsidR="00AA6DB8" w:rsidRPr="00AA6DB8" w:rsidRDefault="000C1711" w:rsidP="00D51C70">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V=</m:t>
          </m:r>
          <m:f>
            <m:fPr>
              <m:ctrlPr>
                <w:rPr>
                  <w:rFonts w:ascii="Cambria Math" w:eastAsiaTheme="minorEastAsia" w:hAnsi="Cambria Math"/>
                  <w:i/>
                </w:rPr>
              </m:ctrlPr>
            </m:fPr>
            <m:num>
              <m:r>
                <w:rPr>
                  <w:rFonts w:ascii="Cambria Math" w:eastAsiaTheme="minorEastAsia" w:hAnsi="Cambria Math"/>
                </w:rPr>
                <m:t>BI</m:t>
              </m:r>
            </m:num>
            <m:den>
              <m:r>
                <w:rPr>
                  <w:rFonts w:ascii="Cambria Math" w:eastAsiaTheme="minorEastAsia" w:hAnsi="Cambria Math"/>
                </w:rPr>
                <m:t>pqt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num>
            <m:den>
              <m:r>
                <w:rPr>
                  <w:rFonts w:ascii="Cambria Math" w:eastAsiaTheme="minorEastAsia" w:hAnsi="Cambria Math"/>
                </w:rPr>
                <m:t>t</m:t>
              </m:r>
            </m:den>
          </m:f>
        </m:oMath>
      </m:oMathPara>
    </w:p>
    <w:p w14:paraId="3817B239" w14:textId="77777777" w:rsidR="00D51C70" w:rsidRPr="00D51C70" w:rsidRDefault="00D51C70" w:rsidP="00D51C70">
      <w:pPr>
        <w:rPr>
          <w:rFonts w:eastAsiaTheme="minorEastAsia"/>
        </w:rPr>
      </w:pPr>
    </w:p>
    <w:p w14:paraId="24E100B4" w14:textId="77777777" w:rsidR="00AA6DB8" w:rsidRDefault="00AA6DB8" w:rsidP="001F20EE">
      <w:r>
        <w:t xml:space="preserve">If the charges in Figure 1 are positive and the current direction is taken as positive, then </w:t>
      </w:r>
      <m:oMath>
        <m:r>
          <w:rPr>
            <w:rFonts w:ascii="Cambria Math" w:hAnsi="Cambria Math"/>
          </w:rPr>
          <m:t>F = V x B.</m:t>
        </m:r>
      </m:oMath>
      <w:r w:rsidR="00D7176C">
        <w:t xml:space="preserve"> If the charges were </w:t>
      </w:r>
      <w:r>
        <w:t>negative the current direction would be opposite but so would the sign on the charge therefore,</w:t>
      </w:r>
    </w:p>
    <w:p w14:paraId="6E442CC2" w14:textId="1A56EECF" w:rsidR="00AA6DB8" w:rsidRPr="00AA6DB8" w:rsidRDefault="00AA6DB8" w:rsidP="00AA6DB8">
      <w:pPr>
        <w:jc w:val="center"/>
        <w:rPr>
          <w:rFonts w:eastAsiaTheme="minorEastAsia"/>
        </w:rPr>
      </w:pPr>
      <m:oMathPara>
        <m:oMath>
          <m:r>
            <w:rPr>
              <w:rFonts w:ascii="Cambria Math" w:hAnsi="Cambria Math"/>
            </w:rPr>
            <m:t xml:space="preserve">V =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num>
            <m:den>
              <m:r>
                <w:rPr>
                  <w:rFonts w:ascii="Cambria Math" w:hAnsi="Cambria Math"/>
                </w:rPr>
                <m:t>p</m:t>
              </m:r>
              <m:d>
                <m:dPr>
                  <m:ctrlPr>
                    <w:rPr>
                      <w:rFonts w:ascii="Cambria Math" w:hAnsi="Cambria Math"/>
                      <w:i/>
                    </w:rPr>
                  </m:ctrlPr>
                </m:dPr>
                <m:e>
                  <m:r>
                    <w:rPr>
                      <w:rFonts w:ascii="Cambria Math" w:hAnsi="Cambria Math"/>
                    </w:rPr>
                    <m:t>-q</m:t>
                  </m:r>
                </m:e>
              </m:d>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BI</m:t>
              </m:r>
            </m:num>
            <m:den>
              <m:r>
                <w:rPr>
                  <w:rFonts w:ascii="Cambria Math" w:hAnsi="Cambria Math"/>
                </w:rPr>
                <m:t>pqt</m:t>
              </m:r>
            </m:den>
          </m:f>
        </m:oMath>
      </m:oMathPara>
    </w:p>
    <w:p w14:paraId="141443A8" w14:textId="77777777" w:rsidR="00AA6DB8" w:rsidRDefault="00AA6DB8" w:rsidP="00AA6DB8">
      <w:pPr>
        <w:jc w:val="center"/>
        <w:rPr>
          <w:rFonts w:eastAsiaTheme="minorEastAsia"/>
        </w:rPr>
      </w:pPr>
    </w:p>
    <w:p w14:paraId="3B6AD9A3" w14:textId="6091EBE1" w:rsidR="00AA6DB8" w:rsidRDefault="00AA6DB8" w:rsidP="001F20EE">
      <w:pPr>
        <w:rPr>
          <w:rFonts w:eastAsiaTheme="minorEastAsia"/>
        </w:rPr>
      </w:pPr>
      <w:r>
        <w:rPr>
          <w:rFonts w:eastAsiaTheme="minorEastAsia"/>
        </w:rPr>
        <w:t>and hence</w:t>
      </w:r>
      <m:oMath>
        <m:r>
          <w:rPr>
            <w:rFonts w:ascii="Cambria Math" w:eastAsiaTheme="minorEastAsia" w:hAnsi="Cambria Math"/>
          </w:rPr>
          <m:t xml:space="preserve"> F = V x B</m:t>
        </m:r>
      </m:oMath>
      <w:r>
        <w:rPr>
          <w:rFonts w:eastAsiaTheme="minorEastAsia"/>
        </w:rPr>
        <w:t xml:space="preserve">. That is to say if the moving charge is positive or negative it doesn’t matter, they will be deflected in the same direction with the same force </w:t>
      </w:r>
      <w:sdt>
        <w:sdtPr>
          <w:rPr>
            <w:rFonts w:eastAsiaTheme="minorEastAsia"/>
          </w:rPr>
          <w:id w:val="-1774088705"/>
          <w:citation/>
        </w:sdtPr>
        <w:sdtContent>
          <w:r>
            <w:rPr>
              <w:rFonts w:eastAsiaTheme="minorEastAsia"/>
            </w:rPr>
            <w:fldChar w:fldCharType="begin"/>
          </w:r>
          <w:r>
            <w:rPr>
              <w:rFonts w:eastAsiaTheme="minorEastAsia"/>
              <w:lang w:val="en-US"/>
            </w:rPr>
            <w:instrText xml:space="preserve"> CITATION Phy06 \l 1033 </w:instrText>
          </w:r>
          <w:r>
            <w:rPr>
              <w:rFonts w:eastAsiaTheme="minorEastAsia"/>
            </w:rPr>
            <w:fldChar w:fldCharType="separate"/>
          </w:r>
          <w:r w:rsidR="00F353C5" w:rsidRPr="00F353C5">
            <w:rPr>
              <w:rFonts w:eastAsiaTheme="minorEastAsia"/>
              <w:noProof/>
              <w:lang w:val="en-US"/>
            </w:rPr>
            <w:t>[1]</w:t>
          </w:r>
          <w:r>
            <w:rPr>
              <w:rFonts w:eastAsiaTheme="minorEastAsia"/>
            </w:rPr>
            <w:fldChar w:fldCharType="end"/>
          </w:r>
        </w:sdtContent>
      </w:sdt>
      <w:r>
        <w:rPr>
          <w:rFonts w:eastAsiaTheme="minorEastAsia"/>
        </w:rPr>
        <w:t xml:space="preserve">. </w:t>
      </w:r>
    </w:p>
    <w:p w14:paraId="66FFCFFA" w14:textId="0C07F942" w:rsidR="00AA6DB8" w:rsidRPr="00AA6DB8" w:rsidRDefault="00AA6DB8" w:rsidP="001F20EE">
      <w:pPr>
        <w:rPr>
          <w:rFonts w:eastAsiaTheme="minorEastAsia"/>
        </w:rPr>
      </w:pPr>
      <w:r>
        <w:t xml:space="preserve">If the magnitude of the magnetic field is increased the hall voltage will either increase or decrease relative to the initial reading. Knowing that positive charges (holes) and negative charges (electrons) must be accumulating at the same terminal the majority charge carrier of the material can be determined. </w:t>
      </w:r>
    </w:p>
    <w:p w14:paraId="7E2B31B3" w14:textId="1828562C" w:rsidR="001F20EE" w:rsidRDefault="00F373A1" w:rsidP="001F20EE">
      <w:r>
        <w:t>Say that things are oriented as in Figure 3</w:t>
      </w:r>
      <w:r w:rsidR="00753983">
        <w:t xml:space="preserve"> and the current direction is describing positive charges</w:t>
      </w:r>
      <w:r>
        <w:t>.</w:t>
      </w:r>
      <w:r w:rsidR="00753983">
        <w:t xml:space="preserve"> Assume also that as magnetic field is increased the hall voltage decreases. This implies that the majority carrier is negative charges accruing at the positive terminal OR the majority carrier is positive charges</w:t>
      </w:r>
      <w:r>
        <w:t xml:space="preserve"> </w:t>
      </w:r>
      <w:r w:rsidR="00753983">
        <w:t xml:space="preserve">accruing at the negative terminal. </w:t>
      </w:r>
    </w:p>
    <w:p w14:paraId="248C903A" w14:textId="77777777" w:rsidR="00F373A1" w:rsidRDefault="00F373A1" w:rsidP="00F373A1">
      <w:pPr>
        <w:keepNext/>
      </w:pPr>
      <w:r>
        <w:rPr>
          <w:noProof/>
        </w:rPr>
        <w:drawing>
          <wp:inline distT="0" distB="0" distL="0" distR="0" wp14:anchorId="6B3848C1" wp14:editId="3D92A886">
            <wp:extent cx="3078524" cy="2508250"/>
            <wp:effectExtent l="19050" t="19050" r="2667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ing out carrier ty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1320" cy="2526823"/>
                    </a:xfrm>
                    <a:prstGeom prst="rect">
                      <a:avLst/>
                    </a:prstGeom>
                    <a:ln>
                      <a:solidFill>
                        <a:schemeClr val="tx1"/>
                      </a:solidFill>
                    </a:ln>
                  </pic:spPr>
                </pic:pic>
              </a:graphicData>
            </a:graphic>
          </wp:inline>
        </w:drawing>
      </w:r>
    </w:p>
    <w:p w14:paraId="27706071" w14:textId="6B8F1B15" w:rsidR="00F373A1" w:rsidRDefault="00F373A1" w:rsidP="00F373A1">
      <w:pPr>
        <w:pStyle w:val="Caption"/>
      </w:pPr>
      <w:r>
        <w:t xml:space="preserve">Figure </w:t>
      </w:r>
      <w:fldSimple w:instr=" SEQ Figure \* ARABIC ">
        <w:r w:rsidR="000C1711">
          <w:rPr>
            <w:noProof/>
          </w:rPr>
          <w:t>3</w:t>
        </w:r>
      </w:fldSimple>
      <w:r>
        <w:t>: Conducting material experiencing hall effect due to current and magnetic field.</w:t>
      </w:r>
    </w:p>
    <w:p w14:paraId="13D6F576" w14:textId="46B3A9BF" w:rsidR="004804C8" w:rsidRDefault="00AA303E" w:rsidP="00040E94">
      <w:r>
        <w:lastRenderedPageBreak/>
        <w:t>Applying the right-hand-rule</w:t>
      </w:r>
      <w:r w:rsidR="00753983">
        <w:t xml:space="preserve"> (and </w:t>
      </w:r>
      <w:r w:rsidR="00E713CA">
        <w:t>left-hand</w:t>
      </w:r>
      <w:r w:rsidR="00753983">
        <w:t xml:space="preserve"> rule)</w:t>
      </w:r>
      <w:r>
        <w:t xml:space="preserve"> to </w:t>
      </w:r>
      <w:r w:rsidR="00753983">
        <w:t>F</w:t>
      </w:r>
      <w:r>
        <w:t>igure 3</w:t>
      </w:r>
      <w:r w:rsidR="00E713CA">
        <w:t xml:space="preserve"> indicates that</w:t>
      </w:r>
      <w:r w:rsidR="00753983">
        <w:t xml:space="preserve"> both positive and negative charges are accumulating at the negative terminal. As the voltage is decreasing with increased magnetic field strength then the majority charge carrier must be positive holes. </w:t>
      </w:r>
    </w:p>
    <w:p w14:paraId="0A904A8C" w14:textId="77777777" w:rsidR="004804C8" w:rsidRDefault="004804C8" w:rsidP="00040E94"/>
    <w:p w14:paraId="7063B147" w14:textId="77777777" w:rsidR="002D264E" w:rsidRPr="002D264E" w:rsidRDefault="00A46D24" w:rsidP="00040E94">
      <w:pPr>
        <w:rPr>
          <w:rFonts w:eastAsiaTheme="minorEastAsia"/>
        </w:rPr>
      </w:pPr>
      <w:r>
        <w:t xml:space="preserve">Furthermore, the </w:t>
      </w:r>
      <w:r>
        <w:rPr>
          <w:i/>
        </w:rPr>
        <w:t xml:space="preserve">carrier density </w:t>
      </w:r>
      <w:r w:rsidR="002D264E">
        <w:t>may be calculated, knowing the hall coefficient of the material (See Equation 1 – R</w:t>
      </w:r>
      <w:r w:rsidR="002D264E">
        <w:rPr>
          <w:vertAlign w:val="subscript"/>
        </w:rPr>
        <w:t>H</w:t>
      </w:r>
      <w:r w:rsidR="002D264E">
        <w:t>), by:</w:t>
      </w:r>
      <w:r w:rsidR="002D264E">
        <w:br/>
      </w:r>
      <w:r w:rsidR="002D264E">
        <w:br/>
      </w:r>
      <m:oMathPara>
        <m:oMathParaPr>
          <m:jc m:val="left"/>
        </m:oMathParaPr>
        <m:oMath>
          <m:d>
            <m:dPr>
              <m:ctrlPr>
                <w:rPr>
                  <w:rFonts w:ascii="Cambria Math" w:hAnsi="Cambria Math"/>
                  <w:i/>
                </w:rPr>
              </m:ctrlPr>
            </m:dPr>
            <m:e>
              <m:r>
                <w:rPr>
                  <w:rFonts w:ascii="Cambria Math" w:hAnsi="Cambria Math"/>
                </w:rPr>
                <m:t>2</m:t>
              </m:r>
            </m:e>
          </m:d>
          <m:r>
            <w:rPr>
              <w:rFonts w:ascii="Cambria Math" w:hAnsi="Cambria Math"/>
            </w:rPr>
            <m:t xml:space="preserve">                                                                       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q</m:t>
              </m:r>
            </m:den>
          </m:f>
        </m:oMath>
      </m:oMathPara>
    </w:p>
    <w:p w14:paraId="4E5D8AED" w14:textId="77777777" w:rsidR="002839C2" w:rsidRPr="002839C2" w:rsidRDefault="002D264E" w:rsidP="00040E94">
      <w:pPr>
        <w:rPr>
          <w:rFonts w:eastAsiaTheme="minorEastAsia"/>
        </w:rPr>
      </w:pPr>
      <w:r>
        <w:t xml:space="preserve"> </w:t>
      </w:r>
      <w:r>
        <w:br/>
      </w:r>
      <m:oMathPara>
        <m:oMathParaPr>
          <m:jc m:val="left"/>
        </m:oMathParaPr>
        <m:oMath>
          <m:r>
            <w:rPr>
              <w:rFonts w:ascii="Cambria Math" w:eastAsiaTheme="minorEastAsia" w:hAnsi="Cambria Math"/>
            </w:rPr>
            <m:t xml:space="preserve">Where density is n, hall coeffienct is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 xml:space="preserve"> and carrier charge is q. </m:t>
          </m:r>
        </m:oMath>
      </m:oMathPara>
    </w:p>
    <w:p w14:paraId="270A0881" w14:textId="50685A50" w:rsidR="004804C8" w:rsidRPr="002D264E" w:rsidRDefault="002839C2" w:rsidP="00040E94">
      <w:pPr>
        <w:rPr>
          <w:rFonts w:eastAsiaTheme="minorEastAsia"/>
        </w:rPr>
      </w:pPr>
      <m:oMath>
        <m:r>
          <w:rPr>
            <w:rFonts w:ascii="Cambria Math" w:eastAsiaTheme="minorEastAsia" w:hAnsi="Cambria Math"/>
          </w:rPr>
          <m:t>NB:Charge will be negative for an n-type material.</m:t>
        </m:r>
      </m:oMath>
      <w:r w:rsidRPr="002D264E">
        <w:rPr>
          <w:rFonts w:eastAsiaTheme="minorEastAsia"/>
        </w:rPr>
        <w:t xml:space="preserve"> </w:t>
      </w:r>
    </w:p>
    <w:p w14:paraId="6DE180C4" w14:textId="75A77418" w:rsidR="002D264E" w:rsidRDefault="002D264E" w:rsidP="00040E94"/>
    <w:p w14:paraId="59DB415D" w14:textId="7899FABB" w:rsidR="002839C2" w:rsidRDefault="002839C2" w:rsidP="00040E94">
      <w:r>
        <w:t>The mobility of the charge carrier (</w:t>
      </w:r>
      <w:r>
        <w:rPr>
          <w:rFonts w:cstheme="minorHAnsi"/>
        </w:rPr>
        <w:t>μ</w:t>
      </w:r>
      <w:r>
        <w:t>)</w:t>
      </w:r>
      <w:r>
        <w:rPr>
          <w:rFonts w:cstheme="minorHAnsi"/>
        </w:rPr>
        <w:t xml:space="preserve"> </w:t>
      </w:r>
      <w:r>
        <w:t>may be determined, knowing the conductivity of the material (</w:t>
      </w:r>
      <w:r>
        <w:rPr>
          <w:rFonts w:cstheme="minorHAnsi"/>
        </w:rPr>
        <w:t>σ)</w:t>
      </w:r>
      <w:r>
        <w:t xml:space="preserve">, its carrier density (n) and charge (q). </w:t>
      </w:r>
    </w:p>
    <w:p w14:paraId="5B6B9F90" w14:textId="77777777" w:rsidR="002839C2" w:rsidRDefault="002839C2" w:rsidP="00040E94"/>
    <w:p w14:paraId="463FC5E3" w14:textId="77777777" w:rsidR="002839C2" w:rsidRPr="002839C2" w:rsidRDefault="000C1711" w:rsidP="00040E94">
      <w:pPr>
        <w:rPr>
          <w:rFonts w:eastAsiaTheme="minorEastAsia"/>
        </w:rPr>
      </w:pPr>
      <m:oMathPara>
        <m:oMathParaPr>
          <m:jc m:val="left"/>
        </m:oMathParaPr>
        <m:oMath>
          <m:d>
            <m:dPr>
              <m:ctrlPr>
                <w:rPr>
                  <w:rFonts w:ascii="Cambria Math" w:hAnsi="Cambria Math"/>
                  <w:i/>
                </w:rPr>
              </m:ctrlPr>
            </m:dPr>
            <m:e>
              <m:r>
                <w:rPr>
                  <w:rFonts w:ascii="Cambria Math" w:hAnsi="Cambria Math"/>
                </w:rPr>
                <m:t>3</m:t>
              </m:r>
            </m:e>
          </m:d>
          <m:r>
            <w:rPr>
              <w:rFonts w:ascii="Cambria Math" w:hAnsi="Cambria Math"/>
            </w:rPr>
            <m:t xml:space="preserve">                                                                       μ=</m:t>
          </m:r>
          <m:f>
            <m:fPr>
              <m:ctrlPr>
                <w:rPr>
                  <w:rFonts w:ascii="Cambria Math" w:hAnsi="Cambria Math" w:cstheme="minorHAnsi"/>
                </w:rPr>
              </m:ctrlPr>
            </m:fPr>
            <m:num>
              <m:r>
                <m:rPr>
                  <m:sty m:val="p"/>
                </m:rPr>
                <w:rPr>
                  <w:rFonts w:ascii="Cambria Math" w:hAnsi="Cambria Math" w:cstheme="minorHAnsi"/>
                </w:rPr>
                <m:t>σ</m:t>
              </m:r>
              <m:ctrlPr>
                <w:rPr>
                  <w:rFonts w:ascii="Cambria Math" w:hAnsi="Cambria Math"/>
                  <w:i/>
                </w:rPr>
              </m:ctrlPr>
            </m:num>
            <m:den>
              <m:r>
                <m:rPr>
                  <m:sty m:val="p"/>
                </m:rPr>
                <w:rPr>
                  <w:rFonts w:ascii="Cambria Math" w:hAnsi="Cambria Math" w:cstheme="minorHAnsi"/>
                </w:rPr>
                <m:t>nq</m:t>
              </m:r>
            </m:den>
          </m:f>
        </m:oMath>
      </m:oMathPara>
    </w:p>
    <w:p w14:paraId="341DC04B" w14:textId="6BF7B483" w:rsidR="002839C2" w:rsidRDefault="002839C2" w:rsidP="00040E94">
      <w:r>
        <w:t xml:space="preserve"> </w:t>
      </w:r>
    </w:p>
    <w:p w14:paraId="18D4EABF" w14:textId="77777777" w:rsidR="002839C2" w:rsidRPr="002839C2" w:rsidRDefault="002839C2" w:rsidP="00040E94">
      <w:pPr>
        <w:rPr>
          <w:rFonts w:eastAsiaTheme="minorEastAsia"/>
        </w:rPr>
      </w:pPr>
    </w:p>
    <w:p w14:paraId="4116445A" w14:textId="77777777" w:rsidR="004804C8" w:rsidRDefault="004804C8" w:rsidP="00040E94"/>
    <w:p w14:paraId="69387732" w14:textId="615C0CEA" w:rsidR="00647EAE" w:rsidRDefault="00957FFC" w:rsidP="00147656">
      <w:pPr>
        <w:pStyle w:val="Heading1"/>
      </w:pPr>
      <w:r>
        <w:br w:type="page"/>
      </w:r>
      <w:bookmarkStart w:id="3" w:name="_Toc514859566"/>
      <w:r w:rsidR="00A92FA5">
        <w:lastRenderedPageBreak/>
        <w:t>Procedure</w:t>
      </w:r>
      <w:bookmarkEnd w:id="3"/>
    </w:p>
    <w:p w14:paraId="779810E7" w14:textId="1D11C69A" w:rsidR="003C6F44" w:rsidRDefault="00F7625E" w:rsidP="00647EAE">
      <w:r>
        <w:t>The magnetic field strength of an electromagnet was recorded at increments of 0.25 A from 0 to 4A using a Gauss Probe. A</w:t>
      </w:r>
      <w:r w:rsidR="002839C2">
        <w:t xml:space="preserve"> conductive sample was placed between </w:t>
      </w:r>
      <w:r w:rsidR="00EA3803">
        <w:t xml:space="preserve">the poles of </w:t>
      </w:r>
      <w:r>
        <w:t xml:space="preserve">the </w:t>
      </w:r>
      <w:r w:rsidR="00EA3803">
        <w:t>calibrated</w:t>
      </w:r>
      <w:r>
        <w:t xml:space="preserve"> </w:t>
      </w:r>
      <w:r w:rsidR="00EA3803">
        <w:t>electromagnet.</w:t>
      </w:r>
      <w:r>
        <w:t xml:space="preserve"> </w:t>
      </w:r>
      <w:r w:rsidR="00EA3803">
        <w:t xml:space="preserve">A current of 5mA was passed through the sample perpendicular to the magnetic field and the terminals of a voltmeter that contacted the sample (See Figure </w:t>
      </w:r>
      <w:r w:rsidR="003C6F44">
        <w:t>3</w:t>
      </w:r>
      <w:r w:rsidR="00EA3803">
        <w:t>).</w:t>
      </w:r>
      <w:r w:rsidR="003C6F44">
        <w:t xml:space="preserve"> </w:t>
      </w:r>
    </w:p>
    <w:p w14:paraId="5257B522" w14:textId="0D78CCEC" w:rsidR="00F7625E" w:rsidRPr="007931DA" w:rsidRDefault="00F7625E" w:rsidP="00647EAE">
      <w:pPr>
        <w:rPr>
          <w:rFonts w:eastAsiaTheme="minorEastAsia"/>
        </w:rPr>
      </w:pPr>
      <w:r>
        <w:t>The strength of the magnetic field experienced by the sample was varied by increasing the current through the electromagnet at increments of 0.25A. The voltage was recorded across the sample for each current through the electromagnet and its associated magnetic field strength in Tesla. The magnetic field direction was reversed the process repeated to account for electromagnet misalignment. The offset voltage for each magnetic field strength was calculated using the following formula:</w:t>
      </w:r>
      <w:r>
        <w:br/>
      </w:r>
      <w:r>
        <w:br/>
      </w:r>
      <m:oMathPara>
        <m:oMathParaPr>
          <m:jc m:val="left"/>
        </m:oMathParaPr>
        <m:oMath>
          <m:d>
            <m:dPr>
              <m:ctrlPr>
                <w:rPr>
                  <w:rFonts w:ascii="Cambria Math" w:hAnsi="Cambria Math"/>
                  <w:i/>
                </w:rPr>
              </m:ctrlPr>
            </m:dPr>
            <m:e>
              <m:r>
                <w:rPr>
                  <w:rFonts w:ascii="Cambria Math" w:hAnsi="Cambria Math"/>
                </w:rPr>
                <m:t>4</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offset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H2</m:t>
                  </m:r>
                </m:sub>
              </m:sSub>
            </m:e>
          </m:d>
        </m:oMath>
      </m:oMathPara>
    </w:p>
    <w:p w14:paraId="6E5A38AC" w14:textId="163D0E81" w:rsidR="007931DA" w:rsidRDefault="007931DA" w:rsidP="00647EAE"/>
    <w:p w14:paraId="3F62339E" w14:textId="47D31FA1" w:rsidR="007931DA" w:rsidRDefault="007931DA" w:rsidP="00647EAE">
      <w:r>
        <w:t>The apparatus was as shown in Figure 4.</w:t>
      </w:r>
    </w:p>
    <w:p w14:paraId="4B0E04A4" w14:textId="77777777" w:rsidR="004D34C3" w:rsidRDefault="004D34C3" w:rsidP="004D34C3">
      <w:pPr>
        <w:keepNext/>
      </w:pPr>
      <w:r>
        <w:rPr>
          <w:noProof/>
        </w:rPr>
        <w:drawing>
          <wp:inline distT="0" distB="0" distL="0" distR="0" wp14:anchorId="363BC119" wp14:editId="0A1CC9B5">
            <wp:extent cx="5816600" cy="2698750"/>
            <wp:effectExtent l="19050" t="19050" r="127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l effect apparatus.png"/>
                    <pic:cNvPicPr/>
                  </pic:nvPicPr>
                  <pic:blipFill rotWithShape="1">
                    <a:blip r:embed="rId14" cstate="print">
                      <a:extLst>
                        <a:ext uri="{28A0092B-C50C-407E-A947-70E740481C1C}">
                          <a14:useLocalDpi xmlns:a14="http://schemas.microsoft.com/office/drawing/2010/main" val="0"/>
                        </a:ext>
                      </a:extLst>
                    </a:blip>
                    <a:srcRect r="22628"/>
                    <a:stretch/>
                  </pic:blipFill>
                  <pic:spPr bwMode="auto">
                    <a:xfrm>
                      <a:off x="0" y="0"/>
                      <a:ext cx="5829040" cy="27045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B667B46" w14:textId="5A727133" w:rsidR="007931DA" w:rsidRDefault="004D34C3" w:rsidP="004D34C3">
      <w:pPr>
        <w:pStyle w:val="Caption"/>
      </w:pPr>
      <w:r>
        <w:t xml:space="preserve">Figure </w:t>
      </w:r>
      <w:fldSimple w:instr=" SEQ Figure \* ARABIC ">
        <w:r w:rsidR="000C1711">
          <w:rPr>
            <w:noProof/>
          </w:rPr>
          <w:t>4</w:t>
        </w:r>
      </w:fldSimple>
      <w:r>
        <w:t>: Semiconducting sample placing between electromagnetic poles having current passed through it to induce a hall voltage.</w:t>
      </w:r>
    </w:p>
    <w:p w14:paraId="765B4FFE" w14:textId="02FA6587" w:rsidR="004D34C3" w:rsidRPr="004D34C3" w:rsidRDefault="00E94BBF" w:rsidP="004D34C3">
      <w:r>
        <w:t xml:space="preserve">Two </w:t>
      </w:r>
      <w:r w:rsidR="004D34C3">
        <w:t xml:space="preserve">samples were </w:t>
      </w:r>
      <w:r>
        <w:t xml:space="preserve">tested and </w:t>
      </w:r>
      <w:r w:rsidR="004D34C3">
        <w:t>both germanium.</w:t>
      </w:r>
      <w:r w:rsidR="002C2879">
        <w:t xml:space="preserve"> The plot of the offset voltage vs the magnetic field was used to calculate the Hall Coefficient (see Equation 1) and hence carrier density (See Equation 2) and carrier mobility (see Equation 3</w:t>
      </w:r>
      <w:r w:rsidR="0077139C">
        <w:t>).</w:t>
      </w:r>
      <w:r w:rsidR="002C2879">
        <w:t xml:space="preserve"> </w:t>
      </w:r>
    </w:p>
    <w:p w14:paraId="55B3E8C7" w14:textId="77777777" w:rsidR="00263BB9" w:rsidRDefault="00263BB9" w:rsidP="00263BB9"/>
    <w:p w14:paraId="04C30118" w14:textId="77777777" w:rsidR="00263BB9" w:rsidRDefault="00263BB9" w:rsidP="00263BB9"/>
    <w:p w14:paraId="5CFEB388" w14:textId="77777777" w:rsidR="00263BB9" w:rsidRDefault="00263BB9">
      <w:r>
        <w:br w:type="page"/>
      </w:r>
    </w:p>
    <w:p w14:paraId="1D2F1EAE" w14:textId="57FB4123" w:rsidR="00997508" w:rsidRDefault="00A92FA5" w:rsidP="00D24851">
      <w:pPr>
        <w:pStyle w:val="Heading1"/>
      </w:pPr>
      <w:bookmarkStart w:id="4" w:name="_Toc514859567"/>
      <w:r>
        <w:lastRenderedPageBreak/>
        <w:t>Results</w:t>
      </w:r>
      <w:bookmarkEnd w:id="4"/>
    </w:p>
    <w:p w14:paraId="255D223E" w14:textId="7FC85ABA" w:rsidR="006A19F7" w:rsidRDefault="006A19F7" w:rsidP="006A19F7"/>
    <w:p w14:paraId="50BE3089" w14:textId="77777777" w:rsidR="00017D6D" w:rsidRDefault="00017D6D" w:rsidP="00017D6D">
      <w:pPr>
        <w:keepNext/>
      </w:pPr>
      <w:r>
        <w:rPr>
          <w:noProof/>
        </w:rPr>
        <w:drawing>
          <wp:inline distT="0" distB="0" distL="0" distR="0" wp14:anchorId="5F39F7D4" wp14:editId="7B7FE605">
            <wp:extent cx="5731510" cy="3187065"/>
            <wp:effectExtent l="0" t="0" r="2540" b="13335"/>
            <wp:docPr id="9" name="Chart 9">
              <a:extLst xmlns:a="http://schemas.openxmlformats.org/drawingml/2006/main">
                <a:ext uri="{FF2B5EF4-FFF2-40B4-BE49-F238E27FC236}">
                  <a16:creationId xmlns:a16="http://schemas.microsoft.com/office/drawing/2014/main" id="{94C6EF6D-522E-4F46-BECC-46A9730E59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58C6AC" w14:textId="6AA81B8D" w:rsidR="00017D6D" w:rsidRDefault="00017D6D" w:rsidP="00017D6D">
      <w:pPr>
        <w:pStyle w:val="Caption"/>
      </w:pPr>
      <w:r>
        <w:t xml:space="preserve">Figure </w:t>
      </w:r>
      <w:fldSimple w:instr=" SEQ Figure \* ARABIC ">
        <w:r w:rsidR="000C1711">
          <w:rPr>
            <w:noProof/>
          </w:rPr>
          <w:t>5</w:t>
        </w:r>
      </w:fldSimple>
      <w:r>
        <w:t>: Plot of magnetic field against offset hall voltage for germanium sample 3361</w:t>
      </w:r>
      <w:r w:rsidR="00FB6586">
        <w:t xml:space="preserve"> placed in an electromagnet </w:t>
      </w:r>
      <w:r w:rsidR="000C64D4">
        <w:t xml:space="preserve">and </w:t>
      </w:r>
      <w:r w:rsidR="00FB6586">
        <w:t>experiencing a current.</w:t>
      </w:r>
    </w:p>
    <w:p w14:paraId="167A58D9" w14:textId="77777777" w:rsidR="000C64D4" w:rsidRDefault="000C64D4" w:rsidP="000C64D4">
      <w:pPr>
        <w:keepNext/>
      </w:pPr>
      <w:r>
        <w:rPr>
          <w:noProof/>
        </w:rPr>
        <w:drawing>
          <wp:inline distT="0" distB="0" distL="0" distR="0" wp14:anchorId="0B4790FC" wp14:editId="04E3BA92">
            <wp:extent cx="5731510" cy="3152140"/>
            <wp:effectExtent l="0" t="0" r="2540" b="10160"/>
            <wp:docPr id="10" name="Chart 10">
              <a:extLst xmlns:a="http://schemas.openxmlformats.org/drawingml/2006/main">
                <a:ext uri="{FF2B5EF4-FFF2-40B4-BE49-F238E27FC236}">
                  <a16:creationId xmlns:a16="http://schemas.microsoft.com/office/drawing/2014/main" id="{EE02085B-7408-4BE4-AD08-8AB41492DF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2DF618" w14:textId="49E99F5A" w:rsidR="00FB6586" w:rsidRPr="00FB6586" w:rsidRDefault="000C64D4" w:rsidP="000C64D4">
      <w:pPr>
        <w:pStyle w:val="Caption"/>
      </w:pPr>
      <w:r>
        <w:t xml:space="preserve">Figure </w:t>
      </w:r>
      <w:fldSimple w:instr=" SEQ Figure \* ARABIC ">
        <w:r w:rsidR="000C1711">
          <w:rPr>
            <w:noProof/>
          </w:rPr>
          <w:t>6</w:t>
        </w:r>
      </w:fldSimple>
      <w:r>
        <w:t>: Plot of magnetic field against offset hall voltage for germanium sample 3375 placed in an electromagnet and experiencing a current.</w:t>
      </w:r>
    </w:p>
    <w:p w14:paraId="444DA002" w14:textId="4DF1CFD0" w:rsidR="00690C17" w:rsidRDefault="00690C17" w:rsidP="006A19F7">
      <w:r>
        <w:t xml:space="preserve"> </w:t>
      </w:r>
    </w:p>
    <w:p w14:paraId="678DA888" w14:textId="1845E507" w:rsidR="00DD113F" w:rsidRDefault="00DD113F" w:rsidP="00DD113F"/>
    <w:p w14:paraId="25C8D8E6" w14:textId="2535ADAC" w:rsidR="00DD113F" w:rsidRDefault="00DD113F" w:rsidP="00DD113F"/>
    <w:tbl>
      <w:tblPr>
        <w:tblStyle w:val="TableGrid"/>
        <w:tblW w:w="5000" w:type="pct"/>
        <w:tblLook w:val="04A0" w:firstRow="1" w:lastRow="0" w:firstColumn="1" w:lastColumn="0" w:noHBand="0" w:noVBand="1"/>
      </w:tblPr>
      <w:tblGrid>
        <w:gridCol w:w="1804"/>
        <w:gridCol w:w="1803"/>
        <w:gridCol w:w="1803"/>
        <w:gridCol w:w="1803"/>
        <w:gridCol w:w="1803"/>
      </w:tblGrid>
      <w:tr w:rsidR="007345D6" w14:paraId="4F40CF55" w14:textId="77777777" w:rsidTr="00667FA1">
        <w:tc>
          <w:tcPr>
            <w:tcW w:w="1000" w:type="pct"/>
          </w:tcPr>
          <w:p w14:paraId="7D85B135" w14:textId="5A222540" w:rsidR="007345D6" w:rsidRPr="007345D6" w:rsidRDefault="007345D6" w:rsidP="00DD113F">
            <w:pPr>
              <w:rPr>
                <w:b/>
              </w:rPr>
            </w:pPr>
            <w:r w:rsidRPr="007345D6">
              <w:rPr>
                <w:b/>
              </w:rPr>
              <w:lastRenderedPageBreak/>
              <w:t>Sample</w:t>
            </w:r>
          </w:p>
        </w:tc>
        <w:tc>
          <w:tcPr>
            <w:tcW w:w="1000" w:type="pct"/>
          </w:tcPr>
          <w:p w14:paraId="0CEC3312" w14:textId="3731ECC8" w:rsidR="007345D6" w:rsidRPr="007345D6" w:rsidRDefault="007345D6" w:rsidP="00DD113F">
            <w:pPr>
              <w:rPr>
                <w:b/>
              </w:rPr>
            </w:pPr>
            <w:r w:rsidRPr="007345D6">
              <w:rPr>
                <w:b/>
              </w:rPr>
              <w:t>Majority Carrier Type</w:t>
            </w:r>
          </w:p>
        </w:tc>
        <w:tc>
          <w:tcPr>
            <w:tcW w:w="1000" w:type="pct"/>
          </w:tcPr>
          <w:p w14:paraId="5C6FF3E8" w14:textId="3E6E5794" w:rsidR="007345D6" w:rsidRPr="00667FA1" w:rsidRDefault="007345D6" w:rsidP="00DD113F">
            <w:pPr>
              <w:rPr>
                <w:b/>
              </w:rPr>
            </w:pPr>
            <w:r w:rsidRPr="007345D6">
              <w:rPr>
                <w:b/>
              </w:rPr>
              <w:t xml:space="preserve">Hall Coefficient </w:t>
            </w:r>
            <w:r w:rsidR="00667FA1">
              <w:rPr>
                <w:b/>
              </w:rPr>
              <w:t>(cm</w:t>
            </w:r>
            <w:r w:rsidR="00667FA1">
              <w:rPr>
                <w:b/>
                <w:vertAlign w:val="superscript"/>
              </w:rPr>
              <w:t>3</w:t>
            </w:r>
            <w:r w:rsidR="00667FA1">
              <w:rPr>
                <w:b/>
              </w:rPr>
              <w:t>C</w:t>
            </w:r>
            <w:r w:rsidR="00667FA1">
              <w:rPr>
                <w:b/>
                <w:vertAlign w:val="superscript"/>
              </w:rPr>
              <w:t>-1</w:t>
            </w:r>
            <w:r w:rsidR="00667FA1">
              <w:rPr>
                <w:b/>
              </w:rPr>
              <w:t>)</w:t>
            </w:r>
          </w:p>
        </w:tc>
        <w:tc>
          <w:tcPr>
            <w:tcW w:w="1000" w:type="pct"/>
          </w:tcPr>
          <w:p w14:paraId="4DECF83A" w14:textId="670622CF" w:rsidR="007345D6" w:rsidRPr="007345D6" w:rsidRDefault="007345D6" w:rsidP="00DD113F">
            <w:pPr>
              <w:rPr>
                <w:b/>
              </w:rPr>
            </w:pPr>
            <w:r w:rsidRPr="007345D6">
              <w:rPr>
                <w:b/>
              </w:rPr>
              <w:t>Carrier Density (cm</w:t>
            </w:r>
            <w:r>
              <w:rPr>
                <w:b/>
                <w:vertAlign w:val="superscript"/>
              </w:rPr>
              <w:t>-3</w:t>
            </w:r>
            <w:r>
              <w:rPr>
                <w:b/>
              </w:rPr>
              <w:t>)</w:t>
            </w:r>
          </w:p>
        </w:tc>
        <w:tc>
          <w:tcPr>
            <w:tcW w:w="1000" w:type="pct"/>
          </w:tcPr>
          <w:p w14:paraId="16FBA6F5" w14:textId="7C3B96D2" w:rsidR="007345D6" w:rsidRPr="00667FA1" w:rsidRDefault="00667FA1" w:rsidP="00DD113F">
            <w:pPr>
              <w:rPr>
                <w:b/>
              </w:rPr>
            </w:pPr>
            <w:r>
              <w:rPr>
                <w:b/>
              </w:rPr>
              <w:t>Carrier Mobility (cm</w:t>
            </w:r>
            <w:r>
              <w:rPr>
                <w:b/>
                <w:vertAlign w:val="superscript"/>
              </w:rPr>
              <w:t>2</w:t>
            </w:r>
            <w:r>
              <w:rPr>
                <w:b/>
              </w:rPr>
              <w:t>V</w:t>
            </w:r>
            <w:r>
              <w:rPr>
                <w:b/>
                <w:vertAlign w:val="superscript"/>
              </w:rPr>
              <w:t>-1</w:t>
            </w:r>
            <w:r>
              <w:rPr>
                <w:b/>
              </w:rPr>
              <w:t>s</w:t>
            </w:r>
            <w:r>
              <w:rPr>
                <w:b/>
                <w:vertAlign w:val="superscript"/>
              </w:rPr>
              <w:t>-1</w:t>
            </w:r>
            <w:r>
              <w:rPr>
                <w:b/>
              </w:rPr>
              <w:t>)</w:t>
            </w:r>
          </w:p>
        </w:tc>
      </w:tr>
      <w:tr w:rsidR="007345D6" w14:paraId="7EA8EB5D" w14:textId="77777777" w:rsidTr="007345D6">
        <w:tc>
          <w:tcPr>
            <w:tcW w:w="1000" w:type="pct"/>
          </w:tcPr>
          <w:p w14:paraId="045ED0EA" w14:textId="7C5C4B6E" w:rsidR="007345D6" w:rsidRDefault="007345D6" w:rsidP="00DD113F">
            <w:r>
              <w:t>3361</w:t>
            </w:r>
          </w:p>
        </w:tc>
        <w:tc>
          <w:tcPr>
            <w:tcW w:w="1000" w:type="pct"/>
          </w:tcPr>
          <w:p w14:paraId="44815D1A" w14:textId="7DD32D6C" w:rsidR="007345D6" w:rsidRDefault="00667FA1" w:rsidP="00DD113F">
            <w:r>
              <w:t>p-type</w:t>
            </w:r>
          </w:p>
        </w:tc>
        <w:tc>
          <w:tcPr>
            <w:tcW w:w="1000" w:type="pct"/>
          </w:tcPr>
          <w:p w14:paraId="31DD7BD9" w14:textId="079FB49F" w:rsidR="007345D6" w:rsidRPr="004C26E1" w:rsidRDefault="004C26E1" w:rsidP="00DD113F">
            <w:r>
              <w:t xml:space="preserve">20600 ± </w:t>
            </w:r>
            <w:r w:rsidR="00722CF5">
              <w:t>1080</w:t>
            </w:r>
          </w:p>
        </w:tc>
        <w:tc>
          <w:tcPr>
            <w:tcW w:w="1000" w:type="pct"/>
          </w:tcPr>
          <w:p w14:paraId="18E4FFAA" w14:textId="123A1E3C" w:rsidR="007345D6" w:rsidRPr="0056566B" w:rsidRDefault="004C26E1" w:rsidP="00DD113F">
            <w:r>
              <w:t xml:space="preserve">3.03 </w:t>
            </w:r>
            <w:r w:rsidR="00722CF5">
              <w:t>± 0.1</w:t>
            </w:r>
            <w:r w:rsidR="00467969">
              <w:t>6</w:t>
            </w:r>
            <w:r w:rsidR="00722CF5">
              <w:t xml:space="preserve"> </w:t>
            </w:r>
            <w:r>
              <w:t>x 10</w:t>
            </w:r>
            <w:r>
              <w:rPr>
                <w:vertAlign w:val="superscript"/>
              </w:rPr>
              <w:t>13</w:t>
            </w:r>
            <w:r w:rsidR="0056566B">
              <w:rPr>
                <w:vertAlign w:val="superscript"/>
              </w:rPr>
              <w:t xml:space="preserve"> </w:t>
            </w:r>
          </w:p>
        </w:tc>
        <w:tc>
          <w:tcPr>
            <w:tcW w:w="1000" w:type="pct"/>
          </w:tcPr>
          <w:p w14:paraId="2430C958" w14:textId="16F51AFC" w:rsidR="007345D6" w:rsidRPr="000B6F15" w:rsidRDefault="004C26E1" w:rsidP="00DD113F">
            <w:r>
              <w:t xml:space="preserve">2.943 </w:t>
            </w:r>
            <w:r w:rsidR="00467969">
              <w:t>± 0.17</w:t>
            </w:r>
            <w:r>
              <w:t>x 10</w:t>
            </w:r>
            <w:r>
              <w:rPr>
                <w:vertAlign w:val="superscript"/>
              </w:rPr>
              <w:t>3</w:t>
            </w:r>
            <w:r w:rsidR="000B6F15">
              <w:t xml:space="preserve"> </w:t>
            </w:r>
          </w:p>
        </w:tc>
      </w:tr>
      <w:tr w:rsidR="007345D6" w14:paraId="293278C6" w14:textId="77777777" w:rsidTr="007345D6">
        <w:tc>
          <w:tcPr>
            <w:tcW w:w="1000" w:type="pct"/>
          </w:tcPr>
          <w:p w14:paraId="315A4A0B" w14:textId="292E40DB" w:rsidR="007345D6" w:rsidRDefault="007345D6" w:rsidP="00DD113F">
            <w:r>
              <w:t>3375</w:t>
            </w:r>
          </w:p>
        </w:tc>
        <w:tc>
          <w:tcPr>
            <w:tcW w:w="1000" w:type="pct"/>
          </w:tcPr>
          <w:p w14:paraId="6FD75A31" w14:textId="218B80DF" w:rsidR="007345D6" w:rsidRDefault="00667FA1" w:rsidP="00DD113F">
            <w:r>
              <w:t>n-type</w:t>
            </w:r>
          </w:p>
        </w:tc>
        <w:tc>
          <w:tcPr>
            <w:tcW w:w="1000" w:type="pct"/>
          </w:tcPr>
          <w:p w14:paraId="33ABED9B" w14:textId="73613D07" w:rsidR="007345D6" w:rsidRPr="004C26E1" w:rsidRDefault="004C26E1" w:rsidP="00DD113F">
            <w:pPr>
              <w:rPr>
                <w:b/>
              </w:rPr>
            </w:pPr>
            <w:r>
              <w:t xml:space="preserve">20000 ± </w:t>
            </w:r>
            <w:r w:rsidR="00722CF5">
              <w:t>1080</w:t>
            </w:r>
          </w:p>
        </w:tc>
        <w:tc>
          <w:tcPr>
            <w:tcW w:w="1000" w:type="pct"/>
          </w:tcPr>
          <w:p w14:paraId="65C72B0C" w14:textId="4328D40F" w:rsidR="007345D6" w:rsidRPr="0056566B" w:rsidRDefault="004C26E1" w:rsidP="00DD113F">
            <w:r>
              <w:t xml:space="preserve">3.12 </w:t>
            </w:r>
            <w:r w:rsidR="00722CF5">
              <w:t>± 0.1</w:t>
            </w:r>
            <w:r w:rsidR="00467969">
              <w:t>6</w:t>
            </w:r>
            <w:r w:rsidR="00722CF5">
              <w:t xml:space="preserve"> x 10</w:t>
            </w:r>
            <w:r w:rsidR="00722CF5">
              <w:rPr>
                <w:vertAlign w:val="superscript"/>
              </w:rPr>
              <w:t>13</w:t>
            </w:r>
          </w:p>
        </w:tc>
        <w:tc>
          <w:tcPr>
            <w:tcW w:w="1000" w:type="pct"/>
          </w:tcPr>
          <w:p w14:paraId="24CB601A" w14:textId="2AA63710" w:rsidR="007345D6" w:rsidRPr="000B6F15" w:rsidRDefault="004C26E1" w:rsidP="00DD113F">
            <w:pPr>
              <w:rPr>
                <w:b/>
              </w:rPr>
            </w:pPr>
            <w:r>
              <w:t xml:space="preserve">3.333 </w:t>
            </w:r>
            <w:r w:rsidR="000B6F15">
              <w:t xml:space="preserve">± </w:t>
            </w:r>
            <w:r w:rsidR="00467969">
              <w:t>0.17x 10</w:t>
            </w:r>
            <w:r w:rsidR="00467969">
              <w:rPr>
                <w:vertAlign w:val="superscript"/>
              </w:rPr>
              <w:t>3</w:t>
            </w:r>
          </w:p>
        </w:tc>
      </w:tr>
    </w:tbl>
    <w:p w14:paraId="17546937" w14:textId="1E5E142E" w:rsidR="00DD113F" w:rsidRDefault="00C31C0F" w:rsidP="00C31C0F">
      <w:pPr>
        <w:pStyle w:val="Caption"/>
      </w:pPr>
      <w:r>
        <w:t xml:space="preserve">Table </w:t>
      </w:r>
      <w:fldSimple w:instr=" SEQ Table \* ARABIC ">
        <w:r w:rsidR="000C1711">
          <w:rPr>
            <w:noProof/>
          </w:rPr>
          <w:t>1</w:t>
        </w:r>
      </w:fldSimple>
      <w:r>
        <w:t xml:space="preserve">: Properties of the tested germanium samples as determined using </w:t>
      </w:r>
      <w:r w:rsidR="000213EE">
        <w:t>E</w:t>
      </w:r>
      <w:r>
        <w:t>quation</w:t>
      </w:r>
      <w:r w:rsidR="000213EE">
        <w:t>s</w:t>
      </w:r>
      <w:r>
        <w:t xml:space="preserve"> 1, 2 &amp; 3.</w:t>
      </w:r>
    </w:p>
    <w:p w14:paraId="0B84278E" w14:textId="67EE16A0" w:rsidR="00DD113F" w:rsidRDefault="00DD113F" w:rsidP="00DD113F"/>
    <w:p w14:paraId="33E6E020" w14:textId="3B3109F6" w:rsidR="00DD113F" w:rsidRDefault="00DD113F" w:rsidP="00DD113F"/>
    <w:p w14:paraId="6357F024" w14:textId="3FA483BF" w:rsidR="00DD113F" w:rsidRDefault="00DD113F" w:rsidP="00DD113F"/>
    <w:p w14:paraId="255F1B18" w14:textId="4C9F1FFD" w:rsidR="00DD113F" w:rsidRDefault="00DD113F" w:rsidP="00DD113F"/>
    <w:p w14:paraId="2010B535" w14:textId="77777777" w:rsidR="00DD113F" w:rsidRDefault="00DD113F" w:rsidP="00DD113F"/>
    <w:p w14:paraId="14ECACFD" w14:textId="77777777" w:rsidR="00DD113F" w:rsidRDefault="00DD113F" w:rsidP="00DD113F"/>
    <w:p w14:paraId="7F4ABDB9" w14:textId="77777777" w:rsidR="00DD113F" w:rsidRDefault="00DD113F" w:rsidP="00DD113F"/>
    <w:p w14:paraId="7A64C1D0" w14:textId="066C3450" w:rsidR="00DD113F" w:rsidRDefault="00DD113F" w:rsidP="00DD113F"/>
    <w:p w14:paraId="53469980" w14:textId="0A6A5C09" w:rsidR="00AA0064" w:rsidRDefault="00DD1D24" w:rsidP="00DD1D24">
      <w:pPr>
        <w:pStyle w:val="Heading1"/>
      </w:pPr>
      <w:r>
        <w:br w:type="page"/>
      </w:r>
      <w:bookmarkStart w:id="5" w:name="_Toc514859568"/>
      <w:r w:rsidR="004D6AEA">
        <w:lastRenderedPageBreak/>
        <w:t>Discussion</w:t>
      </w:r>
      <w:bookmarkEnd w:id="5"/>
    </w:p>
    <w:p w14:paraId="0151CD9B" w14:textId="77777777" w:rsidR="00B54773" w:rsidRDefault="00B54773" w:rsidP="00BC2B91"/>
    <w:p w14:paraId="2D598928" w14:textId="01191136" w:rsidR="00BC2B91" w:rsidRDefault="00B54773" w:rsidP="00B54773">
      <w:pPr>
        <w:pStyle w:val="Heading2"/>
      </w:pPr>
      <w:bookmarkStart w:id="6" w:name="_Toc514859569"/>
      <w:r>
        <w:t>Inaccuracy</w:t>
      </w:r>
      <w:bookmarkEnd w:id="6"/>
    </w:p>
    <w:p w14:paraId="1332A2BB" w14:textId="0B1E3B7B" w:rsidR="00075C60" w:rsidRDefault="00075C60" w:rsidP="005A5FDC">
      <w:r>
        <w:t xml:space="preserve">The experiment has a number of sources of inaccuracy. The instruments themselves have intrinsic inaccuracies. The voltmeter and current sources are accurate to ±0.1mV and ±0.1mA respectively. The Gauss probe had an accuracy of ±0.1 Gs. </w:t>
      </w:r>
    </w:p>
    <w:p w14:paraId="1BA49DC3" w14:textId="5E228939" w:rsidR="00075C60" w:rsidRDefault="00592285" w:rsidP="005A5FDC">
      <w:r>
        <w:t>T</w:t>
      </w:r>
      <w:r w:rsidR="00075C60">
        <w:t xml:space="preserve">he gradient of the plots in Figure 5 &amp; 6 </w:t>
      </w:r>
      <w:r>
        <w:t xml:space="preserve">were not perfectly linear and so an inaccuracy of ±5% was applied to the gradient </w:t>
      </w:r>
      <w:r w:rsidR="00075C60">
        <w:t xml:space="preserve">and </w:t>
      </w:r>
      <w:r>
        <w:t>carried through the results calculations. T</w:t>
      </w:r>
      <w:r w:rsidR="00075C60">
        <w:t>he inaccuracy for the Hall Coefficient is ±</w:t>
      </w:r>
      <w:r w:rsidR="00966BC8">
        <w:t>1080</w:t>
      </w:r>
      <w:r w:rsidR="00075C60">
        <w:t>, the carrier density is ±</w:t>
      </w:r>
      <w:r w:rsidR="00966BC8">
        <w:t>0.16x10E13</w:t>
      </w:r>
      <w:r w:rsidR="00075C60">
        <w:t xml:space="preserve"> and the carrier mobility is ±</w:t>
      </w:r>
      <w:r w:rsidR="00966BC8">
        <w:t>0.17x10E3.</w:t>
      </w:r>
    </w:p>
    <w:p w14:paraId="21DC9BF4" w14:textId="1B2BF3FF" w:rsidR="00075C60" w:rsidRDefault="00075C60" w:rsidP="005A5FDC">
      <w:r>
        <w:t xml:space="preserve">Additional sources of inaccuracy are the misalignment of voltmeter probe terminals though this should have been accounted for by calculating the offset voltage (see Equation 4). </w:t>
      </w:r>
    </w:p>
    <w:p w14:paraId="2885B9D0" w14:textId="6C30AC31" w:rsidR="00D815FF" w:rsidRDefault="00B74A2C" w:rsidP="005A5FDC">
      <w:r>
        <w:t>The Ettingshausen</w:t>
      </w:r>
      <w:r w:rsidR="00D815FF">
        <w:t xml:space="preserve"> and</w:t>
      </w:r>
      <w:r>
        <w:t xml:space="preserve"> Nernst </w:t>
      </w:r>
      <w:r w:rsidR="00D815FF">
        <w:t>(</w:t>
      </w:r>
      <w:r>
        <w:t>Righi-Leduc</w:t>
      </w:r>
      <w:r w:rsidR="00D815FF">
        <w:t>)</w:t>
      </w:r>
      <w:r>
        <w:t xml:space="preserve"> Effects also contribute to errors in the data collected. The Ettingshausen </w:t>
      </w:r>
      <w:r w:rsidR="000E77FA">
        <w:t xml:space="preserve">Effect </w:t>
      </w:r>
      <w:r>
        <w:t xml:space="preserve">is where </w:t>
      </w:r>
      <w:r w:rsidR="000E77FA">
        <w:t>charge carriers with a greater velocity are deflected more than others creating a</w:t>
      </w:r>
      <w:r w:rsidR="00D815FF">
        <w:t xml:space="preserve"> temperature gradient that induces an </w:t>
      </w:r>
      <w:r w:rsidR="000E77FA">
        <w:t>additional voltage which affects the hall voltage.</w:t>
      </w:r>
      <w:r w:rsidR="00D815FF">
        <w:t xml:space="preserve"> The Nernst effect is also due to a temperature gradient which generates current perpendicular to the hall voltage and magnetic field, this also alters the reading of the hall voltage. </w:t>
      </w:r>
    </w:p>
    <w:p w14:paraId="567BD4AC" w14:textId="628E3BD3" w:rsidR="00D815FF" w:rsidRDefault="00D815FF" w:rsidP="005A5FDC">
      <w:r>
        <w:t>The Ettingshausen effect cannot be corrected by calculating an offset voltage for reversed magnetic field or current however the Nernst effect can be accounted for by reversing current. This process could be used to improve the experimental data</w:t>
      </w:r>
      <w:r w:rsidR="00B44D92">
        <w:t xml:space="preserve"> in the future. </w:t>
      </w:r>
    </w:p>
    <w:p w14:paraId="0599F37C" w14:textId="1763564A" w:rsidR="00B324F9" w:rsidRPr="00075C60" w:rsidRDefault="00B324F9" w:rsidP="005A5FDC">
      <w:r>
        <w:t xml:space="preserve">The magnitude of these effects on the data for this experiment have however been deemed negligible. </w:t>
      </w:r>
    </w:p>
    <w:p w14:paraId="6C135845" w14:textId="77777777" w:rsidR="007466D6" w:rsidRDefault="007466D6" w:rsidP="007466D6">
      <w:pPr>
        <w:pStyle w:val="Heading2"/>
        <w:rPr>
          <w:rFonts w:eastAsiaTheme="minorEastAsia"/>
        </w:rPr>
      </w:pPr>
    </w:p>
    <w:p w14:paraId="3867CE88" w14:textId="1A890872" w:rsidR="007466D6" w:rsidRDefault="00EA4B5A" w:rsidP="007466D6">
      <w:pPr>
        <w:pStyle w:val="Heading2"/>
        <w:rPr>
          <w:rFonts w:eastAsiaTheme="minorEastAsia"/>
        </w:rPr>
      </w:pPr>
      <w:bookmarkStart w:id="7" w:name="_Toc514859570"/>
      <w:r>
        <w:rPr>
          <w:rFonts w:eastAsiaTheme="minorEastAsia"/>
        </w:rPr>
        <w:t>Hall Effect Applications</w:t>
      </w:r>
      <w:bookmarkEnd w:id="7"/>
    </w:p>
    <w:p w14:paraId="382C57F0" w14:textId="77777777" w:rsidR="00917EA3" w:rsidRDefault="007466D6" w:rsidP="00F353C5">
      <w:r>
        <w:t>The data obtained can and has been used to calculate the conductive properties of a semiconducting material. This is useful as the information can be used to determine the</w:t>
      </w:r>
      <w:r w:rsidR="00002B7C">
        <w:t xml:space="preserve"> possible applications</w:t>
      </w:r>
      <w:r>
        <w:t xml:space="preserve"> of a material for certain tasks, such</w:t>
      </w:r>
      <w:r w:rsidR="00002B7C">
        <w:t xml:space="preserve"> transistors in small</w:t>
      </w:r>
      <w:r>
        <w:t xml:space="preserve"> electronics.</w:t>
      </w:r>
      <w:r w:rsidR="00835AFA">
        <w:t xml:space="preserve"> </w:t>
      </w:r>
    </w:p>
    <w:p w14:paraId="55C9C814" w14:textId="717BC6B4" w:rsidR="00917EA3" w:rsidRDefault="00917EA3" w:rsidP="00F353C5">
      <w:r>
        <w:t>T</w:t>
      </w:r>
      <w:r w:rsidR="00835AFA">
        <w:t xml:space="preserve">he hall effect can </w:t>
      </w:r>
      <w:r>
        <w:t xml:space="preserve">also </w:t>
      </w:r>
      <w:r w:rsidR="00835AFA">
        <w:t>be used in sensors. Many</w:t>
      </w:r>
      <w:r w:rsidR="007466D6">
        <w:t xml:space="preserve"> </w:t>
      </w:r>
      <w:r w:rsidR="0063096F">
        <w:t>pedal</w:t>
      </w:r>
      <w:r w:rsidR="00835AFA">
        <w:t xml:space="preserve"> systems for vehicles use this effect to generate a voltage due to a moving magnetic field</w:t>
      </w:r>
      <w:r w:rsidR="0063096F">
        <w:t xml:space="preserve">. A magnet </w:t>
      </w:r>
      <w:r>
        <w:t xml:space="preserve">is attached to a </w:t>
      </w:r>
      <w:r w:rsidR="0063096F">
        <w:t xml:space="preserve">pedal and </w:t>
      </w:r>
      <w:r>
        <w:t xml:space="preserve">when the pedal moves </w:t>
      </w:r>
      <w:r w:rsidR="0063096F">
        <w:t xml:space="preserve">the </w:t>
      </w:r>
      <w:r>
        <w:t xml:space="preserve">induced </w:t>
      </w:r>
      <w:r w:rsidR="0063096F">
        <w:t>voltage magnitude determines the angle that the pedal has been pushed to.</w:t>
      </w:r>
      <w:r>
        <w:t xml:space="preserve"> Often switches in integrated circuits are triggered by a moving magnetic field inducing a voltage </w:t>
      </w:r>
      <w:r w:rsidR="00CF6705">
        <w:t>i.e.</w:t>
      </w:r>
      <w:r>
        <w:t xml:space="preserve"> the Hall Effect.</w:t>
      </w:r>
    </w:p>
    <w:p w14:paraId="1A75AE66" w14:textId="77777777" w:rsidR="00C44145" w:rsidRDefault="00C44145" w:rsidP="00C44145">
      <w:pPr>
        <w:pStyle w:val="Heading2"/>
      </w:pPr>
    </w:p>
    <w:p w14:paraId="5AC9C331" w14:textId="77A1EFB3" w:rsidR="00CF6705" w:rsidRDefault="00C44145" w:rsidP="00C44145">
      <w:pPr>
        <w:pStyle w:val="Heading2"/>
      </w:pPr>
      <w:bookmarkStart w:id="8" w:name="_Toc514859571"/>
      <w:r>
        <w:t>Intrinsic Semiconductors</w:t>
      </w:r>
      <w:bookmarkEnd w:id="8"/>
    </w:p>
    <w:p w14:paraId="1E81E103" w14:textId="3CA938F2" w:rsidR="00C44145" w:rsidRDefault="00895EAE" w:rsidP="00C44145">
      <w:r>
        <w:t xml:space="preserve">Intrinsic semiconductors do exhibit extrinsic conduction. Extrinsic conduction is caused by having </w:t>
      </w:r>
      <w:r w:rsidR="0076683A">
        <w:t>free</w:t>
      </w:r>
      <w:r>
        <w:t xml:space="preserve"> holes or electrons, intrinsic conduction is caused by thermal agitation exciting electrons from the valence band to the conduction band of a material</w:t>
      </w:r>
      <w:r w:rsidR="00E546DD">
        <w:t xml:space="preserve"> (see Figure 7).</w:t>
      </w:r>
    </w:p>
    <w:p w14:paraId="46184003" w14:textId="77777777" w:rsidR="005B6E12" w:rsidRDefault="005B6E12" w:rsidP="005B6E12">
      <w:pPr>
        <w:keepNext/>
      </w:pPr>
      <w:r>
        <w:rPr>
          <w:noProof/>
        </w:rPr>
        <w:lastRenderedPageBreak/>
        <w:drawing>
          <wp:inline distT="0" distB="0" distL="0" distR="0" wp14:anchorId="27B299F8" wp14:editId="7E95FC29">
            <wp:extent cx="3112888" cy="1479550"/>
            <wp:effectExtent l="19050" t="19050" r="1143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0603" cy="1483217"/>
                    </a:xfrm>
                    <a:prstGeom prst="rect">
                      <a:avLst/>
                    </a:prstGeom>
                    <a:ln>
                      <a:solidFill>
                        <a:schemeClr val="tx1"/>
                      </a:solidFill>
                    </a:ln>
                  </pic:spPr>
                </pic:pic>
              </a:graphicData>
            </a:graphic>
          </wp:inline>
        </w:drawing>
      </w:r>
    </w:p>
    <w:p w14:paraId="098F3C45" w14:textId="783A87BE" w:rsidR="005B6E12" w:rsidRDefault="005B6E12" w:rsidP="005B6E12">
      <w:pPr>
        <w:pStyle w:val="Caption"/>
      </w:pPr>
      <w:r>
        <w:t xml:space="preserve">Figure </w:t>
      </w:r>
      <w:fldSimple w:instr=" SEQ Figure \* ARABIC ">
        <w:r w:rsidR="000C1711">
          <w:rPr>
            <w:noProof/>
          </w:rPr>
          <w:t>7</w:t>
        </w:r>
      </w:fldSimple>
      <w:r>
        <w:t>: Thermal agitation of electrons in a semiconductor to the conduction band form the valence band</w:t>
      </w:r>
      <w:r w:rsidR="0076683A">
        <w:t xml:space="preserve"> </w:t>
      </w:r>
      <w:r w:rsidR="008B03C6">
        <w:t>(aka intrinsic conduction).</w:t>
      </w:r>
    </w:p>
    <w:p w14:paraId="7C361C40" w14:textId="6D1E5538" w:rsidR="00F82629" w:rsidRDefault="000952BB" w:rsidP="00C44145">
      <w:r>
        <w:t xml:space="preserve">The samples of germanium in this experiment were kept at a relatively constant temperature. The increase in temperature due to heat dissipation in the material was negligible as the current was only 5mA. </w:t>
      </w:r>
      <w:r w:rsidR="0076683A">
        <w:t>Therefore,</w:t>
      </w:r>
      <w:r w:rsidR="00F82629">
        <w:t xml:space="preserve"> the </w:t>
      </w:r>
      <w:r w:rsidR="0076683A">
        <w:t>hall voltage generated</w:t>
      </w:r>
      <w:r w:rsidR="00F82629">
        <w:t xml:space="preserve"> must be attributed to extrinsic conduction</w:t>
      </w:r>
      <w:r w:rsidR="0076683A">
        <w:t xml:space="preserve"> and hence was observed for </w:t>
      </w:r>
      <w:proofErr w:type="gramStart"/>
      <w:r w:rsidR="0076683A">
        <w:t>a</w:t>
      </w:r>
      <w:proofErr w:type="gramEnd"/>
      <w:r w:rsidR="0076683A">
        <w:t xml:space="preserve"> intrinsic semiconductor. </w:t>
      </w:r>
    </w:p>
    <w:p w14:paraId="5DF1F7D1" w14:textId="7615DD15" w:rsidR="005B6E12" w:rsidRDefault="00F82629" w:rsidP="00C44145">
      <w:r>
        <w:t xml:space="preserve">Based on the analysis of force direction described in the introduction </w:t>
      </w:r>
      <w:r w:rsidR="0076683A">
        <w:t xml:space="preserve">of this report </w:t>
      </w:r>
      <w:r>
        <w:t>(see Figure 2) the materials</w:t>
      </w:r>
      <w:r w:rsidR="0076683A">
        <w:t>,</w:t>
      </w:r>
      <w:r>
        <w:t xml:space="preserve"> though undoped</w:t>
      </w:r>
      <w:r w:rsidR="0076683A">
        <w:t>,</w:t>
      </w:r>
      <w:r>
        <w:t xml:space="preserve"> exhibited </w:t>
      </w:r>
      <w:r w:rsidR="0076683A">
        <w:t xml:space="preserve">a </w:t>
      </w:r>
      <w:r>
        <w:t xml:space="preserve">clear majority charge carrier. </w:t>
      </w:r>
      <w:r w:rsidR="0076683A">
        <w:t>This occurred despite pure semiconductors being modelled as having an equal number of holes and electrons.</w:t>
      </w:r>
      <w:r w:rsidR="003250EE">
        <w:t xml:space="preserve"> The results may be explained by crystallographic defects and imperfections in the material</w:t>
      </w:r>
      <w:r w:rsidR="009206FA">
        <w:t xml:space="preserve">. </w:t>
      </w:r>
    </w:p>
    <w:p w14:paraId="3FCF77C0" w14:textId="6955E414" w:rsidR="00F92ED9" w:rsidRDefault="00F92ED9" w:rsidP="00C44145">
      <w:r>
        <w:t xml:space="preserve">Furthermore, the change in hall voltage with increasing magnetic field in combination with the right-hand rule demonstrated that germanium sample 3361 had positive majority charge carriers. This is as it is known that both positive and negative charge carriers are deflected in the same direction and hence </w:t>
      </w:r>
      <w:r w:rsidR="00E84C05">
        <w:t xml:space="preserve">it could be determined which carrier was influences the change in voltage. </w:t>
      </w:r>
      <w:r w:rsidR="00302129">
        <w:t>Similarly,</w:t>
      </w:r>
      <w:r w:rsidR="00E84C05">
        <w:t xml:space="preserve"> the sample 3375 was determined to be an n-type material.</w:t>
      </w:r>
    </w:p>
    <w:p w14:paraId="4A06D73D" w14:textId="77777777" w:rsidR="009B1ADF" w:rsidRDefault="009B1ADF" w:rsidP="00C44145"/>
    <w:p w14:paraId="130F9CF9" w14:textId="5905C789" w:rsidR="009B1ADF" w:rsidRPr="00C46E54" w:rsidRDefault="009B1ADF" w:rsidP="00C44145">
      <w:r>
        <w:tab/>
      </w:r>
    </w:p>
    <w:p w14:paraId="33669F15" w14:textId="77777777" w:rsidR="00CF6705" w:rsidRPr="00CF6705" w:rsidRDefault="00CF6705" w:rsidP="00CF6705"/>
    <w:p w14:paraId="2AACF4D9" w14:textId="7AA6EFF5" w:rsidR="00917EA3" w:rsidRPr="00917EA3" w:rsidRDefault="00917EA3" w:rsidP="00CF6705"/>
    <w:p w14:paraId="0FA1A105" w14:textId="46AB08CB" w:rsidR="00917EA3" w:rsidRDefault="00917EA3" w:rsidP="00917EA3"/>
    <w:p w14:paraId="2A7D34A1" w14:textId="77777777" w:rsidR="00917EA3" w:rsidRPr="00917EA3" w:rsidRDefault="00917EA3" w:rsidP="00917EA3"/>
    <w:p w14:paraId="225740C0" w14:textId="79859BA6" w:rsidR="007466D6" w:rsidRDefault="007466D6" w:rsidP="007466D6">
      <w:pPr>
        <w:pStyle w:val="Heading2"/>
      </w:pPr>
      <w:r>
        <w:rPr>
          <w:rFonts w:asciiTheme="minorHAnsi" w:eastAsiaTheme="minorHAnsi" w:hAnsiTheme="minorHAnsi" w:cstheme="minorBidi"/>
          <w:color w:val="auto"/>
          <w:sz w:val="22"/>
          <w:szCs w:val="22"/>
        </w:rPr>
        <w:br w:type="page"/>
      </w:r>
    </w:p>
    <w:p w14:paraId="460C1D14" w14:textId="14191C16" w:rsidR="009E451E" w:rsidRDefault="005441E7" w:rsidP="006D7323">
      <w:pPr>
        <w:pStyle w:val="Heading1"/>
      </w:pPr>
      <w:bookmarkStart w:id="9" w:name="_Toc514859572"/>
      <w:r w:rsidRPr="005441E7">
        <w:lastRenderedPageBreak/>
        <w:t>Conclusion</w:t>
      </w:r>
      <w:bookmarkEnd w:id="9"/>
    </w:p>
    <w:p w14:paraId="076473F1" w14:textId="78ACB313" w:rsidR="006313E9" w:rsidRDefault="00302129" w:rsidP="00852260">
      <w:r>
        <w:t xml:space="preserve">The hall effect was effectively used to determine the conductive properties of two samples of germanium. Most notably sample 3361 was found to be a p-type material with carrier density </w:t>
      </w:r>
      <w:r w:rsidR="002B256F">
        <w:t>3.03 ± 0.16 x 10</w:t>
      </w:r>
      <w:r w:rsidR="002B256F">
        <w:rPr>
          <w:vertAlign w:val="superscript"/>
        </w:rPr>
        <w:t xml:space="preserve">13 </w:t>
      </w:r>
      <w:r w:rsidR="002B256F">
        <w:t>cm</w:t>
      </w:r>
      <w:r w:rsidR="002B256F">
        <w:rPr>
          <w:vertAlign w:val="superscript"/>
        </w:rPr>
        <w:t>-3</w:t>
      </w:r>
      <w:r w:rsidR="007E71AD">
        <w:t>, validating the presence of positive charge carriers. Sample 3375 was found to be an n-type material with carrier density 3.12 ± 0.16 x 10</w:t>
      </w:r>
      <w:r w:rsidR="007E71AD">
        <w:rPr>
          <w:vertAlign w:val="superscript"/>
        </w:rPr>
        <w:t xml:space="preserve">13 </w:t>
      </w:r>
      <w:r w:rsidR="007E71AD">
        <w:t>cm</w:t>
      </w:r>
      <w:r w:rsidR="007E71AD">
        <w:rPr>
          <w:vertAlign w:val="superscript"/>
        </w:rPr>
        <w:t>-3</w:t>
      </w:r>
      <w:r w:rsidR="007E71AD">
        <w:t xml:space="preserve">. This means that despite both samples being “intrinsic” materials there was a difference majority charge carrier for both hence even pure semiconductors exhibit extrinsic properties. </w:t>
      </w:r>
    </w:p>
    <w:p w14:paraId="14F5CCD5" w14:textId="122C16E5" w:rsidR="00E518D7" w:rsidRPr="003A2C7A" w:rsidRDefault="006313E9" w:rsidP="00302129">
      <w:pPr>
        <w:pStyle w:val="Heading1"/>
        <w:rPr>
          <w:rFonts w:asciiTheme="minorHAnsi" w:eastAsiaTheme="minorHAnsi" w:hAnsiTheme="minorHAnsi" w:cstheme="minorBidi"/>
          <w:color w:val="auto"/>
          <w:sz w:val="22"/>
          <w:szCs w:val="22"/>
        </w:rPr>
      </w:pPr>
      <w:r>
        <w:br w:type="page"/>
      </w:r>
    </w:p>
    <w:bookmarkStart w:id="10" w:name="_Toc514859573" w:displacedByCustomXml="next"/>
    <w:sdt>
      <w:sdtPr>
        <w:rPr>
          <w:rFonts w:asciiTheme="minorHAnsi" w:eastAsiaTheme="minorHAnsi" w:hAnsiTheme="minorHAnsi" w:cstheme="minorBidi"/>
          <w:color w:val="auto"/>
          <w:sz w:val="22"/>
          <w:szCs w:val="22"/>
        </w:rPr>
        <w:id w:val="978180864"/>
        <w:docPartObj>
          <w:docPartGallery w:val="Bibliographies"/>
          <w:docPartUnique/>
        </w:docPartObj>
      </w:sdtPr>
      <w:sdtContent>
        <w:p w14:paraId="1669B7E1" w14:textId="77777777" w:rsidR="00E518D7" w:rsidRPr="003A2C7A" w:rsidRDefault="00E518D7" w:rsidP="00C04BDB">
          <w:pPr>
            <w:pStyle w:val="Heading1"/>
            <w:rPr>
              <w:rFonts w:asciiTheme="minorHAnsi" w:eastAsiaTheme="minorHAnsi" w:hAnsiTheme="minorHAnsi" w:cstheme="minorBidi"/>
              <w:color w:val="auto"/>
              <w:sz w:val="22"/>
              <w:szCs w:val="22"/>
            </w:rPr>
          </w:pPr>
          <w:r>
            <w:t>Bibliography</w:t>
          </w:r>
          <w:bookmarkEnd w:id="10"/>
        </w:p>
        <w:sdt>
          <w:sdtPr>
            <w:id w:val="111145805"/>
            <w:bibliography/>
          </w:sdtPr>
          <w:sdtContent>
            <w:p w14:paraId="0AE66F50" w14:textId="77777777" w:rsidR="00F353C5" w:rsidRDefault="00E518D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F353C5" w14:paraId="254251E9" w14:textId="77777777">
                <w:trPr>
                  <w:divId w:val="384765606"/>
                  <w:tblCellSpacing w:w="15" w:type="dxa"/>
                </w:trPr>
                <w:tc>
                  <w:tcPr>
                    <w:tcW w:w="50" w:type="pct"/>
                    <w:hideMark/>
                  </w:tcPr>
                  <w:p w14:paraId="08458070" w14:textId="519637C5" w:rsidR="00F353C5" w:rsidRDefault="00F353C5">
                    <w:pPr>
                      <w:pStyle w:val="Bibliography"/>
                      <w:rPr>
                        <w:noProof/>
                        <w:sz w:val="24"/>
                        <w:szCs w:val="24"/>
                      </w:rPr>
                    </w:pPr>
                    <w:r>
                      <w:rPr>
                        <w:noProof/>
                      </w:rPr>
                      <w:t xml:space="preserve">[1] </w:t>
                    </w:r>
                  </w:p>
                </w:tc>
                <w:tc>
                  <w:tcPr>
                    <w:tcW w:w="0" w:type="auto"/>
                    <w:hideMark/>
                  </w:tcPr>
                  <w:p w14:paraId="6D5D097F" w14:textId="77777777" w:rsidR="00F353C5" w:rsidRDefault="00F353C5">
                    <w:pPr>
                      <w:pStyle w:val="Bibliography"/>
                      <w:rPr>
                        <w:noProof/>
                      </w:rPr>
                    </w:pPr>
                    <w:r>
                      <w:rPr>
                        <w:noProof/>
                      </w:rPr>
                      <w:t>P. A. Laboratory, “The Hall Effect and the Conductivity of Semiconductors,” 22 February 2006. [Online]. Available: http://instructor.physics.lsa.umich.edu/adv-labs/Hall/hall_effect_2005.pdf. [Accessed May 2018].</w:t>
                    </w:r>
                  </w:p>
                </w:tc>
              </w:tr>
              <w:tr w:rsidR="00F353C5" w14:paraId="78C8D2D1" w14:textId="77777777">
                <w:trPr>
                  <w:divId w:val="384765606"/>
                  <w:tblCellSpacing w:w="15" w:type="dxa"/>
                </w:trPr>
                <w:tc>
                  <w:tcPr>
                    <w:tcW w:w="50" w:type="pct"/>
                    <w:hideMark/>
                  </w:tcPr>
                  <w:p w14:paraId="7C4D2C63" w14:textId="77777777" w:rsidR="00F353C5" w:rsidRDefault="00F353C5">
                    <w:pPr>
                      <w:pStyle w:val="Bibliography"/>
                      <w:rPr>
                        <w:noProof/>
                      </w:rPr>
                    </w:pPr>
                    <w:r>
                      <w:rPr>
                        <w:noProof/>
                      </w:rPr>
                      <w:t xml:space="preserve">[2] </w:t>
                    </w:r>
                  </w:p>
                </w:tc>
                <w:tc>
                  <w:tcPr>
                    <w:tcW w:w="0" w:type="auto"/>
                    <w:hideMark/>
                  </w:tcPr>
                  <w:p w14:paraId="37ACBC84" w14:textId="77777777" w:rsidR="00F353C5" w:rsidRDefault="00F353C5">
                    <w:pPr>
                      <w:pStyle w:val="Bibliography"/>
                      <w:rPr>
                        <w:noProof/>
                      </w:rPr>
                    </w:pPr>
                    <w:r>
                      <w:rPr>
                        <w:noProof/>
                      </w:rPr>
                      <w:t>M. Design, “Energy band structure of germanium,” materials design, 2018. [Online]. Available: http://www.materialsdesign.com/appnote/energy-band-structure-germanium.</w:t>
                    </w:r>
                  </w:p>
                </w:tc>
              </w:tr>
            </w:tbl>
            <w:p w14:paraId="4B4C84FA" w14:textId="77777777" w:rsidR="00F353C5" w:rsidRDefault="00F353C5">
              <w:pPr>
                <w:divId w:val="384765606"/>
                <w:rPr>
                  <w:rFonts w:eastAsia="Times New Roman"/>
                  <w:noProof/>
                </w:rPr>
              </w:pPr>
            </w:p>
            <w:p w14:paraId="34BFD1DC" w14:textId="71917EC5" w:rsidR="00E518D7" w:rsidRDefault="00E518D7">
              <w:r>
                <w:rPr>
                  <w:b/>
                  <w:bCs/>
                  <w:noProof/>
                </w:rPr>
                <w:fldChar w:fldCharType="end"/>
              </w:r>
            </w:p>
          </w:sdtContent>
        </w:sdt>
      </w:sdtContent>
    </w:sdt>
    <w:p w14:paraId="40B55BB2" w14:textId="241DFC80" w:rsidR="00025DC9" w:rsidRDefault="00025DC9" w:rsidP="00451A57">
      <w:pPr>
        <w:rPr>
          <w:rFonts w:cstheme="minorHAnsi"/>
          <w:sz w:val="24"/>
        </w:rPr>
      </w:pPr>
    </w:p>
    <w:p w14:paraId="4641E460" w14:textId="77777777" w:rsidR="00CA0438" w:rsidRPr="00CA0438" w:rsidRDefault="00CA0438" w:rsidP="00451A57">
      <w:pPr>
        <w:rPr>
          <w:sz w:val="24"/>
        </w:rPr>
      </w:pPr>
    </w:p>
    <w:sectPr w:rsidR="00CA0438" w:rsidRPr="00CA0438" w:rsidSect="00451A57">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DFACC" w14:textId="77777777" w:rsidR="00BC01F2" w:rsidRDefault="00BC01F2" w:rsidP="006F6F01">
      <w:pPr>
        <w:spacing w:after="0" w:line="240" w:lineRule="auto"/>
      </w:pPr>
      <w:r>
        <w:separator/>
      </w:r>
    </w:p>
  </w:endnote>
  <w:endnote w:type="continuationSeparator" w:id="0">
    <w:p w14:paraId="2BBF5DA7" w14:textId="77777777" w:rsidR="00BC01F2" w:rsidRDefault="00BC01F2" w:rsidP="006F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781429"/>
      <w:docPartObj>
        <w:docPartGallery w:val="Page Numbers (Bottom of Page)"/>
        <w:docPartUnique/>
      </w:docPartObj>
    </w:sdtPr>
    <w:sdtContent>
      <w:sdt>
        <w:sdtPr>
          <w:id w:val="-1769616900"/>
          <w:docPartObj>
            <w:docPartGallery w:val="Page Numbers (Top of Page)"/>
            <w:docPartUnique/>
          </w:docPartObj>
        </w:sdtPr>
        <w:sdtContent>
          <w:p w14:paraId="70CED418" w14:textId="57709E53" w:rsidR="000C1711" w:rsidRDefault="000C171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CEEBD9" w14:textId="738E69DE" w:rsidR="000C1711" w:rsidRDefault="000C1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9E13F" w14:textId="77777777" w:rsidR="00BC01F2" w:rsidRDefault="00BC01F2" w:rsidP="006F6F01">
      <w:pPr>
        <w:spacing w:after="0" w:line="240" w:lineRule="auto"/>
      </w:pPr>
      <w:r>
        <w:separator/>
      </w:r>
    </w:p>
  </w:footnote>
  <w:footnote w:type="continuationSeparator" w:id="0">
    <w:p w14:paraId="5DF29FEB" w14:textId="77777777" w:rsidR="00BC01F2" w:rsidRDefault="00BC01F2" w:rsidP="006F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F98C" w14:textId="68978DE2" w:rsidR="000C1711" w:rsidRDefault="000C1711">
    <w:pPr>
      <w:pStyle w:val="Header"/>
    </w:pPr>
    <w:r>
      <w:tab/>
    </w:r>
    <w:r>
      <w:tab/>
      <w:t>Report Four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1A22"/>
    <w:multiLevelType w:val="hybridMultilevel"/>
    <w:tmpl w:val="2AFC77D2"/>
    <w:lvl w:ilvl="0" w:tplc="BAFE18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EE3180"/>
    <w:multiLevelType w:val="hybridMultilevel"/>
    <w:tmpl w:val="6106C1A2"/>
    <w:lvl w:ilvl="0" w:tplc="720CBD2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CA6C7D"/>
    <w:multiLevelType w:val="hybridMultilevel"/>
    <w:tmpl w:val="83B66D46"/>
    <w:lvl w:ilvl="0" w:tplc="0C5A322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01"/>
    <w:rsid w:val="00002B7C"/>
    <w:rsid w:val="00007B2B"/>
    <w:rsid w:val="00007BCA"/>
    <w:rsid w:val="00013E8E"/>
    <w:rsid w:val="0001559C"/>
    <w:rsid w:val="00016AC0"/>
    <w:rsid w:val="00016C3A"/>
    <w:rsid w:val="00017D6D"/>
    <w:rsid w:val="000213EE"/>
    <w:rsid w:val="00025180"/>
    <w:rsid w:val="00025DC9"/>
    <w:rsid w:val="000270BD"/>
    <w:rsid w:val="0004022C"/>
    <w:rsid w:val="00040E94"/>
    <w:rsid w:val="00041E1F"/>
    <w:rsid w:val="00046123"/>
    <w:rsid w:val="0006025B"/>
    <w:rsid w:val="00061BF9"/>
    <w:rsid w:val="00075C60"/>
    <w:rsid w:val="00077A27"/>
    <w:rsid w:val="00080747"/>
    <w:rsid w:val="00083079"/>
    <w:rsid w:val="00084AA1"/>
    <w:rsid w:val="00091D91"/>
    <w:rsid w:val="00091E15"/>
    <w:rsid w:val="0009380E"/>
    <w:rsid w:val="000952BB"/>
    <w:rsid w:val="000B6F15"/>
    <w:rsid w:val="000C1711"/>
    <w:rsid w:val="000C64D4"/>
    <w:rsid w:val="000E10CA"/>
    <w:rsid w:val="000E5179"/>
    <w:rsid w:val="000E51E4"/>
    <w:rsid w:val="000E5B12"/>
    <w:rsid w:val="000E77FA"/>
    <w:rsid w:val="000F009E"/>
    <w:rsid w:val="000F055F"/>
    <w:rsid w:val="000F1EBC"/>
    <w:rsid w:val="000F3B4B"/>
    <w:rsid w:val="000F50F7"/>
    <w:rsid w:val="000F5B76"/>
    <w:rsid w:val="000F7F58"/>
    <w:rsid w:val="00101383"/>
    <w:rsid w:val="001038A3"/>
    <w:rsid w:val="00104AFB"/>
    <w:rsid w:val="00113BA9"/>
    <w:rsid w:val="00117D60"/>
    <w:rsid w:val="001200BC"/>
    <w:rsid w:val="001331ED"/>
    <w:rsid w:val="00133979"/>
    <w:rsid w:val="00143B43"/>
    <w:rsid w:val="00147656"/>
    <w:rsid w:val="00156FD4"/>
    <w:rsid w:val="00171FE6"/>
    <w:rsid w:val="00172BA8"/>
    <w:rsid w:val="001754EA"/>
    <w:rsid w:val="00176C5C"/>
    <w:rsid w:val="00176D8C"/>
    <w:rsid w:val="00194349"/>
    <w:rsid w:val="00194C06"/>
    <w:rsid w:val="0019682F"/>
    <w:rsid w:val="0019769D"/>
    <w:rsid w:val="001A1B01"/>
    <w:rsid w:val="001B43E6"/>
    <w:rsid w:val="001C3012"/>
    <w:rsid w:val="001C388C"/>
    <w:rsid w:val="001C5FB0"/>
    <w:rsid w:val="001C6764"/>
    <w:rsid w:val="001C67E8"/>
    <w:rsid w:val="001D0BB4"/>
    <w:rsid w:val="001D3BF3"/>
    <w:rsid w:val="001D400B"/>
    <w:rsid w:val="001E6896"/>
    <w:rsid w:val="001F20EE"/>
    <w:rsid w:val="00201FD1"/>
    <w:rsid w:val="002034F0"/>
    <w:rsid w:val="0021447F"/>
    <w:rsid w:val="0021553A"/>
    <w:rsid w:val="00225742"/>
    <w:rsid w:val="0022794F"/>
    <w:rsid w:val="00230050"/>
    <w:rsid w:val="00245ED1"/>
    <w:rsid w:val="00263BB9"/>
    <w:rsid w:val="00280A0C"/>
    <w:rsid w:val="002839C2"/>
    <w:rsid w:val="00292567"/>
    <w:rsid w:val="0029502B"/>
    <w:rsid w:val="002A20CA"/>
    <w:rsid w:val="002A443C"/>
    <w:rsid w:val="002A45B8"/>
    <w:rsid w:val="002B256F"/>
    <w:rsid w:val="002B37E2"/>
    <w:rsid w:val="002C12FF"/>
    <w:rsid w:val="002C1C42"/>
    <w:rsid w:val="002C2879"/>
    <w:rsid w:val="002D1830"/>
    <w:rsid w:val="002D1967"/>
    <w:rsid w:val="002D264E"/>
    <w:rsid w:val="002F00B3"/>
    <w:rsid w:val="002F5164"/>
    <w:rsid w:val="002F556D"/>
    <w:rsid w:val="002F67D9"/>
    <w:rsid w:val="002F7A41"/>
    <w:rsid w:val="00302129"/>
    <w:rsid w:val="00302AF9"/>
    <w:rsid w:val="003067A6"/>
    <w:rsid w:val="003166DE"/>
    <w:rsid w:val="00316857"/>
    <w:rsid w:val="00323C5F"/>
    <w:rsid w:val="003243D9"/>
    <w:rsid w:val="003250EE"/>
    <w:rsid w:val="00331439"/>
    <w:rsid w:val="003327C7"/>
    <w:rsid w:val="00335C9B"/>
    <w:rsid w:val="00337F7C"/>
    <w:rsid w:val="00345A82"/>
    <w:rsid w:val="00346BD5"/>
    <w:rsid w:val="0035667E"/>
    <w:rsid w:val="00367762"/>
    <w:rsid w:val="00370C1B"/>
    <w:rsid w:val="0037139A"/>
    <w:rsid w:val="003714E5"/>
    <w:rsid w:val="00371A6F"/>
    <w:rsid w:val="0037217B"/>
    <w:rsid w:val="00372C60"/>
    <w:rsid w:val="003737F1"/>
    <w:rsid w:val="00380156"/>
    <w:rsid w:val="00383D03"/>
    <w:rsid w:val="00384462"/>
    <w:rsid w:val="003873AA"/>
    <w:rsid w:val="0039038B"/>
    <w:rsid w:val="00393414"/>
    <w:rsid w:val="0039680C"/>
    <w:rsid w:val="003A2C7A"/>
    <w:rsid w:val="003B32C5"/>
    <w:rsid w:val="003B3942"/>
    <w:rsid w:val="003C493D"/>
    <w:rsid w:val="003C6F44"/>
    <w:rsid w:val="003D110A"/>
    <w:rsid w:val="003D45F4"/>
    <w:rsid w:val="003F3BC2"/>
    <w:rsid w:val="003F7CF2"/>
    <w:rsid w:val="004021C1"/>
    <w:rsid w:val="00402903"/>
    <w:rsid w:val="00402935"/>
    <w:rsid w:val="00405F42"/>
    <w:rsid w:val="00412286"/>
    <w:rsid w:val="00413DA3"/>
    <w:rsid w:val="004149F9"/>
    <w:rsid w:val="00420CC6"/>
    <w:rsid w:val="00422D51"/>
    <w:rsid w:val="0042365F"/>
    <w:rsid w:val="00435700"/>
    <w:rsid w:val="0044142B"/>
    <w:rsid w:val="004426D4"/>
    <w:rsid w:val="004429EF"/>
    <w:rsid w:val="004445B7"/>
    <w:rsid w:val="00445E56"/>
    <w:rsid w:val="00451A57"/>
    <w:rsid w:val="0045589F"/>
    <w:rsid w:val="00460701"/>
    <w:rsid w:val="00462C55"/>
    <w:rsid w:val="00467969"/>
    <w:rsid w:val="00470E51"/>
    <w:rsid w:val="004804C8"/>
    <w:rsid w:val="004811F7"/>
    <w:rsid w:val="0048243E"/>
    <w:rsid w:val="00485F3D"/>
    <w:rsid w:val="00492E77"/>
    <w:rsid w:val="00493982"/>
    <w:rsid w:val="004A17C8"/>
    <w:rsid w:val="004A3085"/>
    <w:rsid w:val="004A52B8"/>
    <w:rsid w:val="004A6B61"/>
    <w:rsid w:val="004B0A4B"/>
    <w:rsid w:val="004B7271"/>
    <w:rsid w:val="004B7C1E"/>
    <w:rsid w:val="004C26E1"/>
    <w:rsid w:val="004C40FF"/>
    <w:rsid w:val="004C4AF7"/>
    <w:rsid w:val="004D1BAB"/>
    <w:rsid w:val="004D34C3"/>
    <w:rsid w:val="004D4121"/>
    <w:rsid w:val="004D6AEA"/>
    <w:rsid w:val="004E492E"/>
    <w:rsid w:val="004E6B90"/>
    <w:rsid w:val="004F0915"/>
    <w:rsid w:val="004F0C62"/>
    <w:rsid w:val="004F3403"/>
    <w:rsid w:val="004F4CBA"/>
    <w:rsid w:val="004F4F3D"/>
    <w:rsid w:val="00500B64"/>
    <w:rsid w:val="00500FE2"/>
    <w:rsid w:val="005071A8"/>
    <w:rsid w:val="00507E5D"/>
    <w:rsid w:val="00514392"/>
    <w:rsid w:val="00515992"/>
    <w:rsid w:val="00521CF0"/>
    <w:rsid w:val="00522FA2"/>
    <w:rsid w:val="00525E3B"/>
    <w:rsid w:val="00527E23"/>
    <w:rsid w:val="00531C7B"/>
    <w:rsid w:val="00537831"/>
    <w:rsid w:val="005441E7"/>
    <w:rsid w:val="00553B05"/>
    <w:rsid w:val="005601D1"/>
    <w:rsid w:val="005652CF"/>
    <w:rsid w:val="0056566B"/>
    <w:rsid w:val="00575730"/>
    <w:rsid w:val="005761E9"/>
    <w:rsid w:val="005834E2"/>
    <w:rsid w:val="00584554"/>
    <w:rsid w:val="00587E95"/>
    <w:rsid w:val="00591884"/>
    <w:rsid w:val="00592285"/>
    <w:rsid w:val="005962E0"/>
    <w:rsid w:val="005963E4"/>
    <w:rsid w:val="005A3AD8"/>
    <w:rsid w:val="005A5FDC"/>
    <w:rsid w:val="005A7DAF"/>
    <w:rsid w:val="005B4D99"/>
    <w:rsid w:val="005B6E12"/>
    <w:rsid w:val="005C16AB"/>
    <w:rsid w:val="005C45B7"/>
    <w:rsid w:val="005D1176"/>
    <w:rsid w:val="005D342C"/>
    <w:rsid w:val="005D497C"/>
    <w:rsid w:val="005D6E70"/>
    <w:rsid w:val="005E211E"/>
    <w:rsid w:val="005E31F2"/>
    <w:rsid w:val="005E3DB0"/>
    <w:rsid w:val="005E3E9C"/>
    <w:rsid w:val="005F0DBA"/>
    <w:rsid w:val="005F6BB1"/>
    <w:rsid w:val="006002BA"/>
    <w:rsid w:val="006011C6"/>
    <w:rsid w:val="00603ADA"/>
    <w:rsid w:val="00604B9A"/>
    <w:rsid w:val="00604C5D"/>
    <w:rsid w:val="006076F2"/>
    <w:rsid w:val="006173A3"/>
    <w:rsid w:val="00621D63"/>
    <w:rsid w:val="0063096F"/>
    <w:rsid w:val="006313E9"/>
    <w:rsid w:val="006318C5"/>
    <w:rsid w:val="00640475"/>
    <w:rsid w:val="006429B8"/>
    <w:rsid w:val="00647EAE"/>
    <w:rsid w:val="006552C4"/>
    <w:rsid w:val="00663739"/>
    <w:rsid w:val="00664F8A"/>
    <w:rsid w:val="00667FA1"/>
    <w:rsid w:val="00673DC2"/>
    <w:rsid w:val="006760F2"/>
    <w:rsid w:val="00680C39"/>
    <w:rsid w:val="0068640C"/>
    <w:rsid w:val="00690C17"/>
    <w:rsid w:val="00692694"/>
    <w:rsid w:val="00694302"/>
    <w:rsid w:val="006A19F7"/>
    <w:rsid w:val="006A3824"/>
    <w:rsid w:val="006A684F"/>
    <w:rsid w:val="006B1F41"/>
    <w:rsid w:val="006B5CB3"/>
    <w:rsid w:val="006C67FD"/>
    <w:rsid w:val="006D0DB2"/>
    <w:rsid w:val="006D5AEA"/>
    <w:rsid w:val="006D5EE3"/>
    <w:rsid w:val="006D681F"/>
    <w:rsid w:val="006D7323"/>
    <w:rsid w:val="006E4C69"/>
    <w:rsid w:val="006E4F02"/>
    <w:rsid w:val="006E7124"/>
    <w:rsid w:val="006E7285"/>
    <w:rsid w:val="006E7C82"/>
    <w:rsid w:val="006F42AC"/>
    <w:rsid w:val="006F6F01"/>
    <w:rsid w:val="00700EBA"/>
    <w:rsid w:val="00703B06"/>
    <w:rsid w:val="007119D6"/>
    <w:rsid w:val="0071528A"/>
    <w:rsid w:val="00716465"/>
    <w:rsid w:val="007164D5"/>
    <w:rsid w:val="00722CF5"/>
    <w:rsid w:val="00723090"/>
    <w:rsid w:val="00724936"/>
    <w:rsid w:val="007249E3"/>
    <w:rsid w:val="00727EA9"/>
    <w:rsid w:val="00730708"/>
    <w:rsid w:val="007345D6"/>
    <w:rsid w:val="007433FD"/>
    <w:rsid w:val="00745AB7"/>
    <w:rsid w:val="007466D6"/>
    <w:rsid w:val="00751150"/>
    <w:rsid w:val="007531E2"/>
    <w:rsid w:val="00753983"/>
    <w:rsid w:val="00756676"/>
    <w:rsid w:val="00761E00"/>
    <w:rsid w:val="0076683A"/>
    <w:rsid w:val="0077139C"/>
    <w:rsid w:val="00782458"/>
    <w:rsid w:val="0078279C"/>
    <w:rsid w:val="00785AF6"/>
    <w:rsid w:val="0078668D"/>
    <w:rsid w:val="007878EF"/>
    <w:rsid w:val="007931DA"/>
    <w:rsid w:val="0079364D"/>
    <w:rsid w:val="007A60AA"/>
    <w:rsid w:val="007B1A0C"/>
    <w:rsid w:val="007B3993"/>
    <w:rsid w:val="007C13D5"/>
    <w:rsid w:val="007C1FC2"/>
    <w:rsid w:val="007C6BE1"/>
    <w:rsid w:val="007D2585"/>
    <w:rsid w:val="007D31DC"/>
    <w:rsid w:val="007D5C31"/>
    <w:rsid w:val="007E009E"/>
    <w:rsid w:val="007E38EA"/>
    <w:rsid w:val="007E71AD"/>
    <w:rsid w:val="007E7D9E"/>
    <w:rsid w:val="007F3142"/>
    <w:rsid w:val="007F5C09"/>
    <w:rsid w:val="007F7763"/>
    <w:rsid w:val="008029AF"/>
    <w:rsid w:val="008064AA"/>
    <w:rsid w:val="008067A6"/>
    <w:rsid w:val="00810234"/>
    <w:rsid w:val="00817D8E"/>
    <w:rsid w:val="00817F90"/>
    <w:rsid w:val="008224ED"/>
    <w:rsid w:val="0082463A"/>
    <w:rsid w:val="008314D2"/>
    <w:rsid w:val="00835AFA"/>
    <w:rsid w:val="008404A4"/>
    <w:rsid w:val="00844427"/>
    <w:rsid w:val="008444B1"/>
    <w:rsid w:val="00844B4C"/>
    <w:rsid w:val="00845FFF"/>
    <w:rsid w:val="0085191B"/>
    <w:rsid w:val="00851E27"/>
    <w:rsid w:val="00852260"/>
    <w:rsid w:val="008533CA"/>
    <w:rsid w:val="008539D6"/>
    <w:rsid w:val="0085421B"/>
    <w:rsid w:val="00860049"/>
    <w:rsid w:val="008625B9"/>
    <w:rsid w:val="00872BBB"/>
    <w:rsid w:val="00872C49"/>
    <w:rsid w:val="00874B64"/>
    <w:rsid w:val="00886A25"/>
    <w:rsid w:val="008951DB"/>
    <w:rsid w:val="00895EAE"/>
    <w:rsid w:val="00896D7B"/>
    <w:rsid w:val="008A419C"/>
    <w:rsid w:val="008A6237"/>
    <w:rsid w:val="008A6FB5"/>
    <w:rsid w:val="008B03C6"/>
    <w:rsid w:val="008C0044"/>
    <w:rsid w:val="008C022E"/>
    <w:rsid w:val="008C3EC1"/>
    <w:rsid w:val="008C4017"/>
    <w:rsid w:val="008C6987"/>
    <w:rsid w:val="008D1223"/>
    <w:rsid w:val="008D5D10"/>
    <w:rsid w:val="008D6956"/>
    <w:rsid w:val="008D7594"/>
    <w:rsid w:val="008E3624"/>
    <w:rsid w:val="008E39CC"/>
    <w:rsid w:val="008E6378"/>
    <w:rsid w:val="008E70CA"/>
    <w:rsid w:val="008F02F5"/>
    <w:rsid w:val="008F1D63"/>
    <w:rsid w:val="008F4B5E"/>
    <w:rsid w:val="00900422"/>
    <w:rsid w:val="00907E75"/>
    <w:rsid w:val="00912A37"/>
    <w:rsid w:val="00917EA3"/>
    <w:rsid w:val="009206FA"/>
    <w:rsid w:val="00923E1F"/>
    <w:rsid w:val="00930A02"/>
    <w:rsid w:val="009333CE"/>
    <w:rsid w:val="00934343"/>
    <w:rsid w:val="00940246"/>
    <w:rsid w:val="00940B4C"/>
    <w:rsid w:val="009443A7"/>
    <w:rsid w:val="00955200"/>
    <w:rsid w:val="00957FFC"/>
    <w:rsid w:val="009648CC"/>
    <w:rsid w:val="009658B4"/>
    <w:rsid w:val="0096673C"/>
    <w:rsid w:val="00966BC8"/>
    <w:rsid w:val="009726FF"/>
    <w:rsid w:val="00975A7F"/>
    <w:rsid w:val="009763C1"/>
    <w:rsid w:val="00980869"/>
    <w:rsid w:val="00984E03"/>
    <w:rsid w:val="00984F50"/>
    <w:rsid w:val="009924E2"/>
    <w:rsid w:val="009940D5"/>
    <w:rsid w:val="0099470C"/>
    <w:rsid w:val="00997508"/>
    <w:rsid w:val="009975A8"/>
    <w:rsid w:val="009A1CB2"/>
    <w:rsid w:val="009A4EC5"/>
    <w:rsid w:val="009A79D9"/>
    <w:rsid w:val="009B1ADF"/>
    <w:rsid w:val="009C18C7"/>
    <w:rsid w:val="009D058D"/>
    <w:rsid w:val="009E16B6"/>
    <w:rsid w:val="009E17CB"/>
    <w:rsid w:val="009E2D27"/>
    <w:rsid w:val="009E3D73"/>
    <w:rsid w:val="009E451E"/>
    <w:rsid w:val="009F086C"/>
    <w:rsid w:val="009F3EA8"/>
    <w:rsid w:val="009F50D2"/>
    <w:rsid w:val="00A006C9"/>
    <w:rsid w:val="00A00C86"/>
    <w:rsid w:val="00A03347"/>
    <w:rsid w:val="00A04E95"/>
    <w:rsid w:val="00A072B5"/>
    <w:rsid w:val="00A116C4"/>
    <w:rsid w:val="00A201F8"/>
    <w:rsid w:val="00A241F2"/>
    <w:rsid w:val="00A24E97"/>
    <w:rsid w:val="00A276F5"/>
    <w:rsid w:val="00A410AD"/>
    <w:rsid w:val="00A42D48"/>
    <w:rsid w:val="00A46D24"/>
    <w:rsid w:val="00A50281"/>
    <w:rsid w:val="00A510B1"/>
    <w:rsid w:val="00A56671"/>
    <w:rsid w:val="00A57118"/>
    <w:rsid w:val="00A576E9"/>
    <w:rsid w:val="00A60861"/>
    <w:rsid w:val="00A61C5C"/>
    <w:rsid w:val="00A62414"/>
    <w:rsid w:val="00A63C7A"/>
    <w:rsid w:val="00A7086C"/>
    <w:rsid w:val="00A726C0"/>
    <w:rsid w:val="00A73C31"/>
    <w:rsid w:val="00A7720C"/>
    <w:rsid w:val="00A92FA5"/>
    <w:rsid w:val="00A956DC"/>
    <w:rsid w:val="00A95F8A"/>
    <w:rsid w:val="00A96A29"/>
    <w:rsid w:val="00A96F93"/>
    <w:rsid w:val="00A970D0"/>
    <w:rsid w:val="00AA0064"/>
    <w:rsid w:val="00AA133B"/>
    <w:rsid w:val="00AA303E"/>
    <w:rsid w:val="00AA31FE"/>
    <w:rsid w:val="00AA64FC"/>
    <w:rsid w:val="00AA6DB8"/>
    <w:rsid w:val="00AB0213"/>
    <w:rsid w:val="00AB1E5A"/>
    <w:rsid w:val="00AB7999"/>
    <w:rsid w:val="00AC2477"/>
    <w:rsid w:val="00AC75F6"/>
    <w:rsid w:val="00AD03AD"/>
    <w:rsid w:val="00AD6D2C"/>
    <w:rsid w:val="00AE067E"/>
    <w:rsid w:val="00AE64AF"/>
    <w:rsid w:val="00AE72E9"/>
    <w:rsid w:val="00AF44F6"/>
    <w:rsid w:val="00B02FB4"/>
    <w:rsid w:val="00B050D4"/>
    <w:rsid w:val="00B06AD6"/>
    <w:rsid w:val="00B11939"/>
    <w:rsid w:val="00B14C98"/>
    <w:rsid w:val="00B228D7"/>
    <w:rsid w:val="00B269A8"/>
    <w:rsid w:val="00B27215"/>
    <w:rsid w:val="00B27785"/>
    <w:rsid w:val="00B3025B"/>
    <w:rsid w:val="00B30407"/>
    <w:rsid w:val="00B30D33"/>
    <w:rsid w:val="00B320BB"/>
    <w:rsid w:val="00B324F9"/>
    <w:rsid w:val="00B32942"/>
    <w:rsid w:val="00B349E1"/>
    <w:rsid w:val="00B355AB"/>
    <w:rsid w:val="00B35CD2"/>
    <w:rsid w:val="00B35E66"/>
    <w:rsid w:val="00B36AF9"/>
    <w:rsid w:val="00B40936"/>
    <w:rsid w:val="00B42A3A"/>
    <w:rsid w:val="00B43A43"/>
    <w:rsid w:val="00B4400A"/>
    <w:rsid w:val="00B44D92"/>
    <w:rsid w:val="00B47021"/>
    <w:rsid w:val="00B47180"/>
    <w:rsid w:val="00B5417E"/>
    <w:rsid w:val="00B54773"/>
    <w:rsid w:val="00B56AB1"/>
    <w:rsid w:val="00B63172"/>
    <w:rsid w:val="00B640E0"/>
    <w:rsid w:val="00B6766F"/>
    <w:rsid w:val="00B7226D"/>
    <w:rsid w:val="00B7442B"/>
    <w:rsid w:val="00B74A2C"/>
    <w:rsid w:val="00B7661E"/>
    <w:rsid w:val="00B902CB"/>
    <w:rsid w:val="00B91114"/>
    <w:rsid w:val="00B926FE"/>
    <w:rsid w:val="00B92F8E"/>
    <w:rsid w:val="00B93214"/>
    <w:rsid w:val="00BA4C75"/>
    <w:rsid w:val="00BA50B6"/>
    <w:rsid w:val="00BB0272"/>
    <w:rsid w:val="00BC01F2"/>
    <w:rsid w:val="00BC13FE"/>
    <w:rsid w:val="00BC2B91"/>
    <w:rsid w:val="00BC2DB4"/>
    <w:rsid w:val="00BC32D1"/>
    <w:rsid w:val="00BC4A88"/>
    <w:rsid w:val="00BD08FF"/>
    <w:rsid w:val="00BD38C4"/>
    <w:rsid w:val="00BD5F16"/>
    <w:rsid w:val="00BD60E7"/>
    <w:rsid w:val="00BE2A4B"/>
    <w:rsid w:val="00BE32E2"/>
    <w:rsid w:val="00BF2144"/>
    <w:rsid w:val="00BF2312"/>
    <w:rsid w:val="00BF3825"/>
    <w:rsid w:val="00BF3B94"/>
    <w:rsid w:val="00BF5584"/>
    <w:rsid w:val="00BF74C3"/>
    <w:rsid w:val="00C04BDB"/>
    <w:rsid w:val="00C06B4D"/>
    <w:rsid w:val="00C13C66"/>
    <w:rsid w:val="00C23199"/>
    <w:rsid w:val="00C23BBA"/>
    <w:rsid w:val="00C24C46"/>
    <w:rsid w:val="00C262F7"/>
    <w:rsid w:val="00C31C0F"/>
    <w:rsid w:val="00C34B92"/>
    <w:rsid w:val="00C42C57"/>
    <w:rsid w:val="00C42CA0"/>
    <w:rsid w:val="00C43EE4"/>
    <w:rsid w:val="00C44145"/>
    <w:rsid w:val="00C44328"/>
    <w:rsid w:val="00C44EF2"/>
    <w:rsid w:val="00C46E54"/>
    <w:rsid w:val="00C47730"/>
    <w:rsid w:val="00C513FC"/>
    <w:rsid w:val="00C53F09"/>
    <w:rsid w:val="00C67615"/>
    <w:rsid w:val="00C83C12"/>
    <w:rsid w:val="00C86EED"/>
    <w:rsid w:val="00C9634E"/>
    <w:rsid w:val="00C97925"/>
    <w:rsid w:val="00CA0438"/>
    <w:rsid w:val="00CB194E"/>
    <w:rsid w:val="00CC02AB"/>
    <w:rsid w:val="00CC7C77"/>
    <w:rsid w:val="00CD0BF3"/>
    <w:rsid w:val="00CD1DE7"/>
    <w:rsid w:val="00CD3D07"/>
    <w:rsid w:val="00CE2ADE"/>
    <w:rsid w:val="00CF5E8D"/>
    <w:rsid w:val="00CF6705"/>
    <w:rsid w:val="00CF7182"/>
    <w:rsid w:val="00CF75EC"/>
    <w:rsid w:val="00D05C35"/>
    <w:rsid w:val="00D108B4"/>
    <w:rsid w:val="00D12832"/>
    <w:rsid w:val="00D13E5E"/>
    <w:rsid w:val="00D1497F"/>
    <w:rsid w:val="00D20B20"/>
    <w:rsid w:val="00D24851"/>
    <w:rsid w:val="00D30540"/>
    <w:rsid w:val="00D36AC3"/>
    <w:rsid w:val="00D4566C"/>
    <w:rsid w:val="00D45EB7"/>
    <w:rsid w:val="00D468D3"/>
    <w:rsid w:val="00D47369"/>
    <w:rsid w:val="00D51C70"/>
    <w:rsid w:val="00D64198"/>
    <w:rsid w:val="00D71678"/>
    <w:rsid w:val="00D7176C"/>
    <w:rsid w:val="00D745B8"/>
    <w:rsid w:val="00D75184"/>
    <w:rsid w:val="00D758D7"/>
    <w:rsid w:val="00D77C40"/>
    <w:rsid w:val="00D80708"/>
    <w:rsid w:val="00D80B01"/>
    <w:rsid w:val="00D815FF"/>
    <w:rsid w:val="00D8698E"/>
    <w:rsid w:val="00D8718E"/>
    <w:rsid w:val="00D96A59"/>
    <w:rsid w:val="00DA2A2A"/>
    <w:rsid w:val="00DA3376"/>
    <w:rsid w:val="00DB45A4"/>
    <w:rsid w:val="00DC70C5"/>
    <w:rsid w:val="00DC7A7F"/>
    <w:rsid w:val="00DD113F"/>
    <w:rsid w:val="00DD1D24"/>
    <w:rsid w:val="00DD2317"/>
    <w:rsid w:val="00DD394D"/>
    <w:rsid w:val="00DD4412"/>
    <w:rsid w:val="00DD60FC"/>
    <w:rsid w:val="00DE134F"/>
    <w:rsid w:val="00DE698E"/>
    <w:rsid w:val="00DE7B6F"/>
    <w:rsid w:val="00DF0F89"/>
    <w:rsid w:val="00DF3A92"/>
    <w:rsid w:val="00DF50F8"/>
    <w:rsid w:val="00DF6FF6"/>
    <w:rsid w:val="00E01303"/>
    <w:rsid w:val="00E0145F"/>
    <w:rsid w:val="00E10E5B"/>
    <w:rsid w:val="00E1381A"/>
    <w:rsid w:val="00E172C2"/>
    <w:rsid w:val="00E26443"/>
    <w:rsid w:val="00E33AB8"/>
    <w:rsid w:val="00E342D5"/>
    <w:rsid w:val="00E371F0"/>
    <w:rsid w:val="00E41214"/>
    <w:rsid w:val="00E415D1"/>
    <w:rsid w:val="00E43F03"/>
    <w:rsid w:val="00E44C56"/>
    <w:rsid w:val="00E46FB0"/>
    <w:rsid w:val="00E47362"/>
    <w:rsid w:val="00E47C25"/>
    <w:rsid w:val="00E47DE6"/>
    <w:rsid w:val="00E518D7"/>
    <w:rsid w:val="00E51A4A"/>
    <w:rsid w:val="00E546DD"/>
    <w:rsid w:val="00E60C4C"/>
    <w:rsid w:val="00E643BF"/>
    <w:rsid w:val="00E713CA"/>
    <w:rsid w:val="00E84C05"/>
    <w:rsid w:val="00E86DE5"/>
    <w:rsid w:val="00E9447A"/>
    <w:rsid w:val="00E94BBF"/>
    <w:rsid w:val="00E94DAF"/>
    <w:rsid w:val="00E951CD"/>
    <w:rsid w:val="00EA3803"/>
    <w:rsid w:val="00EA4B5A"/>
    <w:rsid w:val="00EB0F60"/>
    <w:rsid w:val="00EB4389"/>
    <w:rsid w:val="00EB51DA"/>
    <w:rsid w:val="00EC2117"/>
    <w:rsid w:val="00ED6348"/>
    <w:rsid w:val="00ED6C6E"/>
    <w:rsid w:val="00ED7166"/>
    <w:rsid w:val="00EF53DF"/>
    <w:rsid w:val="00F02CC6"/>
    <w:rsid w:val="00F03C63"/>
    <w:rsid w:val="00F03D2B"/>
    <w:rsid w:val="00F0555C"/>
    <w:rsid w:val="00F067B9"/>
    <w:rsid w:val="00F114BF"/>
    <w:rsid w:val="00F13523"/>
    <w:rsid w:val="00F144CD"/>
    <w:rsid w:val="00F1458D"/>
    <w:rsid w:val="00F16B5E"/>
    <w:rsid w:val="00F17980"/>
    <w:rsid w:val="00F22A8E"/>
    <w:rsid w:val="00F334E9"/>
    <w:rsid w:val="00F33728"/>
    <w:rsid w:val="00F353C5"/>
    <w:rsid w:val="00F373A1"/>
    <w:rsid w:val="00F379E2"/>
    <w:rsid w:val="00F40C12"/>
    <w:rsid w:val="00F42131"/>
    <w:rsid w:val="00F51855"/>
    <w:rsid w:val="00F542A7"/>
    <w:rsid w:val="00F5627F"/>
    <w:rsid w:val="00F577D5"/>
    <w:rsid w:val="00F603A1"/>
    <w:rsid w:val="00F61CCA"/>
    <w:rsid w:val="00F640D2"/>
    <w:rsid w:val="00F7044E"/>
    <w:rsid w:val="00F70E11"/>
    <w:rsid w:val="00F748EF"/>
    <w:rsid w:val="00F74BEC"/>
    <w:rsid w:val="00F7625E"/>
    <w:rsid w:val="00F80866"/>
    <w:rsid w:val="00F82629"/>
    <w:rsid w:val="00F82E3B"/>
    <w:rsid w:val="00F91335"/>
    <w:rsid w:val="00F92ED9"/>
    <w:rsid w:val="00FA0B4D"/>
    <w:rsid w:val="00FA5646"/>
    <w:rsid w:val="00FB6586"/>
    <w:rsid w:val="00FB7B8C"/>
    <w:rsid w:val="00FC16E3"/>
    <w:rsid w:val="00FC5F43"/>
    <w:rsid w:val="00FC5FDC"/>
    <w:rsid w:val="00FC61C3"/>
    <w:rsid w:val="00FD0751"/>
    <w:rsid w:val="00FE2FFF"/>
    <w:rsid w:val="00FF36CF"/>
    <w:rsid w:val="00FF3F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59CB"/>
  <w15:chartTrackingRefBased/>
  <w15:docId w15:val="{8AB02B36-81C9-4B69-BE4F-7B71685A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F01"/>
  </w:style>
  <w:style w:type="paragraph" w:styleId="Footer">
    <w:name w:val="footer"/>
    <w:basedOn w:val="Normal"/>
    <w:link w:val="FooterChar"/>
    <w:uiPriority w:val="99"/>
    <w:unhideWhenUsed/>
    <w:rsid w:val="006F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F01"/>
  </w:style>
  <w:style w:type="paragraph" w:styleId="Title">
    <w:name w:val="Title"/>
    <w:basedOn w:val="Normal"/>
    <w:next w:val="Normal"/>
    <w:link w:val="TitleChar"/>
    <w:uiPriority w:val="10"/>
    <w:qFormat/>
    <w:rsid w:val="006F6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6F01"/>
    <w:rPr>
      <w:color w:val="0563C1" w:themeColor="hyperlink"/>
      <w:u w:val="single"/>
    </w:rPr>
  </w:style>
  <w:style w:type="character" w:styleId="UnresolvedMention">
    <w:name w:val="Unresolved Mention"/>
    <w:basedOn w:val="DefaultParagraphFont"/>
    <w:uiPriority w:val="99"/>
    <w:semiHidden/>
    <w:unhideWhenUsed/>
    <w:rsid w:val="006F6F01"/>
    <w:rPr>
      <w:color w:val="808080"/>
      <w:shd w:val="clear" w:color="auto" w:fill="E6E6E6"/>
    </w:rPr>
  </w:style>
  <w:style w:type="paragraph" w:styleId="NoSpacing">
    <w:name w:val="No Spacing"/>
    <w:link w:val="NoSpacingChar"/>
    <w:uiPriority w:val="1"/>
    <w:qFormat/>
    <w:rsid w:val="00451A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57"/>
    <w:rPr>
      <w:rFonts w:eastAsiaTheme="minorEastAsia"/>
      <w:lang w:val="en-US"/>
    </w:rPr>
  </w:style>
  <w:style w:type="character" w:customStyle="1" w:styleId="Heading1Char">
    <w:name w:val="Heading 1 Char"/>
    <w:basedOn w:val="DefaultParagraphFont"/>
    <w:link w:val="Heading1"/>
    <w:uiPriority w:val="9"/>
    <w:rsid w:val="00451A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1A57"/>
    <w:pPr>
      <w:outlineLvl w:val="9"/>
    </w:pPr>
    <w:rPr>
      <w:lang w:val="en-US"/>
    </w:rPr>
  </w:style>
  <w:style w:type="character" w:styleId="PlaceholderText">
    <w:name w:val="Placeholder Text"/>
    <w:basedOn w:val="DefaultParagraphFont"/>
    <w:uiPriority w:val="99"/>
    <w:semiHidden/>
    <w:rsid w:val="003F7CF2"/>
    <w:rPr>
      <w:color w:val="808080"/>
    </w:rPr>
  </w:style>
  <w:style w:type="paragraph" w:styleId="TOC1">
    <w:name w:val="toc 1"/>
    <w:basedOn w:val="Normal"/>
    <w:next w:val="Normal"/>
    <w:autoRedefine/>
    <w:uiPriority w:val="39"/>
    <w:unhideWhenUsed/>
    <w:rsid w:val="008C4017"/>
    <w:pPr>
      <w:spacing w:after="100"/>
    </w:pPr>
  </w:style>
  <w:style w:type="paragraph" w:styleId="Bibliography">
    <w:name w:val="Bibliography"/>
    <w:basedOn w:val="Normal"/>
    <w:next w:val="Normal"/>
    <w:uiPriority w:val="37"/>
    <w:unhideWhenUsed/>
    <w:rsid w:val="00E518D7"/>
  </w:style>
  <w:style w:type="character" w:customStyle="1" w:styleId="Heading2Char">
    <w:name w:val="Heading 2 Char"/>
    <w:basedOn w:val="DefaultParagraphFont"/>
    <w:link w:val="Heading2"/>
    <w:uiPriority w:val="9"/>
    <w:rsid w:val="00B30D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C39"/>
    <w:pPr>
      <w:spacing w:after="100"/>
      <w:ind w:left="220"/>
    </w:pPr>
  </w:style>
  <w:style w:type="paragraph" w:styleId="Caption">
    <w:name w:val="caption"/>
    <w:basedOn w:val="Normal"/>
    <w:next w:val="Normal"/>
    <w:uiPriority w:val="35"/>
    <w:unhideWhenUsed/>
    <w:qFormat/>
    <w:rsid w:val="005652CF"/>
    <w:pPr>
      <w:spacing w:after="200" w:line="240" w:lineRule="auto"/>
    </w:pPr>
    <w:rPr>
      <w:i/>
      <w:iCs/>
      <w:color w:val="44546A" w:themeColor="text2"/>
      <w:sz w:val="18"/>
      <w:szCs w:val="18"/>
    </w:rPr>
  </w:style>
  <w:style w:type="table" w:styleId="TableGrid">
    <w:name w:val="Table Grid"/>
    <w:basedOn w:val="TableNormal"/>
    <w:uiPriority w:val="39"/>
    <w:rsid w:val="0069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C513FC"/>
  </w:style>
  <w:style w:type="character" w:customStyle="1" w:styleId="mo">
    <w:name w:val="mo"/>
    <w:basedOn w:val="DefaultParagraphFont"/>
    <w:rsid w:val="00C513FC"/>
  </w:style>
  <w:style w:type="character" w:customStyle="1" w:styleId="mjxassistivemathml">
    <w:name w:val="mjx_assistive_mathml"/>
    <w:basedOn w:val="DefaultParagraphFont"/>
    <w:rsid w:val="00C513FC"/>
  </w:style>
  <w:style w:type="character" w:customStyle="1" w:styleId="mn">
    <w:name w:val="mn"/>
    <w:basedOn w:val="DefaultParagraphFont"/>
    <w:rsid w:val="00C513FC"/>
  </w:style>
  <w:style w:type="paragraph" w:styleId="EndnoteText">
    <w:name w:val="endnote text"/>
    <w:basedOn w:val="Normal"/>
    <w:link w:val="EndnoteTextChar"/>
    <w:uiPriority w:val="99"/>
    <w:semiHidden/>
    <w:unhideWhenUsed/>
    <w:rsid w:val="00C513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13FC"/>
    <w:rPr>
      <w:sz w:val="20"/>
      <w:szCs w:val="20"/>
    </w:rPr>
  </w:style>
  <w:style w:type="character" w:styleId="EndnoteReference">
    <w:name w:val="endnote reference"/>
    <w:basedOn w:val="DefaultParagraphFont"/>
    <w:uiPriority w:val="99"/>
    <w:semiHidden/>
    <w:unhideWhenUsed/>
    <w:rsid w:val="00C513FC"/>
    <w:rPr>
      <w:vertAlign w:val="superscript"/>
    </w:rPr>
  </w:style>
  <w:style w:type="character" w:styleId="CommentReference">
    <w:name w:val="annotation reference"/>
    <w:basedOn w:val="DefaultParagraphFont"/>
    <w:uiPriority w:val="99"/>
    <w:semiHidden/>
    <w:unhideWhenUsed/>
    <w:rsid w:val="006B1F41"/>
    <w:rPr>
      <w:sz w:val="16"/>
      <w:szCs w:val="16"/>
    </w:rPr>
  </w:style>
  <w:style w:type="paragraph" w:styleId="CommentText">
    <w:name w:val="annotation text"/>
    <w:basedOn w:val="Normal"/>
    <w:link w:val="CommentTextChar"/>
    <w:uiPriority w:val="99"/>
    <w:semiHidden/>
    <w:unhideWhenUsed/>
    <w:rsid w:val="006B1F41"/>
    <w:pPr>
      <w:spacing w:line="240" w:lineRule="auto"/>
    </w:pPr>
    <w:rPr>
      <w:sz w:val="20"/>
      <w:szCs w:val="20"/>
    </w:rPr>
  </w:style>
  <w:style w:type="character" w:customStyle="1" w:styleId="CommentTextChar">
    <w:name w:val="Comment Text Char"/>
    <w:basedOn w:val="DefaultParagraphFont"/>
    <w:link w:val="CommentText"/>
    <w:uiPriority w:val="99"/>
    <w:semiHidden/>
    <w:rsid w:val="006B1F41"/>
    <w:rPr>
      <w:sz w:val="20"/>
      <w:szCs w:val="20"/>
    </w:rPr>
  </w:style>
  <w:style w:type="paragraph" w:styleId="CommentSubject">
    <w:name w:val="annotation subject"/>
    <w:basedOn w:val="CommentText"/>
    <w:next w:val="CommentText"/>
    <w:link w:val="CommentSubjectChar"/>
    <w:uiPriority w:val="99"/>
    <w:semiHidden/>
    <w:unhideWhenUsed/>
    <w:rsid w:val="006B1F41"/>
    <w:rPr>
      <w:b/>
      <w:bCs/>
    </w:rPr>
  </w:style>
  <w:style w:type="character" w:customStyle="1" w:styleId="CommentSubjectChar">
    <w:name w:val="Comment Subject Char"/>
    <w:basedOn w:val="CommentTextChar"/>
    <w:link w:val="CommentSubject"/>
    <w:uiPriority w:val="99"/>
    <w:semiHidden/>
    <w:rsid w:val="006B1F41"/>
    <w:rPr>
      <w:b/>
      <w:bCs/>
      <w:sz w:val="20"/>
      <w:szCs w:val="20"/>
    </w:rPr>
  </w:style>
  <w:style w:type="paragraph" w:styleId="BalloonText">
    <w:name w:val="Balloon Text"/>
    <w:basedOn w:val="Normal"/>
    <w:link w:val="BalloonTextChar"/>
    <w:uiPriority w:val="99"/>
    <w:semiHidden/>
    <w:unhideWhenUsed/>
    <w:rsid w:val="006B1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F41"/>
    <w:rPr>
      <w:rFonts w:ascii="Segoe UI" w:hAnsi="Segoe UI" w:cs="Segoe UI"/>
      <w:sz w:val="18"/>
      <w:szCs w:val="18"/>
    </w:rPr>
  </w:style>
  <w:style w:type="character" w:customStyle="1" w:styleId="Heading3Char">
    <w:name w:val="Heading 3 Char"/>
    <w:basedOn w:val="DefaultParagraphFont"/>
    <w:link w:val="Heading3"/>
    <w:uiPriority w:val="9"/>
    <w:rsid w:val="00930A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6FE"/>
    <w:pPr>
      <w:spacing w:after="100"/>
      <w:ind w:left="440"/>
    </w:pPr>
  </w:style>
  <w:style w:type="paragraph" w:styleId="ListParagraph">
    <w:name w:val="List Paragraph"/>
    <w:basedOn w:val="Normal"/>
    <w:uiPriority w:val="34"/>
    <w:qFormat/>
    <w:rsid w:val="001E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9802">
      <w:bodyDiv w:val="1"/>
      <w:marLeft w:val="0"/>
      <w:marRight w:val="0"/>
      <w:marTop w:val="0"/>
      <w:marBottom w:val="0"/>
      <w:divBdr>
        <w:top w:val="none" w:sz="0" w:space="0" w:color="auto"/>
        <w:left w:val="none" w:sz="0" w:space="0" w:color="auto"/>
        <w:bottom w:val="none" w:sz="0" w:space="0" w:color="auto"/>
        <w:right w:val="none" w:sz="0" w:space="0" w:color="auto"/>
      </w:divBdr>
    </w:div>
    <w:div w:id="133832667">
      <w:bodyDiv w:val="1"/>
      <w:marLeft w:val="0"/>
      <w:marRight w:val="0"/>
      <w:marTop w:val="0"/>
      <w:marBottom w:val="0"/>
      <w:divBdr>
        <w:top w:val="none" w:sz="0" w:space="0" w:color="auto"/>
        <w:left w:val="none" w:sz="0" w:space="0" w:color="auto"/>
        <w:bottom w:val="none" w:sz="0" w:space="0" w:color="auto"/>
        <w:right w:val="none" w:sz="0" w:space="0" w:color="auto"/>
      </w:divBdr>
    </w:div>
    <w:div w:id="155608909">
      <w:bodyDiv w:val="1"/>
      <w:marLeft w:val="0"/>
      <w:marRight w:val="0"/>
      <w:marTop w:val="0"/>
      <w:marBottom w:val="0"/>
      <w:divBdr>
        <w:top w:val="none" w:sz="0" w:space="0" w:color="auto"/>
        <w:left w:val="none" w:sz="0" w:space="0" w:color="auto"/>
        <w:bottom w:val="none" w:sz="0" w:space="0" w:color="auto"/>
        <w:right w:val="none" w:sz="0" w:space="0" w:color="auto"/>
      </w:divBdr>
    </w:div>
    <w:div w:id="166747454">
      <w:bodyDiv w:val="1"/>
      <w:marLeft w:val="0"/>
      <w:marRight w:val="0"/>
      <w:marTop w:val="0"/>
      <w:marBottom w:val="0"/>
      <w:divBdr>
        <w:top w:val="none" w:sz="0" w:space="0" w:color="auto"/>
        <w:left w:val="none" w:sz="0" w:space="0" w:color="auto"/>
        <w:bottom w:val="none" w:sz="0" w:space="0" w:color="auto"/>
        <w:right w:val="none" w:sz="0" w:space="0" w:color="auto"/>
      </w:divBdr>
    </w:div>
    <w:div w:id="186062668">
      <w:bodyDiv w:val="1"/>
      <w:marLeft w:val="0"/>
      <w:marRight w:val="0"/>
      <w:marTop w:val="0"/>
      <w:marBottom w:val="0"/>
      <w:divBdr>
        <w:top w:val="none" w:sz="0" w:space="0" w:color="auto"/>
        <w:left w:val="none" w:sz="0" w:space="0" w:color="auto"/>
        <w:bottom w:val="none" w:sz="0" w:space="0" w:color="auto"/>
        <w:right w:val="none" w:sz="0" w:space="0" w:color="auto"/>
      </w:divBdr>
    </w:div>
    <w:div w:id="213125965">
      <w:bodyDiv w:val="1"/>
      <w:marLeft w:val="0"/>
      <w:marRight w:val="0"/>
      <w:marTop w:val="0"/>
      <w:marBottom w:val="0"/>
      <w:divBdr>
        <w:top w:val="none" w:sz="0" w:space="0" w:color="auto"/>
        <w:left w:val="none" w:sz="0" w:space="0" w:color="auto"/>
        <w:bottom w:val="none" w:sz="0" w:space="0" w:color="auto"/>
        <w:right w:val="none" w:sz="0" w:space="0" w:color="auto"/>
      </w:divBdr>
    </w:div>
    <w:div w:id="251668790">
      <w:bodyDiv w:val="1"/>
      <w:marLeft w:val="0"/>
      <w:marRight w:val="0"/>
      <w:marTop w:val="0"/>
      <w:marBottom w:val="0"/>
      <w:divBdr>
        <w:top w:val="none" w:sz="0" w:space="0" w:color="auto"/>
        <w:left w:val="none" w:sz="0" w:space="0" w:color="auto"/>
        <w:bottom w:val="none" w:sz="0" w:space="0" w:color="auto"/>
        <w:right w:val="none" w:sz="0" w:space="0" w:color="auto"/>
      </w:divBdr>
    </w:div>
    <w:div w:id="303434574">
      <w:bodyDiv w:val="1"/>
      <w:marLeft w:val="0"/>
      <w:marRight w:val="0"/>
      <w:marTop w:val="0"/>
      <w:marBottom w:val="0"/>
      <w:divBdr>
        <w:top w:val="none" w:sz="0" w:space="0" w:color="auto"/>
        <w:left w:val="none" w:sz="0" w:space="0" w:color="auto"/>
        <w:bottom w:val="none" w:sz="0" w:space="0" w:color="auto"/>
        <w:right w:val="none" w:sz="0" w:space="0" w:color="auto"/>
      </w:divBdr>
    </w:div>
    <w:div w:id="316611158">
      <w:bodyDiv w:val="1"/>
      <w:marLeft w:val="0"/>
      <w:marRight w:val="0"/>
      <w:marTop w:val="0"/>
      <w:marBottom w:val="0"/>
      <w:divBdr>
        <w:top w:val="none" w:sz="0" w:space="0" w:color="auto"/>
        <w:left w:val="none" w:sz="0" w:space="0" w:color="auto"/>
        <w:bottom w:val="none" w:sz="0" w:space="0" w:color="auto"/>
        <w:right w:val="none" w:sz="0" w:space="0" w:color="auto"/>
      </w:divBdr>
    </w:div>
    <w:div w:id="384765606">
      <w:bodyDiv w:val="1"/>
      <w:marLeft w:val="0"/>
      <w:marRight w:val="0"/>
      <w:marTop w:val="0"/>
      <w:marBottom w:val="0"/>
      <w:divBdr>
        <w:top w:val="none" w:sz="0" w:space="0" w:color="auto"/>
        <w:left w:val="none" w:sz="0" w:space="0" w:color="auto"/>
        <w:bottom w:val="none" w:sz="0" w:space="0" w:color="auto"/>
        <w:right w:val="none" w:sz="0" w:space="0" w:color="auto"/>
      </w:divBdr>
    </w:div>
    <w:div w:id="585771940">
      <w:bodyDiv w:val="1"/>
      <w:marLeft w:val="0"/>
      <w:marRight w:val="0"/>
      <w:marTop w:val="0"/>
      <w:marBottom w:val="0"/>
      <w:divBdr>
        <w:top w:val="none" w:sz="0" w:space="0" w:color="auto"/>
        <w:left w:val="none" w:sz="0" w:space="0" w:color="auto"/>
        <w:bottom w:val="none" w:sz="0" w:space="0" w:color="auto"/>
        <w:right w:val="none" w:sz="0" w:space="0" w:color="auto"/>
      </w:divBdr>
    </w:div>
    <w:div w:id="690060915">
      <w:bodyDiv w:val="1"/>
      <w:marLeft w:val="0"/>
      <w:marRight w:val="0"/>
      <w:marTop w:val="0"/>
      <w:marBottom w:val="0"/>
      <w:divBdr>
        <w:top w:val="none" w:sz="0" w:space="0" w:color="auto"/>
        <w:left w:val="none" w:sz="0" w:space="0" w:color="auto"/>
        <w:bottom w:val="none" w:sz="0" w:space="0" w:color="auto"/>
        <w:right w:val="none" w:sz="0" w:space="0" w:color="auto"/>
      </w:divBdr>
    </w:div>
    <w:div w:id="718169564">
      <w:bodyDiv w:val="1"/>
      <w:marLeft w:val="0"/>
      <w:marRight w:val="0"/>
      <w:marTop w:val="0"/>
      <w:marBottom w:val="0"/>
      <w:divBdr>
        <w:top w:val="none" w:sz="0" w:space="0" w:color="auto"/>
        <w:left w:val="none" w:sz="0" w:space="0" w:color="auto"/>
        <w:bottom w:val="none" w:sz="0" w:space="0" w:color="auto"/>
        <w:right w:val="none" w:sz="0" w:space="0" w:color="auto"/>
      </w:divBdr>
    </w:div>
    <w:div w:id="739594473">
      <w:bodyDiv w:val="1"/>
      <w:marLeft w:val="0"/>
      <w:marRight w:val="0"/>
      <w:marTop w:val="0"/>
      <w:marBottom w:val="0"/>
      <w:divBdr>
        <w:top w:val="none" w:sz="0" w:space="0" w:color="auto"/>
        <w:left w:val="none" w:sz="0" w:space="0" w:color="auto"/>
        <w:bottom w:val="none" w:sz="0" w:space="0" w:color="auto"/>
        <w:right w:val="none" w:sz="0" w:space="0" w:color="auto"/>
      </w:divBdr>
    </w:div>
    <w:div w:id="772439436">
      <w:bodyDiv w:val="1"/>
      <w:marLeft w:val="0"/>
      <w:marRight w:val="0"/>
      <w:marTop w:val="0"/>
      <w:marBottom w:val="0"/>
      <w:divBdr>
        <w:top w:val="none" w:sz="0" w:space="0" w:color="auto"/>
        <w:left w:val="none" w:sz="0" w:space="0" w:color="auto"/>
        <w:bottom w:val="none" w:sz="0" w:space="0" w:color="auto"/>
        <w:right w:val="none" w:sz="0" w:space="0" w:color="auto"/>
      </w:divBdr>
    </w:div>
    <w:div w:id="808281047">
      <w:bodyDiv w:val="1"/>
      <w:marLeft w:val="0"/>
      <w:marRight w:val="0"/>
      <w:marTop w:val="0"/>
      <w:marBottom w:val="0"/>
      <w:divBdr>
        <w:top w:val="none" w:sz="0" w:space="0" w:color="auto"/>
        <w:left w:val="none" w:sz="0" w:space="0" w:color="auto"/>
        <w:bottom w:val="none" w:sz="0" w:space="0" w:color="auto"/>
        <w:right w:val="none" w:sz="0" w:space="0" w:color="auto"/>
      </w:divBdr>
    </w:div>
    <w:div w:id="820199588">
      <w:bodyDiv w:val="1"/>
      <w:marLeft w:val="0"/>
      <w:marRight w:val="0"/>
      <w:marTop w:val="0"/>
      <w:marBottom w:val="0"/>
      <w:divBdr>
        <w:top w:val="none" w:sz="0" w:space="0" w:color="auto"/>
        <w:left w:val="none" w:sz="0" w:space="0" w:color="auto"/>
        <w:bottom w:val="none" w:sz="0" w:space="0" w:color="auto"/>
        <w:right w:val="none" w:sz="0" w:space="0" w:color="auto"/>
      </w:divBdr>
    </w:div>
    <w:div w:id="856891501">
      <w:bodyDiv w:val="1"/>
      <w:marLeft w:val="0"/>
      <w:marRight w:val="0"/>
      <w:marTop w:val="0"/>
      <w:marBottom w:val="0"/>
      <w:divBdr>
        <w:top w:val="none" w:sz="0" w:space="0" w:color="auto"/>
        <w:left w:val="none" w:sz="0" w:space="0" w:color="auto"/>
        <w:bottom w:val="none" w:sz="0" w:space="0" w:color="auto"/>
        <w:right w:val="none" w:sz="0" w:space="0" w:color="auto"/>
      </w:divBdr>
    </w:div>
    <w:div w:id="874393709">
      <w:bodyDiv w:val="1"/>
      <w:marLeft w:val="0"/>
      <w:marRight w:val="0"/>
      <w:marTop w:val="0"/>
      <w:marBottom w:val="0"/>
      <w:divBdr>
        <w:top w:val="none" w:sz="0" w:space="0" w:color="auto"/>
        <w:left w:val="none" w:sz="0" w:space="0" w:color="auto"/>
        <w:bottom w:val="none" w:sz="0" w:space="0" w:color="auto"/>
        <w:right w:val="none" w:sz="0" w:space="0" w:color="auto"/>
      </w:divBdr>
    </w:div>
    <w:div w:id="888297721">
      <w:bodyDiv w:val="1"/>
      <w:marLeft w:val="0"/>
      <w:marRight w:val="0"/>
      <w:marTop w:val="0"/>
      <w:marBottom w:val="0"/>
      <w:divBdr>
        <w:top w:val="none" w:sz="0" w:space="0" w:color="auto"/>
        <w:left w:val="none" w:sz="0" w:space="0" w:color="auto"/>
        <w:bottom w:val="none" w:sz="0" w:space="0" w:color="auto"/>
        <w:right w:val="none" w:sz="0" w:space="0" w:color="auto"/>
      </w:divBdr>
    </w:div>
    <w:div w:id="894120499">
      <w:bodyDiv w:val="1"/>
      <w:marLeft w:val="0"/>
      <w:marRight w:val="0"/>
      <w:marTop w:val="0"/>
      <w:marBottom w:val="0"/>
      <w:divBdr>
        <w:top w:val="none" w:sz="0" w:space="0" w:color="auto"/>
        <w:left w:val="none" w:sz="0" w:space="0" w:color="auto"/>
        <w:bottom w:val="none" w:sz="0" w:space="0" w:color="auto"/>
        <w:right w:val="none" w:sz="0" w:space="0" w:color="auto"/>
      </w:divBdr>
    </w:div>
    <w:div w:id="1020744720">
      <w:bodyDiv w:val="1"/>
      <w:marLeft w:val="0"/>
      <w:marRight w:val="0"/>
      <w:marTop w:val="0"/>
      <w:marBottom w:val="0"/>
      <w:divBdr>
        <w:top w:val="none" w:sz="0" w:space="0" w:color="auto"/>
        <w:left w:val="none" w:sz="0" w:space="0" w:color="auto"/>
        <w:bottom w:val="none" w:sz="0" w:space="0" w:color="auto"/>
        <w:right w:val="none" w:sz="0" w:space="0" w:color="auto"/>
      </w:divBdr>
    </w:div>
    <w:div w:id="1059786720">
      <w:bodyDiv w:val="1"/>
      <w:marLeft w:val="0"/>
      <w:marRight w:val="0"/>
      <w:marTop w:val="0"/>
      <w:marBottom w:val="0"/>
      <w:divBdr>
        <w:top w:val="none" w:sz="0" w:space="0" w:color="auto"/>
        <w:left w:val="none" w:sz="0" w:space="0" w:color="auto"/>
        <w:bottom w:val="none" w:sz="0" w:space="0" w:color="auto"/>
        <w:right w:val="none" w:sz="0" w:space="0" w:color="auto"/>
      </w:divBdr>
    </w:div>
    <w:div w:id="1082870898">
      <w:bodyDiv w:val="1"/>
      <w:marLeft w:val="0"/>
      <w:marRight w:val="0"/>
      <w:marTop w:val="0"/>
      <w:marBottom w:val="0"/>
      <w:divBdr>
        <w:top w:val="none" w:sz="0" w:space="0" w:color="auto"/>
        <w:left w:val="none" w:sz="0" w:space="0" w:color="auto"/>
        <w:bottom w:val="none" w:sz="0" w:space="0" w:color="auto"/>
        <w:right w:val="none" w:sz="0" w:space="0" w:color="auto"/>
      </w:divBdr>
    </w:div>
    <w:div w:id="1110124870">
      <w:bodyDiv w:val="1"/>
      <w:marLeft w:val="0"/>
      <w:marRight w:val="0"/>
      <w:marTop w:val="0"/>
      <w:marBottom w:val="0"/>
      <w:divBdr>
        <w:top w:val="none" w:sz="0" w:space="0" w:color="auto"/>
        <w:left w:val="none" w:sz="0" w:space="0" w:color="auto"/>
        <w:bottom w:val="none" w:sz="0" w:space="0" w:color="auto"/>
        <w:right w:val="none" w:sz="0" w:space="0" w:color="auto"/>
      </w:divBdr>
    </w:div>
    <w:div w:id="1120419397">
      <w:bodyDiv w:val="1"/>
      <w:marLeft w:val="0"/>
      <w:marRight w:val="0"/>
      <w:marTop w:val="0"/>
      <w:marBottom w:val="0"/>
      <w:divBdr>
        <w:top w:val="none" w:sz="0" w:space="0" w:color="auto"/>
        <w:left w:val="none" w:sz="0" w:space="0" w:color="auto"/>
        <w:bottom w:val="none" w:sz="0" w:space="0" w:color="auto"/>
        <w:right w:val="none" w:sz="0" w:space="0" w:color="auto"/>
      </w:divBdr>
    </w:div>
    <w:div w:id="1338922261">
      <w:bodyDiv w:val="1"/>
      <w:marLeft w:val="0"/>
      <w:marRight w:val="0"/>
      <w:marTop w:val="0"/>
      <w:marBottom w:val="0"/>
      <w:divBdr>
        <w:top w:val="none" w:sz="0" w:space="0" w:color="auto"/>
        <w:left w:val="none" w:sz="0" w:space="0" w:color="auto"/>
        <w:bottom w:val="none" w:sz="0" w:space="0" w:color="auto"/>
        <w:right w:val="none" w:sz="0" w:space="0" w:color="auto"/>
      </w:divBdr>
    </w:div>
    <w:div w:id="1387801893">
      <w:bodyDiv w:val="1"/>
      <w:marLeft w:val="0"/>
      <w:marRight w:val="0"/>
      <w:marTop w:val="0"/>
      <w:marBottom w:val="0"/>
      <w:divBdr>
        <w:top w:val="none" w:sz="0" w:space="0" w:color="auto"/>
        <w:left w:val="none" w:sz="0" w:space="0" w:color="auto"/>
        <w:bottom w:val="none" w:sz="0" w:space="0" w:color="auto"/>
        <w:right w:val="none" w:sz="0" w:space="0" w:color="auto"/>
      </w:divBdr>
    </w:div>
    <w:div w:id="1539127177">
      <w:bodyDiv w:val="1"/>
      <w:marLeft w:val="0"/>
      <w:marRight w:val="0"/>
      <w:marTop w:val="0"/>
      <w:marBottom w:val="0"/>
      <w:divBdr>
        <w:top w:val="none" w:sz="0" w:space="0" w:color="auto"/>
        <w:left w:val="none" w:sz="0" w:space="0" w:color="auto"/>
        <w:bottom w:val="none" w:sz="0" w:space="0" w:color="auto"/>
        <w:right w:val="none" w:sz="0" w:space="0" w:color="auto"/>
      </w:divBdr>
    </w:div>
    <w:div w:id="1616520256">
      <w:bodyDiv w:val="1"/>
      <w:marLeft w:val="0"/>
      <w:marRight w:val="0"/>
      <w:marTop w:val="0"/>
      <w:marBottom w:val="0"/>
      <w:divBdr>
        <w:top w:val="none" w:sz="0" w:space="0" w:color="auto"/>
        <w:left w:val="none" w:sz="0" w:space="0" w:color="auto"/>
        <w:bottom w:val="none" w:sz="0" w:space="0" w:color="auto"/>
        <w:right w:val="none" w:sz="0" w:space="0" w:color="auto"/>
      </w:divBdr>
    </w:div>
    <w:div w:id="1617254616">
      <w:bodyDiv w:val="1"/>
      <w:marLeft w:val="0"/>
      <w:marRight w:val="0"/>
      <w:marTop w:val="0"/>
      <w:marBottom w:val="0"/>
      <w:divBdr>
        <w:top w:val="none" w:sz="0" w:space="0" w:color="auto"/>
        <w:left w:val="none" w:sz="0" w:space="0" w:color="auto"/>
        <w:bottom w:val="none" w:sz="0" w:space="0" w:color="auto"/>
        <w:right w:val="none" w:sz="0" w:space="0" w:color="auto"/>
      </w:divBdr>
    </w:div>
    <w:div w:id="1652901379">
      <w:bodyDiv w:val="1"/>
      <w:marLeft w:val="0"/>
      <w:marRight w:val="0"/>
      <w:marTop w:val="0"/>
      <w:marBottom w:val="0"/>
      <w:divBdr>
        <w:top w:val="none" w:sz="0" w:space="0" w:color="auto"/>
        <w:left w:val="none" w:sz="0" w:space="0" w:color="auto"/>
        <w:bottom w:val="none" w:sz="0" w:space="0" w:color="auto"/>
        <w:right w:val="none" w:sz="0" w:space="0" w:color="auto"/>
      </w:divBdr>
    </w:div>
    <w:div w:id="1659267599">
      <w:bodyDiv w:val="1"/>
      <w:marLeft w:val="0"/>
      <w:marRight w:val="0"/>
      <w:marTop w:val="0"/>
      <w:marBottom w:val="0"/>
      <w:divBdr>
        <w:top w:val="none" w:sz="0" w:space="0" w:color="auto"/>
        <w:left w:val="none" w:sz="0" w:space="0" w:color="auto"/>
        <w:bottom w:val="none" w:sz="0" w:space="0" w:color="auto"/>
        <w:right w:val="none" w:sz="0" w:space="0" w:color="auto"/>
      </w:divBdr>
    </w:div>
    <w:div w:id="1700936815">
      <w:bodyDiv w:val="1"/>
      <w:marLeft w:val="0"/>
      <w:marRight w:val="0"/>
      <w:marTop w:val="0"/>
      <w:marBottom w:val="0"/>
      <w:divBdr>
        <w:top w:val="none" w:sz="0" w:space="0" w:color="auto"/>
        <w:left w:val="none" w:sz="0" w:space="0" w:color="auto"/>
        <w:bottom w:val="none" w:sz="0" w:space="0" w:color="auto"/>
        <w:right w:val="none" w:sz="0" w:space="0" w:color="auto"/>
      </w:divBdr>
    </w:div>
    <w:div w:id="1732341594">
      <w:bodyDiv w:val="1"/>
      <w:marLeft w:val="0"/>
      <w:marRight w:val="0"/>
      <w:marTop w:val="0"/>
      <w:marBottom w:val="0"/>
      <w:divBdr>
        <w:top w:val="none" w:sz="0" w:space="0" w:color="auto"/>
        <w:left w:val="none" w:sz="0" w:space="0" w:color="auto"/>
        <w:bottom w:val="none" w:sz="0" w:space="0" w:color="auto"/>
        <w:right w:val="none" w:sz="0" w:space="0" w:color="auto"/>
      </w:divBdr>
    </w:div>
    <w:div w:id="1885824321">
      <w:bodyDiv w:val="1"/>
      <w:marLeft w:val="0"/>
      <w:marRight w:val="0"/>
      <w:marTop w:val="0"/>
      <w:marBottom w:val="0"/>
      <w:divBdr>
        <w:top w:val="none" w:sz="0" w:space="0" w:color="auto"/>
        <w:left w:val="none" w:sz="0" w:space="0" w:color="auto"/>
        <w:bottom w:val="none" w:sz="0" w:space="0" w:color="auto"/>
        <w:right w:val="none" w:sz="0" w:space="0" w:color="auto"/>
      </w:divBdr>
    </w:div>
    <w:div w:id="1914923060">
      <w:bodyDiv w:val="1"/>
      <w:marLeft w:val="0"/>
      <w:marRight w:val="0"/>
      <w:marTop w:val="0"/>
      <w:marBottom w:val="0"/>
      <w:divBdr>
        <w:top w:val="none" w:sz="0" w:space="0" w:color="auto"/>
        <w:left w:val="none" w:sz="0" w:space="0" w:color="auto"/>
        <w:bottom w:val="none" w:sz="0" w:space="0" w:color="auto"/>
        <w:right w:val="none" w:sz="0" w:space="0" w:color="auto"/>
      </w:divBdr>
    </w:div>
    <w:div w:id="1956017727">
      <w:bodyDiv w:val="1"/>
      <w:marLeft w:val="0"/>
      <w:marRight w:val="0"/>
      <w:marTop w:val="0"/>
      <w:marBottom w:val="0"/>
      <w:divBdr>
        <w:top w:val="none" w:sz="0" w:space="0" w:color="auto"/>
        <w:left w:val="none" w:sz="0" w:space="0" w:color="auto"/>
        <w:bottom w:val="none" w:sz="0" w:space="0" w:color="auto"/>
        <w:right w:val="none" w:sz="0" w:space="0" w:color="auto"/>
      </w:divBdr>
    </w:div>
    <w:div w:id="1998534980">
      <w:bodyDiv w:val="1"/>
      <w:marLeft w:val="0"/>
      <w:marRight w:val="0"/>
      <w:marTop w:val="0"/>
      <w:marBottom w:val="0"/>
      <w:divBdr>
        <w:top w:val="none" w:sz="0" w:space="0" w:color="auto"/>
        <w:left w:val="none" w:sz="0" w:space="0" w:color="auto"/>
        <w:bottom w:val="none" w:sz="0" w:space="0" w:color="auto"/>
        <w:right w:val="none" w:sz="0" w:space="0" w:color="auto"/>
      </w:divBdr>
    </w:div>
    <w:div w:id="2006516085">
      <w:bodyDiv w:val="1"/>
      <w:marLeft w:val="0"/>
      <w:marRight w:val="0"/>
      <w:marTop w:val="0"/>
      <w:marBottom w:val="0"/>
      <w:divBdr>
        <w:top w:val="none" w:sz="0" w:space="0" w:color="auto"/>
        <w:left w:val="none" w:sz="0" w:space="0" w:color="auto"/>
        <w:bottom w:val="none" w:sz="0" w:space="0" w:color="auto"/>
        <w:right w:val="none" w:sz="0" w:space="0" w:color="auto"/>
      </w:divBdr>
    </w:div>
    <w:div w:id="2061203679">
      <w:bodyDiv w:val="1"/>
      <w:marLeft w:val="0"/>
      <w:marRight w:val="0"/>
      <w:marTop w:val="0"/>
      <w:marBottom w:val="0"/>
      <w:divBdr>
        <w:top w:val="none" w:sz="0" w:space="0" w:color="auto"/>
        <w:left w:val="none" w:sz="0" w:space="0" w:color="auto"/>
        <w:bottom w:val="none" w:sz="0" w:space="0" w:color="auto"/>
        <w:right w:val="none" w:sz="0" w:space="0" w:color="auto"/>
      </w:divBdr>
    </w:div>
    <w:div w:id="2085104690">
      <w:bodyDiv w:val="1"/>
      <w:marLeft w:val="0"/>
      <w:marRight w:val="0"/>
      <w:marTop w:val="0"/>
      <w:marBottom w:val="0"/>
      <w:divBdr>
        <w:top w:val="none" w:sz="0" w:space="0" w:color="auto"/>
        <w:left w:val="none" w:sz="0" w:space="0" w:color="auto"/>
        <w:bottom w:val="none" w:sz="0" w:space="0" w:color="auto"/>
        <w:right w:val="none" w:sz="0" w:space="0" w:color="auto"/>
      </w:divBdr>
    </w:div>
    <w:div w:id="212207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http://python-math0and0physics0solver.wikispaces.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Physics\Physics\Labs\Lab%204%20-%20Investigation%20of%20the%20Hall%20Effect%20in%20Semiconductor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Desktop\Physics\Physics\Labs\Lab%204%20-%20Investigation%20of%20the%20Hall%20Effect%20in%20Semiconductors\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Electromagnetic Field vs Offset Voltage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0.40069596563587445"/>
                  <c:y val="0.165816023738872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'Voltage Measurements 3361 Ge'!$E$2:$E$18</c:f>
              <c:numCache>
                <c:formatCode>General</c:formatCode>
                <c:ptCount val="17"/>
                <c:pt idx="0">
                  <c:v>-5.5E-2</c:v>
                </c:pt>
                <c:pt idx="1">
                  <c:v>-0.245</c:v>
                </c:pt>
                <c:pt idx="2">
                  <c:v>-0.44400000000000001</c:v>
                </c:pt>
                <c:pt idx="3">
                  <c:v>-0.65200000000000002</c:v>
                </c:pt>
                <c:pt idx="4">
                  <c:v>-0.85599999999999998</c:v>
                </c:pt>
                <c:pt idx="5">
                  <c:v>-1.071</c:v>
                </c:pt>
                <c:pt idx="6">
                  <c:v>-1.2869999999999999</c:v>
                </c:pt>
                <c:pt idx="7">
                  <c:v>-1.4950000000000001</c:v>
                </c:pt>
                <c:pt idx="8">
                  <c:v>-1.712</c:v>
                </c:pt>
                <c:pt idx="9">
                  <c:v>-1.9180000000000001</c:v>
                </c:pt>
                <c:pt idx="10">
                  <c:v>-2.12</c:v>
                </c:pt>
                <c:pt idx="11">
                  <c:v>-2.34</c:v>
                </c:pt>
                <c:pt idx="12">
                  <c:v>-2.54</c:v>
                </c:pt>
                <c:pt idx="13">
                  <c:v>-2.75</c:v>
                </c:pt>
                <c:pt idx="14">
                  <c:v>-2.95</c:v>
                </c:pt>
                <c:pt idx="15">
                  <c:v>-3.15</c:v>
                </c:pt>
                <c:pt idx="16">
                  <c:v>-3.35</c:v>
                </c:pt>
              </c:numCache>
            </c:numRef>
          </c:xVal>
          <c:yVal>
            <c:numRef>
              <c:f>'Voltage Measurements 3361 Ge'!$F$2:$F$18</c:f>
              <c:numCache>
                <c:formatCode>General</c:formatCode>
                <c:ptCount val="17"/>
                <c:pt idx="0">
                  <c:v>-1.1000000000000015E-2</c:v>
                </c:pt>
                <c:pt idx="1">
                  <c:v>-5.899999999999999E-2</c:v>
                </c:pt>
                <c:pt idx="2">
                  <c:v>-0.10649999999999998</c:v>
                </c:pt>
                <c:pt idx="3">
                  <c:v>-0.155</c:v>
                </c:pt>
                <c:pt idx="4">
                  <c:v>-0.20300000000000004</c:v>
                </c:pt>
                <c:pt idx="5">
                  <c:v>-0.2505</c:v>
                </c:pt>
                <c:pt idx="6">
                  <c:v>-0.29799999999999999</c:v>
                </c:pt>
                <c:pt idx="7">
                  <c:v>-0.34399999999999997</c:v>
                </c:pt>
                <c:pt idx="8">
                  <c:v>-0.38799999999999996</c:v>
                </c:pt>
                <c:pt idx="9">
                  <c:v>-0.43350000000000011</c:v>
                </c:pt>
                <c:pt idx="10">
                  <c:v>-0.47449999999999998</c:v>
                </c:pt>
                <c:pt idx="11">
                  <c:v>-0.51249999999999996</c:v>
                </c:pt>
                <c:pt idx="12">
                  <c:v>-0.55049999999999999</c:v>
                </c:pt>
                <c:pt idx="13">
                  <c:v>-0.58899999999999997</c:v>
                </c:pt>
                <c:pt idx="14">
                  <c:v>-0.62300000000000011</c:v>
                </c:pt>
                <c:pt idx="15">
                  <c:v>-0.65749999999999997</c:v>
                </c:pt>
                <c:pt idx="16">
                  <c:v>-0.6905</c:v>
                </c:pt>
              </c:numCache>
            </c:numRef>
          </c:yVal>
          <c:smooth val="1"/>
          <c:extLst>
            <c:ext xmlns:c16="http://schemas.microsoft.com/office/drawing/2014/chart" uri="{C3380CC4-5D6E-409C-BE32-E72D297353CC}">
              <c16:uniqueId val="{00000001-E13A-48DB-AF34-6EB1A4B73754}"/>
            </c:ext>
          </c:extLst>
        </c:ser>
        <c:dLbls>
          <c:showLegendKey val="0"/>
          <c:showVal val="0"/>
          <c:showCatName val="0"/>
          <c:showSerName val="0"/>
          <c:showPercent val="0"/>
          <c:showBubbleSize val="0"/>
        </c:dLbls>
        <c:axId val="461534912"/>
        <c:axId val="461536224"/>
      </c:scatterChart>
      <c:valAx>
        <c:axId val="461534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Electromagnetic Field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536224"/>
        <c:crosses val="autoZero"/>
        <c:crossBetween val="midCat"/>
      </c:valAx>
      <c:valAx>
        <c:axId val="46153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Hall 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534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Magnetic Field vs Offset Voltage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0.4309165223637339"/>
                  <c:y val="0.268403242946142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'Voltage Measurements 3375 Ge'!$E$2:$E$18</c:f>
              <c:numCache>
                <c:formatCode>General</c:formatCode>
                <c:ptCount val="17"/>
                <c:pt idx="0">
                  <c:v>-5.5E-2</c:v>
                </c:pt>
                <c:pt idx="1">
                  <c:v>-0.245</c:v>
                </c:pt>
                <c:pt idx="2">
                  <c:v>-0.44400000000000001</c:v>
                </c:pt>
                <c:pt idx="3">
                  <c:v>-0.65200000000000002</c:v>
                </c:pt>
                <c:pt idx="4">
                  <c:v>-0.85599999999999998</c:v>
                </c:pt>
                <c:pt idx="5">
                  <c:v>-1.071</c:v>
                </c:pt>
                <c:pt idx="6">
                  <c:v>-1.2869999999999999</c:v>
                </c:pt>
                <c:pt idx="7">
                  <c:v>-1.4950000000000001</c:v>
                </c:pt>
                <c:pt idx="8">
                  <c:v>-1.712</c:v>
                </c:pt>
                <c:pt idx="9">
                  <c:v>-1.9180000000000001</c:v>
                </c:pt>
                <c:pt idx="10">
                  <c:v>-2.12</c:v>
                </c:pt>
                <c:pt idx="11">
                  <c:v>-2.34</c:v>
                </c:pt>
                <c:pt idx="12">
                  <c:v>-2.54</c:v>
                </c:pt>
                <c:pt idx="13">
                  <c:v>-2.75</c:v>
                </c:pt>
                <c:pt idx="14">
                  <c:v>-2.95</c:v>
                </c:pt>
                <c:pt idx="15">
                  <c:v>-3.15</c:v>
                </c:pt>
                <c:pt idx="16">
                  <c:v>-3.35</c:v>
                </c:pt>
              </c:numCache>
            </c:numRef>
          </c:xVal>
          <c:yVal>
            <c:numRef>
              <c:f>'Voltage Measurements 3375 Ge'!$F$2:$F$18</c:f>
              <c:numCache>
                <c:formatCode>General</c:formatCode>
                <c:ptCount val="17"/>
                <c:pt idx="0">
                  <c:v>0</c:v>
                </c:pt>
                <c:pt idx="1">
                  <c:v>-0.04</c:v>
                </c:pt>
                <c:pt idx="2">
                  <c:v>-8.1999999999999962E-2</c:v>
                </c:pt>
                <c:pt idx="3">
                  <c:v>-0.12449999999999996</c:v>
                </c:pt>
                <c:pt idx="4">
                  <c:v>-0.16750000000000001</c:v>
                </c:pt>
                <c:pt idx="5">
                  <c:v>-0.21050000000000005</c:v>
                </c:pt>
                <c:pt idx="6">
                  <c:v>-0.25400000000000006</c:v>
                </c:pt>
                <c:pt idx="7">
                  <c:v>-0.29700000000000004</c:v>
                </c:pt>
                <c:pt idx="8">
                  <c:v>-0.33949999999999997</c:v>
                </c:pt>
                <c:pt idx="9">
                  <c:v>-0.38100000000000001</c:v>
                </c:pt>
                <c:pt idx="10">
                  <c:v>-0.4235000000000001</c:v>
                </c:pt>
                <c:pt idx="11">
                  <c:v>-0.46450000000000002</c:v>
                </c:pt>
                <c:pt idx="12">
                  <c:v>-0.50449999999999995</c:v>
                </c:pt>
                <c:pt idx="13">
                  <c:v>-0.54500000000000004</c:v>
                </c:pt>
                <c:pt idx="14">
                  <c:v>-0.58450000000000002</c:v>
                </c:pt>
                <c:pt idx="15">
                  <c:v>-0.62250000000000005</c:v>
                </c:pt>
                <c:pt idx="16">
                  <c:v>-0.65950000000000009</c:v>
                </c:pt>
              </c:numCache>
            </c:numRef>
          </c:yVal>
          <c:smooth val="1"/>
          <c:extLst>
            <c:ext xmlns:c16="http://schemas.microsoft.com/office/drawing/2014/chart" uri="{C3380CC4-5D6E-409C-BE32-E72D297353CC}">
              <c16:uniqueId val="{00000001-DCB2-488D-BB1C-80DD51CC603F}"/>
            </c:ext>
          </c:extLst>
        </c:ser>
        <c:dLbls>
          <c:showLegendKey val="0"/>
          <c:showVal val="0"/>
          <c:showCatName val="0"/>
          <c:showSerName val="0"/>
          <c:showPercent val="0"/>
          <c:showBubbleSize val="0"/>
        </c:dLbls>
        <c:axId val="303504864"/>
        <c:axId val="303510440"/>
      </c:scatterChart>
      <c:valAx>
        <c:axId val="30350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Magnetic Field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510440"/>
        <c:crosses val="autoZero"/>
        <c:crossBetween val="midCat"/>
      </c:valAx>
      <c:valAx>
        <c:axId val="303510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504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Mat18</b:Tag>
    <b:SourceType>InternetSite</b:SourceType>
    <b:Guid>{3EEB7076-1612-4B4F-87CC-0F4D04668226}</b:Guid>
    <b:Title>Energy band structure of germanium </b:Title>
    <b:Year>2018</b:Year>
    <b:Author>
      <b:Author>
        <b:NameList>
          <b:Person>
            <b:Last>Design</b:Last>
            <b:First>Material</b:First>
          </b:Person>
        </b:NameList>
      </b:Author>
    </b:Author>
    <b:ProductionCompany>materials design</b:ProductionCompany>
    <b:URL>http://www.materialsdesign.com/appnote/energy-band-structure-germanium</b:URL>
    <b:RefOrder>2</b:RefOrder>
  </b:Source>
  <b:Source>
    <b:Tag>Phy06</b:Tag>
    <b:SourceType>DocumentFromInternetSite</b:SourceType>
    <b:Guid>{6C5478C3-B0A5-4D7F-9094-FD154EF2795E}</b:Guid>
    <b:Title>The Hall Effect and the Conductivity of Semiconductors</b:Title>
    <b:Year>2006</b:Year>
    <b:City>Michigan</b:City>
    <b:Publisher>University of Michigan</b:Publisher>
    <b:Author>
      <b:Author>
        <b:NameList>
          <b:Person>
            <b:Last>Laboratory</b:Last>
            <b:First>Physics</b:First>
            <b:Middle>Advanced</b:Middle>
          </b:Person>
        </b:NameList>
      </b:Author>
    </b:Author>
    <b:Month>February</b:Month>
    <b:Day>22</b:Day>
    <b:YearAccessed>2018</b:YearAccessed>
    <b:MonthAccessed>May</b:MonthAccessed>
    <b:URL>http://instructor.physics.lsa.umich.edu/adv-labs/Hall/hall_effect_2005.pdf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A68BCF-726D-44C4-9CBE-9D5D781E3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12</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PHYS2170: Investigation of the Hall Effect in Semiconductors</vt:lpstr>
    </vt:vector>
  </TitlesOfParts>
  <Company>3175353</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PHYS2170: Investigation of the Hall Effect in Semiconductors</dc:title>
  <dc:subject/>
  <dc:creator>Thomas Courtney</dc:creator>
  <cp:keywords/>
  <dc:description/>
  <cp:lastModifiedBy>Thomas Courtney</cp:lastModifiedBy>
  <cp:revision>460</cp:revision>
  <cp:lastPrinted>2018-05-23T07:24:00Z</cp:lastPrinted>
  <dcterms:created xsi:type="dcterms:W3CDTF">2018-03-26T00:28:00Z</dcterms:created>
  <dcterms:modified xsi:type="dcterms:W3CDTF">2018-05-23T09:02:00Z</dcterms:modified>
</cp:coreProperties>
</file>