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0C1711" w:rsidRDefault="000C1711">
                                      <w:pPr>
                                        <w:pStyle w:val="NoSpacing"/>
                                        <w:spacing w:before="120"/>
                                        <w:jc w:val="center"/>
                                        <w:rPr>
                                          <w:color w:val="FFFFFF" w:themeColor="background1"/>
                                        </w:rPr>
                                      </w:pPr>
                                      <w:r>
                                        <w:rPr>
                                          <w:color w:val="FFFFFF" w:themeColor="background1"/>
                                        </w:rPr>
                                        <w:t>Thomas Courtney</w:t>
                                      </w:r>
                                    </w:p>
                                  </w:sdtContent>
                                </w:sdt>
                                <w:p w14:paraId="69D25F8F" w14:textId="045D2725" w:rsidR="000C1711" w:rsidRDefault="00087C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C1711">
                                        <w:rPr>
                                          <w:caps/>
                                          <w:color w:val="FFFFFF" w:themeColor="background1"/>
                                        </w:rPr>
                                        <w:t>3175353</w:t>
                                      </w:r>
                                    </w:sdtContent>
                                  </w:sdt>
                                  <w:r w:rsidR="000C171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C1711">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632DC6D0" w:rsidR="000C1711" w:rsidRDefault="000C1711">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A004E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Electron Diffraction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0C1711" w:rsidRDefault="000C1711">
                                <w:pPr>
                                  <w:pStyle w:val="NoSpacing"/>
                                  <w:spacing w:before="120"/>
                                  <w:jc w:val="center"/>
                                  <w:rPr>
                                    <w:color w:val="FFFFFF" w:themeColor="background1"/>
                                  </w:rPr>
                                </w:pPr>
                                <w:r>
                                  <w:rPr>
                                    <w:color w:val="FFFFFF" w:themeColor="background1"/>
                                  </w:rPr>
                                  <w:t>Thomas Courtney</w:t>
                                </w:r>
                              </w:p>
                            </w:sdtContent>
                          </w:sdt>
                          <w:p w14:paraId="69D25F8F" w14:textId="045D2725" w:rsidR="000C1711" w:rsidRDefault="00087C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C1711">
                                  <w:rPr>
                                    <w:caps/>
                                    <w:color w:val="FFFFFF" w:themeColor="background1"/>
                                  </w:rPr>
                                  <w:t>3175353</w:t>
                                </w:r>
                              </w:sdtContent>
                            </w:sdt>
                            <w:r w:rsidR="000C171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C1711">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632DC6D0" w:rsidR="000C1711" w:rsidRDefault="000C1711">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A004E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Electron Diffraction</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C85AFC1" w14:textId="26C933C9" w:rsidR="0096673C"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4859564" w:history="1">
            <w:r w:rsidR="0096673C" w:rsidRPr="00B73554">
              <w:rPr>
                <w:rStyle w:val="Hyperlink"/>
                <w:noProof/>
              </w:rPr>
              <w:t>Abstract</w:t>
            </w:r>
            <w:r w:rsidR="0096673C">
              <w:rPr>
                <w:noProof/>
                <w:webHidden/>
              </w:rPr>
              <w:tab/>
            </w:r>
            <w:r w:rsidR="0096673C">
              <w:rPr>
                <w:noProof/>
                <w:webHidden/>
              </w:rPr>
              <w:fldChar w:fldCharType="begin"/>
            </w:r>
            <w:r w:rsidR="0096673C">
              <w:rPr>
                <w:noProof/>
                <w:webHidden/>
              </w:rPr>
              <w:instrText xml:space="preserve"> PAGEREF _Toc514859564 \h </w:instrText>
            </w:r>
            <w:r w:rsidR="0096673C">
              <w:rPr>
                <w:noProof/>
                <w:webHidden/>
              </w:rPr>
            </w:r>
            <w:r w:rsidR="0096673C">
              <w:rPr>
                <w:noProof/>
                <w:webHidden/>
              </w:rPr>
              <w:fldChar w:fldCharType="separate"/>
            </w:r>
            <w:r w:rsidR="000C1711">
              <w:rPr>
                <w:noProof/>
                <w:webHidden/>
              </w:rPr>
              <w:t>2</w:t>
            </w:r>
            <w:r w:rsidR="0096673C">
              <w:rPr>
                <w:noProof/>
                <w:webHidden/>
              </w:rPr>
              <w:fldChar w:fldCharType="end"/>
            </w:r>
          </w:hyperlink>
        </w:p>
        <w:p w14:paraId="6FB45DBF" w14:textId="6109E857" w:rsidR="0096673C" w:rsidRDefault="00087C0E">
          <w:pPr>
            <w:pStyle w:val="TOC1"/>
            <w:tabs>
              <w:tab w:val="right" w:leader="dot" w:pos="9016"/>
            </w:tabs>
            <w:rPr>
              <w:rFonts w:eastAsiaTheme="minorEastAsia"/>
              <w:noProof/>
              <w:lang w:val="en-US"/>
            </w:rPr>
          </w:pPr>
          <w:hyperlink w:anchor="_Toc514859565" w:history="1">
            <w:r w:rsidR="0096673C" w:rsidRPr="00B73554">
              <w:rPr>
                <w:rStyle w:val="Hyperlink"/>
                <w:noProof/>
              </w:rPr>
              <w:t>Introduction</w:t>
            </w:r>
            <w:r w:rsidR="0096673C">
              <w:rPr>
                <w:noProof/>
                <w:webHidden/>
              </w:rPr>
              <w:tab/>
            </w:r>
            <w:r w:rsidR="0096673C">
              <w:rPr>
                <w:noProof/>
                <w:webHidden/>
              </w:rPr>
              <w:fldChar w:fldCharType="begin"/>
            </w:r>
            <w:r w:rsidR="0096673C">
              <w:rPr>
                <w:noProof/>
                <w:webHidden/>
              </w:rPr>
              <w:instrText xml:space="preserve"> PAGEREF _Toc514859565 \h </w:instrText>
            </w:r>
            <w:r w:rsidR="0096673C">
              <w:rPr>
                <w:noProof/>
                <w:webHidden/>
              </w:rPr>
            </w:r>
            <w:r w:rsidR="0096673C">
              <w:rPr>
                <w:noProof/>
                <w:webHidden/>
              </w:rPr>
              <w:fldChar w:fldCharType="separate"/>
            </w:r>
            <w:r w:rsidR="000C1711">
              <w:rPr>
                <w:noProof/>
                <w:webHidden/>
              </w:rPr>
              <w:t>2</w:t>
            </w:r>
            <w:r w:rsidR="0096673C">
              <w:rPr>
                <w:noProof/>
                <w:webHidden/>
              </w:rPr>
              <w:fldChar w:fldCharType="end"/>
            </w:r>
          </w:hyperlink>
        </w:p>
        <w:p w14:paraId="757D5208" w14:textId="67D2DD38" w:rsidR="0096673C" w:rsidRDefault="00087C0E">
          <w:pPr>
            <w:pStyle w:val="TOC1"/>
            <w:tabs>
              <w:tab w:val="right" w:leader="dot" w:pos="9016"/>
            </w:tabs>
            <w:rPr>
              <w:rFonts w:eastAsiaTheme="minorEastAsia"/>
              <w:noProof/>
              <w:lang w:val="en-US"/>
            </w:rPr>
          </w:pPr>
          <w:hyperlink w:anchor="_Toc514859566" w:history="1">
            <w:r w:rsidR="0096673C" w:rsidRPr="00B73554">
              <w:rPr>
                <w:rStyle w:val="Hyperlink"/>
                <w:noProof/>
              </w:rPr>
              <w:t>Procedure</w:t>
            </w:r>
            <w:r w:rsidR="0096673C">
              <w:rPr>
                <w:noProof/>
                <w:webHidden/>
              </w:rPr>
              <w:tab/>
            </w:r>
            <w:r w:rsidR="0096673C">
              <w:rPr>
                <w:noProof/>
                <w:webHidden/>
              </w:rPr>
              <w:fldChar w:fldCharType="begin"/>
            </w:r>
            <w:r w:rsidR="0096673C">
              <w:rPr>
                <w:noProof/>
                <w:webHidden/>
              </w:rPr>
              <w:instrText xml:space="preserve"> PAGEREF _Toc514859566 \h </w:instrText>
            </w:r>
            <w:r w:rsidR="0096673C">
              <w:rPr>
                <w:noProof/>
                <w:webHidden/>
              </w:rPr>
            </w:r>
            <w:r w:rsidR="0096673C">
              <w:rPr>
                <w:noProof/>
                <w:webHidden/>
              </w:rPr>
              <w:fldChar w:fldCharType="separate"/>
            </w:r>
            <w:r w:rsidR="000C1711">
              <w:rPr>
                <w:noProof/>
                <w:webHidden/>
              </w:rPr>
              <w:t>5</w:t>
            </w:r>
            <w:r w:rsidR="0096673C">
              <w:rPr>
                <w:noProof/>
                <w:webHidden/>
              </w:rPr>
              <w:fldChar w:fldCharType="end"/>
            </w:r>
          </w:hyperlink>
        </w:p>
        <w:p w14:paraId="63C1019A" w14:textId="2DF724E7" w:rsidR="0096673C" w:rsidRDefault="00087C0E">
          <w:pPr>
            <w:pStyle w:val="TOC1"/>
            <w:tabs>
              <w:tab w:val="right" w:leader="dot" w:pos="9016"/>
            </w:tabs>
            <w:rPr>
              <w:rFonts w:eastAsiaTheme="minorEastAsia"/>
              <w:noProof/>
              <w:lang w:val="en-US"/>
            </w:rPr>
          </w:pPr>
          <w:hyperlink w:anchor="_Toc514859567" w:history="1">
            <w:r w:rsidR="0096673C" w:rsidRPr="00B73554">
              <w:rPr>
                <w:rStyle w:val="Hyperlink"/>
                <w:noProof/>
              </w:rPr>
              <w:t>Results</w:t>
            </w:r>
            <w:r w:rsidR="0096673C">
              <w:rPr>
                <w:noProof/>
                <w:webHidden/>
              </w:rPr>
              <w:tab/>
            </w:r>
            <w:r w:rsidR="0096673C">
              <w:rPr>
                <w:noProof/>
                <w:webHidden/>
              </w:rPr>
              <w:fldChar w:fldCharType="begin"/>
            </w:r>
            <w:r w:rsidR="0096673C">
              <w:rPr>
                <w:noProof/>
                <w:webHidden/>
              </w:rPr>
              <w:instrText xml:space="preserve"> PAGEREF _Toc514859567 \h </w:instrText>
            </w:r>
            <w:r w:rsidR="0096673C">
              <w:rPr>
                <w:noProof/>
                <w:webHidden/>
              </w:rPr>
            </w:r>
            <w:r w:rsidR="0096673C">
              <w:rPr>
                <w:noProof/>
                <w:webHidden/>
              </w:rPr>
              <w:fldChar w:fldCharType="separate"/>
            </w:r>
            <w:r w:rsidR="000C1711">
              <w:rPr>
                <w:noProof/>
                <w:webHidden/>
              </w:rPr>
              <w:t>6</w:t>
            </w:r>
            <w:r w:rsidR="0096673C">
              <w:rPr>
                <w:noProof/>
                <w:webHidden/>
              </w:rPr>
              <w:fldChar w:fldCharType="end"/>
            </w:r>
          </w:hyperlink>
        </w:p>
        <w:p w14:paraId="7E676528" w14:textId="6D897BFA" w:rsidR="0096673C" w:rsidRDefault="00087C0E">
          <w:pPr>
            <w:pStyle w:val="TOC1"/>
            <w:tabs>
              <w:tab w:val="right" w:leader="dot" w:pos="9016"/>
            </w:tabs>
            <w:rPr>
              <w:rFonts w:eastAsiaTheme="minorEastAsia"/>
              <w:noProof/>
              <w:lang w:val="en-US"/>
            </w:rPr>
          </w:pPr>
          <w:hyperlink w:anchor="_Toc514859568" w:history="1">
            <w:r w:rsidR="0096673C" w:rsidRPr="00B73554">
              <w:rPr>
                <w:rStyle w:val="Hyperlink"/>
                <w:noProof/>
              </w:rPr>
              <w:t>Discussion</w:t>
            </w:r>
            <w:r w:rsidR="0096673C">
              <w:rPr>
                <w:noProof/>
                <w:webHidden/>
              </w:rPr>
              <w:tab/>
            </w:r>
            <w:r w:rsidR="0096673C">
              <w:rPr>
                <w:noProof/>
                <w:webHidden/>
              </w:rPr>
              <w:fldChar w:fldCharType="begin"/>
            </w:r>
            <w:r w:rsidR="0096673C">
              <w:rPr>
                <w:noProof/>
                <w:webHidden/>
              </w:rPr>
              <w:instrText xml:space="preserve"> PAGEREF _Toc514859568 \h </w:instrText>
            </w:r>
            <w:r w:rsidR="0096673C">
              <w:rPr>
                <w:noProof/>
                <w:webHidden/>
              </w:rPr>
            </w:r>
            <w:r w:rsidR="0096673C">
              <w:rPr>
                <w:noProof/>
                <w:webHidden/>
              </w:rPr>
              <w:fldChar w:fldCharType="separate"/>
            </w:r>
            <w:r w:rsidR="000C1711">
              <w:rPr>
                <w:noProof/>
                <w:webHidden/>
              </w:rPr>
              <w:t>8</w:t>
            </w:r>
            <w:r w:rsidR="0096673C">
              <w:rPr>
                <w:noProof/>
                <w:webHidden/>
              </w:rPr>
              <w:fldChar w:fldCharType="end"/>
            </w:r>
          </w:hyperlink>
        </w:p>
        <w:p w14:paraId="5FA0A52B" w14:textId="3D9A1F46" w:rsidR="0096673C" w:rsidRDefault="00087C0E">
          <w:pPr>
            <w:pStyle w:val="TOC2"/>
            <w:tabs>
              <w:tab w:val="right" w:leader="dot" w:pos="9016"/>
            </w:tabs>
            <w:rPr>
              <w:rFonts w:eastAsiaTheme="minorEastAsia"/>
              <w:noProof/>
              <w:lang w:val="en-US"/>
            </w:rPr>
          </w:pPr>
          <w:hyperlink w:anchor="_Toc514859569" w:history="1">
            <w:r w:rsidR="0096673C" w:rsidRPr="00B73554">
              <w:rPr>
                <w:rStyle w:val="Hyperlink"/>
                <w:noProof/>
              </w:rPr>
              <w:t>Inaccuracy</w:t>
            </w:r>
            <w:r w:rsidR="0096673C">
              <w:rPr>
                <w:noProof/>
                <w:webHidden/>
              </w:rPr>
              <w:tab/>
            </w:r>
            <w:r w:rsidR="0096673C">
              <w:rPr>
                <w:noProof/>
                <w:webHidden/>
              </w:rPr>
              <w:fldChar w:fldCharType="begin"/>
            </w:r>
            <w:r w:rsidR="0096673C">
              <w:rPr>
                <w:noProof/>
                <w:webHidden/>
              </w:rPr>
              <w:instrText xml:space="preserve"> PAGEREF _Toc514859569 \h </w:instrText>
            </w:r>
            <w:r w:rsidR="0096673C">
              <w:rPr>
                <w:noProof/>
                <w:webHidden/>
              </w:rPr>
            </w:r>
            <w:r w:rsidR="0096673C">
              <w:rPr>
                <w:noProof/>
                <w:webHidden/>
              </w:rPr>
              <w:fldChar w:fldCharType="separate"/>
            </w:r>
            <w:r w:rsidR="000C1711">
              <w:rPr>
                <w:noProof/>
                <w:webHidden/>
              </w:rPr>
              <w:t>8</w:t>
            </w:r>
            <w:r w:rsidR="0096673C">
              <w:rPr>
                <w:noProof/>
                <w:webHidden/>
              </w:rPr>
              <w:fldChar w:fldCharType="end"/>
            </w:r>
          </w:hyperlink>
        </w:p>
        <w:p w14:paraId="30ED435B" w14:textId="32ABABDE" w:rsidR="0096673C" w:rsidRDefault="00087C0E">
          <w:pPr>
            <w:pStyle w:val="TOC2"/>
            <w:tabs>
              <w:tab w:val="right" w:leader="dot" w:pos="9016"/>
            </w:tabs>
            <w:rPr>
              <w:rFonts w:eastAsiaTheme="minorEastAsia"/>
              <w:noProof/>
              <w:lang w:val="en-US"/>
            </w:rPr>
          </w:pPr>
          <w:hyperlink w:anchor="_Toc514859570" w:history="1">
            <w:r w:rsidR="0096673C" w:rsidRPr="00B73554">
              <w:rPr>
                <w:rStyle w:val="Hyperlink"/>
                <w:noProof/>
              </w:rPr>
              <w:t>Hall Effect Applications</w:t>
            </w:r>
            <w:r w:rsidR="0096673C">
              <w:rPr>
                <w:noProof/>
                <w:webHidden/>
              </w:rPr>
              <w:tab/>
            </w:r>
            <w:r w:rsidR="0096673C">
              <w:rPr>
                <w:noProof/>
                <w:webHidden/>
              </w:rPr>
              <w:fldChar w:fldCharType="begin"/>
            </w:r>
            <w:r w:rsidR="0096673C">
              <w:rPr>
                <w:noProof/>
                <w:webHidden/>
              </w:rPr>
              <w:instrText xml:space="preserve"> PAGEREF _Toc514859570 \h </w:instrText>
            </w:r>
            <w:r w:rsidR="0096673C">
              <w:rPr>
                <w:noProof/>
                <w:webHidden/>
              </w:rPr>
            </w:r>
            <w:r w:rsidR="0096673C">
              <w:rPr>
                <w:noProof/>
                <w:webHidden/>
              </w:rPr>
              <w:fldChar w:fldCharType="separate"/>
            </w:r>
            <w:r w:rsidR="000C1711">
              <w:rPr>
                <w:noProof/>
                <w:webHidden/>
              </w:rPr>
              <w:t>8</w:t>
            </w:r>
            <w:r w:rsidR="0096673C">
              <w:rPr>
                <w:noProof/>
                <w:webHidden/>
              </w:rPr>
              <w:fldChar w:fldCharType="end"/>
            </w:r>
          </w:hyperlink>
        </w:p>
        <w:p w14:paraId="193DC0A5" w14:textId="6C432E43" w:rsidR="0096673C" w:rsidRDefault="00087C0E">
          <w:pPr>
            <w:pStyle w:val="TOC2"/>
            <w:tabs>
              <w:tab w:val="right" w:leader="dot" w:pos="9016"/>
            </w:tabs>
            <w:rPr>
              <w:rFonts w:eastAsiaTheme="minorEastAsia"/>
              <w:noProof/>
              <w:lang w:val="en-US"/>
            </w:rPr>
          </w:pPr>
          <w:hyperlink w:anchor="_Toc514859571" w:history="1">
            <w:r w:rsidR="0096673C" w:rsidRPr="00B73554">
              <w:rPr>
                <w:rStyle w:val="Hyperlink"/>
                <w:noProof/>
              </w:rPr>
              <w:t>Intrinsic Semiconductors</w:t>
            </w:r>
            <w:r w:rsidR="0096673C">
              <w:rPr>
                <w:noProof/>
                <w:webHidden/>
              </w:rPr>
              <w:tab/>
            </w:r>
            <w:r w:rsidR="0096673C">
              <w:rPr>
                <w:noProof/>
                <w:webHidden/>
              </w:rPr>
              <w:fldChar w:fldCharType="begin"/>
            </w:r>
            <w:r w:rsidR="0096673C">
              <w:rPr>
                <w:noProof/>
                <w:webHidden/>
              </w:rPr>
              <w:instrText xml:space="preserve"> PAGEREF _Toc514859571 \h </w:instrText>
            </w:r>
            <w:r w:rsidR="0096673C">
              <w:rPr>
                <w:noProof/>
                <w:webHidden/>
              </w:rPr>
            </w:r>
            <w:r w:rsidR="0096673C">
              <w:rPr>
                <w:noProof/>
                <w:webHidden/>
              </w:rPr>
              <w:fldChar w:fldCharType="separate"/>
            </w:r>
            <w:r w:rsidR="000C1711">
              <w:rPr>
                <w:noProof/>
                <w:webHidden/>
              </w:rPr>
              <w:t>8</w:t>
            </w:r>
            <w:r w:rsidR="0096673C">
              <w:rPr>
                <w:noProof/>
                <w:webHidden/>
              </w:rPr>
              <w:fldChar w:fldCharType="end"/>
            </w:r>
          </w:hyperlink>
        </w:p>
        <w:p w14:paraId="71143176" w14:textId="4A246112" w:rsidR="0096673C" w:rsidRDefault="00087C0E">
          <w:pPr>
            <w:pStyle w:val="TOC1"/>
            <w:tabs>
              <w:tab w:val="right" w:leader="dot" w:pos="9016"/>
            </w:tabs>
            <w:rPr>
              <w:rFonts w:eastAsiaTheme="minorEastAsia"/>
              <w:noProof/>
              <w:lang w:val="en-US"/>
            </w:rPr>
          </w:pPr>
          <w:hyperlink w:anchor="_Toc514859572" w:history="1">
            <w:r w:rsidR="0096673C" w:rsidRPr="00B73554">
              <w:rPr>
                <w:rStyle w:val="Hyperlink"/>
                <w:noProof/>
              </w:rPr>
              <w:t>Conclusion</w:t>
            </w:r>
            <w:r w:rsidR="0096673C">
              <w:rPr>
                <w:noProof/>
                <w:webHidden/>
              </w:rPr>
              <w:tab/>
            </w:r>
            <w:r w:rsidR="0096673C">
              <w:rPr>
                <w:noProof/>
                <w:webHidden/>
              </w:rPr>
              <w:fldChar w:fldCharType="begin"/>
            </w:r>
            <w:r w:rsidR="0096673C">
              <w:rPr>
                <w:noProof/>
                <w:webHidden/>
              </w:rPr>
              <w:instrText xml:space="preserve"> PAGEREF _Toc514859572 \h </w:instrText>
            </w:r>
            <w:r w:rsidR="0096673C">
              <w:rPr>
                <w:noProof/>
                <w:webHidden/>
              </w:rPr>
            </w:r>
            <w:r w:rsidR="0096673C">
              <w:rPr>
                <w:noProof/>
                <w:webHidden/>
              </w:rPr>
              <w:fldChar w:fldCharType="separate"/>
            </w:r>
            <w:r w:rsidR="000C1711">
              <w:rPr>
                <w:noProof/>
                <w:webHidden/>
              </w:rPr>
              <w:t>10</w:t>
            </w:r>
            <w:r w:rsidR="0096673C">
              <w:rPr>
                <w:noProof/>
                <w:webHidden/>
              </w:rPr>
              <w:fldChar w:fldCharType="end"/>
            </w:r>
          </w:hyperlink>
        </w:p>
        <w:p w14:paraId="2EBA6C90" w14:textId="2EFB8851" w:rsidR="0096673C" w:rsidRDefault="00087C0E">
          <w:pPr>
            <w:pStyle w:val="TOC1"/>
            <w:tabs>
              <w:tab w:val="right" w:leader="dot" w:pos="9016"/>
            </w:tabs>
            <w:rPr>
              <w:rFonts w:eastAsiaTheme="minorEastAsia"/>
              <w:noProof/>
              <w:lang w:val="en-US"/>
            </w:rPr>
          </w:pPr>
          <w:hyperlink w:anchor="_Toc514859573" w:history="1">
            <w:r w:rsidR="0096673C" w:rsidRPr="00B73554">
              <w:rPr>
                <w:rStyle w:val="Hyperlink"/>
                <w:noProof/>
              </w:rPr>
              <w:t>Bibliography</w:t>
            </w:r>
            <w:r w:rsidR="0096673C">
              <w:rPr>
                <w:noProof/>
                <w:webHidden/>
              </w:rPr>
              <w:tab/>
            </w:r>
            <w:r w:rsidR="0096673C">
              <w:rPr>
                <w:noProof/>
                <w:webHidden/>
              </w:rPr>
              <w:fldChar w:fldCharType="begin"/>
            </w:r>
            <w:r w:rsidR="0096673C">
              <w:rPr>
                <w:noProof/>
                <w:webHidden/>
              </w:rPr>
              <w:instrText xml:space="preserve"> PAGEREF _Toc514859573 \h </w:instrText>
            </w:r>
            <w:r w:rsidR="0096673C">
              <w:rPr>
                <w:noProof/>
                <w:webHidden/>
              </w:rPr>
            </w:r>
            <w:r w:rsidR="0096673C">
              <w:rPr>
                <w:noProof/>
                <w:webHidden/>
              </w:rPr>
              <w:fldChar w:fldCharType="separate"/>
            </w:r>
            <w:r w:rsidR="000C1711">
              <w:rPr>
                <w:noProof/>
                <w:webHidden/>
              </w:rPr>
              <w:t>11</w:t>
            </w:r>
            <w:r w:rsidR="0096673C">
              <w:rPr>
                <w:noProof/>
                <w:webHidden/>
              </w:rPr>
              <w:fldChar w:fldCharType="end"/>
            </w:r>
          </w:hyperlink>
        </w:p>
        <w:p w14:paraId="1F51BDE2" w14:textId="7D518C70" w:rsidR="00451A57" w:rsidRDefault="00451A57">
          <w:r>
            <w:rPr>
              <w:b/>
              <w:bCs/>
              <w:noProof/>
            </w:rPr>
            <w:fldChar w:fldCharType="end"/>
          </w:r>
        </w:p>
      </w:sdtContent>
    </w:sdt>
    <w:p w14:paraId="409746B0" w14:textId="13FA1F54" w:rsidR="00CC7C77" w:rsidRDefault="00CC7C77" w:rsidP="00451A57"/>
    <w:p w14:paraId="7D909561" w14:textId="2A4771FE" w:rsidR="00040E94" w:rsidRDefault="00040E94">
      <w:r>
        <w:br w:type="page"/>
      </w:r>
    </w:p>
    <w:p w14:paraId="46038A2F" w14:textId="794D5096" w:rsidR="001038A3" w:rsidRDefault="001038A3" w:rsidP="00451A57">
      <w:pPr>
        <w:pStyle w:val="Heading1"/>
      </w:pPr>
      <w:bookmarkStart w:id="0" w:name="_Toc514859564"/>
      <w:r>
        <w:lastRenderedPageBreak/>
        <w:t>Abstract</w:t>
      </w:r>
      <w:bookmarkEnd w:id="0"/>
    </w:p>
    <w:p w14:paraId="72BA57DD" w14:textId="68E1E218" w:rsidR="005E3E9C" w:rsidRPr="00181F11" w:rsidRDefault="00C24C46" w:rsidP="008F4A5D">
      <w:pPr>
        <w:rPr>
          <w:rFonts w:asciiTheme="majorHAnsi" w:eastAsiaTheme="majorEastAsia" w:hAnsiTheme="majorHAnsi" w:cstheme="majorBidi"/>
          <w:color w:val="2F5496" w:themeColor="accent1" w:themeShade="BF"/>
          <w:sz w:val="32"/>
          <w:szCs w:val="32"/>
        </w:rPr>
      </w:pPr>
      <w:r>
        <w:t xml:space="preserve">This report </w:t>
      </w:r>
      <w:r w:rsidR="00A004E2">
        <w:t xml:space="preserve">details the observation of electron diffraction </w:t>
      </w:r>
      <w:r w:rsidR="008F4A5D">
        <w:t xml:space="preserve">through a graphite sample. Electrons were accelerated in a cathode ray tube and </w:t>
      </w:r>
      <w:r w:rsidR="00094DF3">
        <w:t>fired at a sample producing an interference pattern on a screen</w:t>
      </w:r>
      <w:r w:rsidR="00A004E2">
        <w:t xml:space="preserve">. </w:t>
      </w:r>
      <w:r w:rsidR="00181F11">
        <w:t xml:space="preserve">Diffraction patterns from two crystal planes were observed. The spacing between the atoms in each plane were found to </w:t>
      </w:r>
      <w:r w:rsidR="00181F11" w:rsidRPr="00181F11">
        <w:rPr>
          <w:rFonts w:cstheme="minorHAnsi"/>
        </w:rPr>
        <w:t xml:space="preserve">be 2.06 ± 0.25 </w:t>
      </w:r>
      <w:r w:rsidR="00181F11" w:rsidRPr="00181F11">
        <w:rPr>
          <w:rFonts w:ascii="Cambria Math" w:hAnsi="Cambria Math" w:cs="Cambria Math"/>
        </w:rPr>
        <w:t>Å</w:t>
      </w:r>
      <w:r w:rsidR="00181F11" w:rsidRPr="00181F11">
        <w:rPr>
          <w:rFonts w:cstheme="minorHAnsi"/>
        </w:rPr>
        <w:t xml:space="preserve"> and 1.37 ± 0.25 </w:t>
      </w:r>
      <w:r w:rsidR="00181F11" w:rsidRPr="00181F11">
        <w:rPr>
          <w:rFonts w:ascii="Cambria Math" w:hAnsi="Cambria Math" w:cs="Cambria Math"/>
        </w:rPr>
        <w:t>Å</w:t>
      </w:r>
      <w:r w:rsidR="00181F11" w:rsidRPr="00181F11">
        <w:rPr>
          <w:rFonts w:cstheme="minorHAnsi"/>
        </w:rPr>
        <w:t>.</w:t>
      </w:r>
      <w:r w:rsidR="00181F11">
        <w:rPr>
          <w:rFonts w:ascii="Cambria Math" w:hAnsi="Cambria Math" w:cs="Cambria Math"/>
        </w:rPr>
        <w:t xml:space="preserve"> </w:t>
      </w:r>
      <w:r w:rsidR="00181F11" w:rsidRPr="00181F11">
        <w:rPr>
          <w:rFonts w:cstheme="minorHAnsi"/>
        </w:rPr>
        <w:t xml:space="preserve">This </w:t>
      </w:r>
      <w:r w:rsidR="00094DF3">
        <w:rPr>
          <w:rFonts w:cstheme="minorHAnsi"/>
        </w:rPr>
        <w:t>is in the same order of magnitude as</w:t>
      </w:r>
      <w:r w:rsidR="00181F11">
        <w:rPr>
          <w:rFonts w:cstheme="minorHAnsi"/>
        </w:rPr>
        <w:t xml:space="preserve"> </w:t>
      </w:r>
      <w:r w:rsidR="00094DF3">
        <w:rPr>
          <w:rFonts w:cstheme="minorHAnsi"/>
        </w:rPr>
        <w:t>credible</w:t>
      </w:r>
      <w:r w:rsidR="00181F11">
        <w:rPr>
          <w:rFonts w:cstheme="minorHAnsi"/>
        </w:rPr>
        <w:t xml:space="preserve"> values found</w:t>
      </w:r>
      <w:r w:rsidR="00094DF3">
        <w:rPr>
          <w:rFonts w:cstheme="minorHAnsi"/>
        </w:rPr>
        <w:t xml:space="preserve">, </w:t>
      </w:r>
      <w:r w:rsidR="00181F11">
        <w:rPr>
          <w:rFonts w:cstheme="minorHAnsi"/>
        </w:rPr>
        <w:t xml:space="preserve">1.54 </w:t>
      </w:r>
      <w:r w:rsidR="00181F11">
        <w:rPr>
          <w:rFonts w:ascii="Cambria Math" w:hAnsi="Cambria Math" w:cs="Cambria Math"/>
        </w:rPr>
        <w:t>Å</w:t>
      </w:r>
      <w:sdt>
        <w:sdtPr>
          <w:rPr>
            <w:rFonts w:ascii="Cambria Math" w:hAnsi="Cambria Math" w:cs="Cambria Math"/>
          </w:rPr>
          <w:id w:val="2082411925"/>
          <w:citation/>
        </w:sdtPr>
        <w:sdtContent>
          <w:r w:rsidR="00181F11">
            <w:rPr>
              <w:rFonts w:ascii="Cambria Math" w:hAnsi="Cambria Math" w:cs="Cambria Math"/>
            </w:rPr>
            <w:fldChar w:fldCharType="begin"/>
          </w:r>
          <w:r w:rsidR="00181F11">
            <w:rPr>
              <w:rFonts w:ascii="Cambria Math" w:hAnsi="Cambria Math" w:cs="Cambria Math"/>
              <w:lang w:val="en-US"/>
            </w:rPr>
            <w:instrText xml:space="preserve"> CITATION Ali01 \l 1033 </w:instrText>
          </w:r>
          <w:r w:rsidR="00181F11">
            <w:rPr>
              <w:rFonts w:ascii="Cambria Math" w:hAnsi="Cambria Math" w:cs="Cambria Math"/>
            </w:rPr>
            <w:fldChar w:fldCharType="separate"/>
          </w:r>
          <w:r w:rsidR="00181F11">
            <w:rPr>
              <w:rFonts w:ascii="Cambria Math" w:hAnsi="Cambria Math" w:cs="Cambria Math"/>
              <w:noProof/>
              <w:lang w:val="en-US"/>
            </w:rPr>
            <w:t xml:space="preserve"> </w:t>
          </w:r>
          <w:r w:rsidR="00181F11" w:rsidRPr="00181F11">
            <w:rPr>
              <w:rFonts w:ascii="Cambria Math" w:hAnsi="Cambria Math" w:cs="Cambria Math"/>
              <w:noProof/>
              <w:lang w:val="en-US"/>
            </w:rPr>
            <w:t>[1]</w:t>
          </w:r>
          <w:r w:rsidR="00181F11">
            <w:rPr>
              <w:rFonts w:ascii="Cambria Math" w:hAnsi="Cambria Math" w:cs="Cambria Math"/>
            </w:rPr>
            <w:fldChar w:fldCharType="end"/>
          </w:r>
        </w:sdtContent>
      </w:sdt>
      <w:r w:rsidR="00181F11">
        <w:rPr>
          <w:rFonts w:ascii="Cambria Math" w:hAnsi="Cambria Math" w:cs="Cambria Math"/>
        </w:rPr>
        <w:t xml:space="preserve">. </w:t>
      </w:r>
      <w:r w:rsidR="00181F11" w:rsidRPr="00181F11">
        <w:rPr>
          <w:rFonts w:asciiTheme="majorHAnsi" w:eastAsiaTheme="majorEastAsia" w:hAnsiTheme="majorHAnsi" w:cstheme="majorBidi"/>
          <w:color w:val="2F5496" w:themeColor="accent1" w:themeShade="BF"/>
          <w:sz w:val="32"/>
          <w:szCs w:val="32"/>
        </w:rPr>
        <w:t xml:space="preserve"> </w:t>
      </w:r>
    </w:p>
    <w:p w14:paraId="00A10D3E" w14:textId="4C435E43" w:rsidR="00D664D3" w:rsidRDefault="00451A57" w:rsidP="00D664D3">
      <w:pPr>
        <w:pStyle w:val="Heading1"/>
      </w:pPr>
      <w:bookmarkStart w:id="1" w:name="_Toc514859565"/>
      <w:r>
        <w:t>Introduction</w:t>
      </w:r>
      <w:bookmarkEnd w:id="1"/>
    </w:p>
    <w:p w14:paraId="1EEB58A0" w14:textId="600086F1" w:rsidR="00962B54" w:rsidRDefault="00D664D3" w:rsidP="00D664D3">
      <w:r>
        <w:t xml:space="preserve">Diffraction is </w:t>
      </w:r>
      <w:r w:rsidR="003E68D5">
        <w:t>a phenomenon</w:t>
      </w:r>
      <w:r>
        <w:t xml:space="preserve"> where waveforms interacting with an obstacle are “bent” or redirected</w:t>
      </w:r>
      <w:r w:rsidR="00561D5D">
        <w:t xml:space="preserve"> (see Figure 1)</w:t>
      </w:r>
      <w:r w:rsidR="00962B54">
        <w:t xml:space="preserve">. This occurs as when </w:t>
      </w:r>
      <w:r w:rsidR="00B62627">
        <w:t>a waveform</w:t>
      </w:r>
      <w:r w:rsidR="00962B54">
        <w:t xml:space="preserve"> strikes an obstacle</w:t>
      </w:r>
      <w:r w:rsidR="00364D89">
        <w:t xml:space="preserve"> its path is </w:t>
      </w:r>
      <w:proofErr w:type="gramStart"/>
      <w:r w:rsidR="00364D89">
        <w:t>changed</w:t>
      </w:r>
      <w:proofErr w:type="gramEnd"/>
      <w:r w:rsidR="00661B3B">
        <w:t xml:space="preserve"> and it is deflected in another direction (diffracted)</w:t>
      </w:r>
      <w:r w:rsidR="00284B9D">
        <w:t xml:space="preserve">. </w:t>
      </w:r>
    </w:p>
    <w:p w14:paraId="4A165688" w14:textId="77777777" w:rsidR="00B62627" w:rsidRDefault="00B62627" w:rsidP="00B62627">
      <w:pPr>
        <w:keepNext/>
      </w:pPr>
      <w:r>
        <w:rPr>
          <w:noProof/>
        </w:rPr>
        <w:drawing>
          <wp:inline distT="0" distB="0" distL="0" distR="0" wp14:anchorId="2314EA46" wp14:editId="6A5A8F34">
            <wp:extent cx="1917915" cy="1257300"/>
            <wp:effectExtent l="19050" t="19050" r="25400" b="1905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673" cy="1265008"/>
                    </a:xfrm>
                    <a:prstGeom prst="rect">
                      <a:avLst/>
                    </a:prstGeom>
                    <a:noFill/>
                    <a:ln>
                      <a:solidFill>
                        <a:schemeClr val="tx1"/>
                      </a:solidFill>
                    </a:ln>
                  </pic:spPr>
                </pic:pic>
              </a:graphicData>
            </a:graphic>
          </wp:inline>
        </w:drawing>
      </w:r>
    </w:p>
    <w:p w14:paraId="13AC2B78" w14:textId="6A3A2F66" w:rsidR="00B62627" w:rsidRDefault="00B62627" w:rsidP="00B62627">
      <w:pPr>
        <w:pStyle w:val="Caption"/>
      </w:pPr>
      <w:r>
        <w:t xml:space="preserve">Figure </w:t>
      </w:r>
      <w:fldSimple w:instr=" SEQ Figure \* ARABIC ">
        <w:r w:rsidR="00FF1082">
          <w:rPr>
            <w:noProof/>
          </w:rPr>
          <w:t>1</w:t>
        </w:r>
      </w:fldSimple>
      <w:r>
        <w:t>: A waveform incident with an obstacle and the possible results.</w:t>
      </w:r>
    </w:p>
    <w:p w14:paraId="69C294C9" w14:textId="57B9EE65" w:rsidR="00D664D3" w:rsidRDefault="003E68D5" w:rsidP="00D664D3">
      <w:r>
        <w:t xml:space="preserve">By </w:t>
      </w:r>
      <w:r w:rsidR="001B56F8">
        <w:t xml:space="preserve">firing </w:t>
      </w:r>
      <w:r w:rsidR="00E94C00">
        <w:t>waveforms</w:t>
      </w:r>
      <w:r w:rsidR="001B56F8">
        <w:t xml:space="preserve"> at a crystal </w:t>
      </w:r>
      <w:r w:rsidR="00E94C00">
        <w:t>lattice, the waves are diffracted and create an interference pattern</w:t>
      </w:r>
      <w:r>
        <w:t xml:space="preserve">. </w:t>
      </w:r>
      <w:r w:rsidR="001B56F8">
        <w:t>It is necessary for the waveform being diffracted to have a similar wavelength to the spacing it is being diffracted by</w:t>
      </w:r>
      <w:r w:rsidR="0095381C">
        <w:t xml:space="preserve"> in order to interact with it</w:t>
      </w:r>
      <w:r w:rsidR="001B56F8">
        <w:t xml:space="preserve">. The spacing is referred to as a “diffraction grating” (see Figure </w:t>
      </w:r>
      <w:r w:rsidR="00962B54">
        <w:t>2</w:t>
      </w:r>
      <w:r w:rsidR="001B56F8">
        <w:t>).</w:t>
      </w:r>
    </w:p>
    <w:p w14:paraId="25CB2D50" w14:textId="77777777" w:rsidR="00561D5D" w:rsidRDefault="00561D5D" w:rsidP="00561D5D">
      <w:pPr>
        <w:keepNext/>
      </w:pPr>
      <w:r>
        <w:rPr>
          <w:noProof/>
        </w:rPr>
        <w:drawing>
          <wp:inline distT="0" distB="0" distL="0" distR="0" wp14:anchorId="759A7ADC" wp14:editId="456E0131">
            <wp:extent cx="2755900" cy="1774111"/>
            <wp:effectExtent l="19050" t="19050" r="25400" b="17145"/>
            <wp:docPr id="2" name="Picture 2" descr="Image result for bragg dif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gg diffra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317" cy="1782105"/>
                    </a:xfrm>
                    <a:prstGeom prst="rect">
                      <a:avLst/>
                    </a:prstGeom>
                    <a:noFill/>
                    <a:ln>
                      <a:solidFill>
                        <a:schemeClr val="tx1"/>
                      </a:solidFill>
                    </a:ln>
                  </pic:spPr>
                </pic:pic>
              </a:graphicData>
            </a:graphic>
          </wp:inline>
        </w:drawing>
      </w:r>
    </w:p>
    <w:p w14:paraId="56BD7688" w14:textId="7F0CDB35" w:rsidR="00561D5D" w:rsidRDefault="00561D5D" w:rsidP="00561D5D">
      <w:pPr>
        <w:pStyle w:val="Caption"/>
      </w:pPr>
      <w:r>
        <w:t xml:space="preserve">Figure </w:t>
      </w:r>
      <w:fldSimple w:instr=" SEQ Figure \* ARABIC ">
        <w:r w:rsidR="00FF1082">
          <w:rPr>
            <w:noProof/>
          </w:rPr>
          <w:t>2</w:t>
        </w:r>
      </w:fldSimple>
      <w:r>
        <w:t>: Diffraction of a waveform in a lattice structure.</w:t>
      </w:r>
    </w:p>
    <w:p w14:paraId="32033446" w14:textId="6942D490" w:rsidR="0095381C" w:rsidRDefault="00561D5D" w:rsidP="00561D5D">
      <w:r>
        <w:t xml:space="preserve">The diffraction of a waveform in a crystal lattice is called “Bragg Diffraction” </w:t>
      </w:r>
      <w:r w:rsidR="000C7698">
        <w:t xml:space="preserve">(also called “Bragg Reflection”) </w:t>
      </w:r>
      <w:r>
        <w:t>as it was first performed by Lawrence and William Bragg in 1913</w:t>
      </w:r>
      <w:r w:rsidR="0094770B">
        <w:t xml:space="preserve"> who used X-rays. </w:t>
      </w:r>
      <w:r w:rsidR="0095381C">
        <w:t xml:space="preserve">By observing the interference pattern of the light waves, they were able to determine the spacing of the diffraction grating (the molecules in the lattice). </w:t>
      </w:r>
      <w:r w:rsidR="00666BB4">
        <w:t xml:space="preserve">Each maxima of interference represents a “plane” of molecules in the lattice (the horizontal rows in Figure 2). </w:t>
      </w:r>
      <w:r w:rsidR="0061003F">
        <w:t xml:space="preserve"> The spacing between the interference maxima can then be used to calculate the spacing of the planes.</w:t>
      </w:r>
    </w:p>
    <w:p w14:paraId="55838D56" w14:textId="77777777" w:rsidR="0095381C" w:rsidRDefault="0095381C" w:rsidP="00561D5D"/>
    <w:p w14:paraId="3B6FFA16" w14:textId="77777777" w:rsidR="0095381C" w:rsidRDefault="0095381C" w:rsidP="00561D5D"/>
    <w:p w14:paraId="31CEDA82" w14:textId="77777777" w:rsidR="0095381C" w:rsidRDefault="0095381C" w:rsidP="00561D5D"/>
    <w:p w14:paraId="21AAF22A" w14:textId="42336D8A" w:rsidR="00561D5D" w:rsidRDefault="00274388" w:rsidP="00561D5D">
      <w:r>
        <w:t>This phenomenon can be performed with electrons also</w:t>
      </w:r>
      <w:r w:rsidR="0095381C">
        <w:t>,</w:t>
      </w:r>
      <w:r>
        <w:t xml:space="preserve"> due to the wave-particle duality of quantum scale particles. </w:t>
      </w:r>
      <w:r w:rsidR="00EF2DE9">
        <w:t>Accelerating electrons using a potential difference and applying de’ Broglie’s wavelength relationship</w:t>
      </w:r>
    </w:p>
    <w:p w14:paraId="49FE2192" w14:textId="355AC118" w:rsidR="00EF2DE9" w:rsidRDefault="00EF2DE9" w:rsidP="00561D5D"/>
    <w:p w14:paraId="75AE9480" w14:textId="171D6EB6" w:rsidR="00EF2DE9" w:rsidRPr="00EF2DE9" w:rsidRDefault="00EF2DE9" w:rsidP="00561D5D">
      <w:pPr>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ρ</m:t>
              </m:r>
            </m:den>
          </m:f>
          <m:r>
            <w:rPr>
              <w:rFonts w:ascii="Cambria Math" w:hAnsi="Cambria Math"/>
            </w:rPr>
            <m:t>=</m:t>
          </m:r>
          <m:f>
            <m:fPr>
              <m:ctrlPr>
                <w:rPr>
                  <w:rFonts w:ascii="Cambria Math" w:hAnsi="Cambria Math"/>
                  <w:i/>
                </w:rPr>
              </m:ctrlPr>
            </m:fPr>
            <m:num>
              <m:r>
                <w:rPr>
                  <w:rFonts w:ascii="Cambria Math" w:hAnsi="Cambria Math"/>
                </w:rPr>
                <m:t>h</m:t>
              </m:r>
            </m:num>
            <m:den>
              <m:rad>
                <m:radPr>
                  <m:degHide m:val="1"/>
                  <m:ctrlPr>
                    <w:rPr>
                      <w:rFonts w:ascii="Cambria Math" w:hAnsi="Cambria Math"/>
                      <w:i/>
                    </w:rPr>
                  </m:ctrlPr>
                </m:radPr>
                <m:deg/>
                <m:e>
                  <m:r>
                    <w:rPr>
                      <w:rFonts w:ascii="Cambria Math" w:hAnsi="Cambria Math"/>
                    </w:rPr>
                    <m:t>2mE</m:t>
                  </m:r>
                </m:e>
              </m:rad>
            </m:den>
          </m:f>
          <m:r>
            <w:rPr>
              <w:rFonts w:ascii="Cambria Math" w:hAnsi="Cambria Math"/>
            </w:rPr>
            <m:t>=</m:t>
          </m:r>
          <m:f>
            <m:fPr>
              <m:ctrlPr>
                <w:rPr>
                  <w:rFonts w:ascii="Cambria Math" w:hAnsi="Cambria Math"/>
                  <w:i/>
                </w:rPr>
              </m:ctrlPr>
            </m:fPr>
            <m:num>
              <m:r>
                <w:rPr>
                  <w:rFonts w:ascii="Cambria Math" w:hAnsi="Cambria Math"/>
                </w:rPr>
                <m:t>h</m:t>
              </m:r>
            </m:num>
            <m:den>
              <m:rad>
                <m:radPr>
                  <m:degHide m:val="1"/>
                  <m:ctrlPr>
                    <w:rPr>
                      <w:rFonts w:ascii="Cambria Math" w:hAnsi="Cambria Math"/>
                      <w:i/>
                    </w:rPr>
                  </m:ctrlPr>
                </m:radPr>
                <m:deg/>
                <m:e>
                  <m:r>
                    <w:rPr>
                      <w:rFonts w:ascii="Cambria Math" w:hAnsi="Cambria Math"/>
                    </w:rPr>
                    <m:t>2mqV</m:t>
                  </m:r>
                </m:e>
              </m:rad>
            </m:den>
          </m:f>
        </m:oMath>
      </m:oMathPara>
    </w:p>
    <w:p w14:paraId="5F2D0060" w14:textId="3E12CF17" w:rsidR="00EF2DE9" w:rsidRPr="00EF2DE9" w:rsidRDefault="00EF2DE9" w:rsidP="00561D5D">
      <w:pPr>
        <w:rPr>
          <w:rFonts w:eastAsiaTheme="minorEastAsia"/>
        </w:rPr>
      </w:pPr>
      <m:oMathPara>
        <m:oMathParaPr>
          <m:jc m:val="left"/>
        </m:oMathParaPr>
        <m:oMath>
          <m:r>
            <w:rPr>
              <w:rFonts w:ascii="Cambria Math" w:eastAsiaTheme="minorEastAsia" w:hAnsi="Cambria Math"/>
            </w:rPr>
            <m:t>Where  q is charge, m is mass, V is potential and h is planc</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s constant.</m:t>
          </m:r>
          <m:r>
            <w:rPr>
              <w:rFonts w:ascii="Cambria Math" w:eastAsiaTheme="minorEastAsia" w:hAnsi="Cambria Math"/>
            </w:rPr>
            <m:t xml:space="preserve"> </m:t>
          </m:r>
        </m:oMath>
      </m:oMathPara>
    </w:p>
    <w:p w14:paraId="647D6A05" w14:textId="09E9593E" w:rsidR="00EF2DE9" w:rsidRDefault="00EF2DE9" w:rsidP="00561D5D">
      <w:pPr>
        <w:rPr>
          <w:rFonts w:eastAsiaTheme="minorEastAsia"/>
        </w:rPr>
      </w:pPr>
    </w:p>
    <w:p w14:paraId="0DBA221D" w14:textId="17B6574A" w:rsidR="00C853A2" w:rsidRDefault="00EF2DE9" w:rsidP="00EF2DE9">
      <w:pPr>
        <w:rPr>
          <w:rFonts w:eastAsiaTheme="minorEastAsia"/>
        </w:rPr>
      </w:pPr>
      <w:r>
        <w:rPr>
          <w:rFonts w:eastAsiaTheme="minorEastAsia"/>
        </w:rPr>
        <w:t>Therefore, the wavelength of the electrons may be altered by changing the potential acting on them</w:t>
      </w:r>
      <w:bookmarkStart w:id="2" w:name="_Toc514859566"/>
      <w:r w:rsidR="0054412D">
        <w:rPr>
          <w:rFonts w:eastAsiaTheme="minorEastAsia"/>
        </w:rPr>
        <w:t xml:space="preserve">. </w:t>
      </w:r>
      <w:r w:rsidR="000C7698">
        <w:rPr>
          <w:rFonts w:eastAsiaTheme="minorEastAsia"/>
        </w:rPr>
        <w:t>By firing these electrons at a sample of graphite that consists of many different orientations of crystals a</w:t>
      </w:r>
      <w:r w:rsidR="00056251">
        <w:rPr>
          <w:rFonts w:eastAsiaTheme="minorEastAsia"/>
        </w:rPr>
        <w:t>n</w:t>
      </w:r>
      <w:r w:rsidR="000C7698">
        <w:rPr>
          <w:rFonts w:eastAsiaTheme="minorEastAsia"/>
        </w:rPr>
        <w:t xml:space="preserve"> interference pattern of two rings is produced</w:t>
      </w:r>
      <w:r w:rsidR="00FF1082">
        <w:rPr>
          <w:rFonts w:eastAsiaTheme="minorEastAsia"/>
        </w:rPr>
        <w:t xml:space="preserve"> (see Figure 3)</w:t>
      </w:r>
      <w:r w:rsidR="000C7698">
        <w:rPr>
          <w:rFonts w:eastAsiaTheme="minorEastAsia"/>
        </w:rPr>
        <w:t xml:space="preserve">. Each </w:t>
      </w:r>
      <w:r w:rsidR="00056251">
        <w:rPr>
          <w:rFonts w:eastAsiaTheme="minorEastAsia"/>
        </w:rPr>
        <w:t>ring</w:t>
      </w:r>
      <w:r w:rsidR="000C7698">
        <w:rPr>
          <w:rFonts w:eastAsiaTheme="minorEastAsia"/>
        </w:rPr>
        <w:t xml:space="preserve"> represents a plane in the lattice. </w:t>
      </w:r>
      <w:r w:rsidR="00056251">
        <w:rPr>
          <w:rFonts w:eastAsiaTheme="minorEastAsia"/>
        </w:rPr>
        <w:t>Taking the diameter of each ring at each diameter and applying them to Equation 1.</w:t>
      </w:r>
    </w:p>
    <w:p w14:paraId="405438DF" w14:textId="77777777" w:rsidR="00056251" w:rsidRDefault="00056251" w:rsidP="00EF2DE9">
      <w:pPr>
        <w:rPr>
          <w:rFonts w:eastAsiaTheme="minorEastAsia"/>
        </w:rPr>
      </w:pPr>
    </w:p>
    <w:p w14:paraId="3324542F" w14:textId="5AA8AE43" w:rsidR="00056251" w:rsidRPr="00056251" w:rsidRDefault="00056251" w:rsidP="00EF2DE9">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V</m:t>
              </m:r>
            </m:e>
          </m:ra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em</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L</m:t>
                      </m:r>
                    </m:den>
                  </m:f>
                </m:e>
              </m:eqArr>
            </m:e>
          </m:d>
          <m:r>
            <w:rPr>
              <w:rFonts w:ascii="Cambria Math" w:eastAsiaTheme="minorEastAsia" w:hAnsi="Cambria Math"/>
            </w:rPr>
            <m:t>D</m:t>
          </m:r>
        </m:oMath>
      </m:oMathPara>
    </w:p>
    <w:p w14:paraId="143239E0" w14:textId="77777777" w:rsidR="00056251" w:rsidRPr="00056251" w:rsidRDefault="00056251" w:rsidP="00EF2DE9">
      <w:pPr>
        <w:rPr>
          <w:rFonts w:eastAsiaTheme="minorEastAsia"/>
        </w:rPr>
      </w:pPr>
    </w:p>
    <w:p w14:paraId="73F44901" w14:textId="77777777" w:rsidR="00056251" w:rsidRPr="00056251" w:rsidRDefault="00056251" w:rsidP="00EF2DE9">
      <w:pPr>
        <w:rPr>
          <w:rFonts w:eastAsiaTheme="minorEastAsia"/>
        </w:rPr>
      </w:pPr>
      <m:oMathPara>
        <m:oMath>
          <m:r>
            <w:rPr>
              <w:rFonts w:ascii="Cambria Math" w:eastAsiaTheme="minorEastAsia" w:hAnsi="Cambria Math"/>
            </w:rPr>
            <m:t>Where V is accelerating potential on electrons, e is charge on electron, m is mass of electron</m:t>
          </m:r>
        </m:oMath>
      </m:oMathPara>
    </w:p>
    <w:p w14:paraId="4BDFE4CF" w14:textId="77777777" w:rsidR="00056251" w:rsidRPr="00056251" w:rsidRDefault="00056251" w:rsidP="00EF2DE9">
      <w:pPr>
        <w:rPr>
          <w:rFonts w:eastAsiaTheme="minorEastAsia"/>
        </w:rPr>
      </w:pPr>
      <m:oMathPara>
        <m:oMath>
          <m:r>
            <w:rPr>
              <w:rFonts w:ascii="Cambria Math" w:eastAsiaTheme="minorEastAsia" w:hAnsi="Cambria Math"/>
            </w:rPr>
            <m:t>h is planc</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s constant , d is the plane spacing in Figure 2, L is the distance between the electron firing</m:t>
          </m:r>
        </m:oMath>
      </m:oMathPara>
    </w:p>
    <w:p w14:paraId="5408E13A" w14:textId="50CD8589" w:rsidR="00056251" w:rsidRPr="00056251" w:rsidRDefault="00056251" w:rsidP="00EF2DE9">
      <w:pPr>
        <w:rPr>
          <w:rFonts w:eastAsiaTheme="minorEastAsia"/>
        </w:rPr>
      </w:pPr>
      <m:oMathPara>
        <m:oMathParaPr>
          <m:jc m:val="left"/>
        </m:oMathParaPr>
        <m:oMath>
          <m:r>
            <w:rPr>
              <w:rFonts w:ascii="Cambria Math" w:eastAsiaTheme="minorEastAsia" w:hAnsi="Cambria Math"/>
            </w:rPr>
            <m:t>point and screen and D is the interference ring diameter.</m:t>
          </m:r>
          <m:r>
            <w:rPr>
              <w:rFonts w:ascii="Cambria Math" w:eastAsiaTheme="minorEastAsia" w:hAnsi="Cambria Math"/>
            </w:rPr>
            <m:t xml:space="preserve"> </m:t>
          </m:r>
        </m:oMath>
      </m:oMathPara>
    </w:p>
    <w:p w14:paraId="2FC4CA41" w14:textId="65E311AD" w:rsidR="00EF2DE9" w:rsidRDefault="00EF2DE9" w:rsidP="00EF2DE9"/>
    <w:p w14:paraId="532A08BE" w14:textId="36723E4E" w:rsidR="00056251" w:rsidRDefault="00056251" w:rsidP="00EF2DE9">
      <w:pPr>
        <w:rPr>
          <w:rFonts w:eastAsiaTheme="minorEastAsia"/>
        </w:rPr>
      </w:pPr>
      <w:r>
        <w:t xml:space="preserve">By plotting </w:t>
      </w:r>
      <m:oMath>
        <m:rad>
          <m:radPr>
            <m:degHide m:val="1"/>
            <m:ctrlPr>
              <w:rPr>
                <w:rFonts w:ascii="Cambria Math" w:hAnsi="Cambria Math"/>
                <w:i/>
              </w:rPr>
            </m:ctrlPr>
          </m:radPr>
          <m:deg/>
          <m:e>
            <m:r>
              <w:rPr>
                <w:rFonts w:ascii="Cambria Math" w:hAnsi="Cambria Math"/>
              </w:rPr>
              <m:t>V</m:t>
            </m:r>
          </m:e>
        </m:rad>
        <m:r>
          <w:rPr>
            <w:rFonts w:ascii="Cambria Math" w:hAnsi="Cambria Math"/>
          </w:rPr>
          <m:t xml:space="preserve"> vs D</m:t>
        </m:r>
      </m:oMath>
      <w:r>
        <w:rPr>
          <w:rFonts w:eastAsiaTheme="minorEastAsia"/>
        </w:rPr>
        <w:t xml:space="preserve"> the gradient is the constant in Equation 1. </w:t>
      </w:r>
      <w:r w:rsidR="00FF1082">
        <w:rPr>
          <w:rFonts w:eastAsiaTheme="minorEastAsia"/>
        </w:rPr>
        <w:t>Therefore,</w:t>
      </w:r>
      <w:r>
        <w:rPr>
          <w:rFonts w:eastAsiaTheme="minorEastAsia"/>
        </w:rPr>
        <w:t xml:space="preserve"> d may be isolated from this value and the plane spacing be found. </w:t>
      </w:r>
    </w:p>
    <w:p w14:paraId="57CD05C3" w14:textId="6F62E8FF" w:rsidR="00FF1082" w:rsidRDefault="00FF1082" w:rsidP="00EF2DE9">
      <w:pPr>
        <w:rPr>
          <w:rFonts w:eastAsiaTheme="minorEastAsia"/>
        </w:rPr>
      </w:pPr>
    </w:p>
    <w:p w14:paraId="5D35D10A" w14:textId="77777777" w:rsidR="00FF1082" w:rsidRDefault="00FF1082" w:rsidP="00FF1082">
      <w:pPr>
        <w:keepNext/>
      </w:pPr>
      <w:r>
        <w:rPr>
          <w:rFonts w:eastAsiaTheme="minorEastAsia"/>
          <w:noProof/>
        </w:rPr>
        <w:drawing>
          <wp:inline distT="0" distB="0" distL="0" distR="0" wp14:anchorId="3B4D56D8" wp14:editId="6F47E08B">
            <wp:extent cx="2247900" cy="21936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ference pattern on screen - two ring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8773" cy="2213976"/>
                    </a:xfrm>
                    <a:prstGeom prst="rect">
                      <a:avLst/>
                    </a:prstGeom>
                  </pic:spPr>
                </pic:pic>
              </a:graphicData>
            </a:graphic>
          </wp:inline>
        </w:drawing>
      </w:r>
    </w:p>
    <w:p w14:paraId="38F0D858" w14:textId="262A2FA1" w:rsidR="00C853A2" w:rsidRPr="00FF1082" w:rsidRDefault="00FF1082" w:rsidP="00FF1082">
      <w:pPr>
        <w:pStyle w:val="Caption"/>
        <w:rPr>
          <w:rFonts w:eastAsiaTheme="minorEastAsia"/>
        </w:rPr>
      </w:pPr>
      <w:r>
        <w:t xml:space="preserve">Figure </w:t>
      </w:r>
      <w:fldSimple w:instr=" SEQ Figure \* ARABIC ">
        <w:r>
          <w:rPr>
            <w:noProof/>
          </w:rPr>
          <w:t>3</w:t>
        </w:r>
      </w:fldSimple>
      <w:r>
        <w:t>: Electron interference pattern for graphite sample.</w:t>
      </w:r>
    </w:p>
    <w:p w14:paraId="65264EA0" w14:textId="09A33FD9" w:rsidR="00240C35" w:rsidRDefault="00240C35" w:rsidP="00240C35">
      <w:r>
        <w:br w:type="page"/>
      </w:r>
    </w:p>
    <w:p w14:paraId="69387732" w14:textId="3B71EFE2" w:rsidR="00647EAE" w:rsidRDefault="00A92FA5" w:rsidP="00147656">
      <w:pPr>
        <w:pStyle w:val="Heading1"/>
      </w:pPr>
      <w:r>
        <w:lastRenderedPageBreak/>
        <w:t>Procedure</w:t>
      </w:r>
      <w:bookmarkEnd w:id="2"/>
    </w:p>
    <w:p w14:paraId="1D0C7404" w14:textId="77777777" w:rsidR="00FF1082" w:rsidRPr="00FF1082" w:rsidRDefault="00FF1082" w:rsidP="00FF1082"/>
    <w:p w14:paraId="55B3E8C7" w14:textId="2A6D851E" w:rsidR="00263BB9" w:rsidRDefault="00FF1082" w:rsidP="00263BB9">
      <w:r>
        <w:t xml:space="preserve">The smallest voltage whilst still being able to measure the ring radius was </w:t>
      </w:r>
      <w:bookmarkStart w:id="3" w:name="_GoBack"/>
      <w:bookmarkEnd w:id="3"/>
    </w:p>
    <w:p w14:paraId="04C30118" w14:textId="77777777" w:rsidR="00263BB9" w:rsidRDefault="00263BB9" w:rsidP="00263BB9"/>
    <w:p w14:paraId="5CFEB388" w14:textId="77777777" w:rsidR="00263BB9" w:rsidRDefault="00263BB9">
      <w:r>
        <w:br w:type="page"/>
      </w:r>
    </w:p>
    <w:p w14:paraId="1D2F1EAE" w14:textId="57FB4123" w:rsidR="00997508" w:rsidRDefault="00A92FA5" w:rsidP="00D24851">
      <w:pPr>
        <w:pStyle w:val="Heading1"/>
      </w:pPr>
      <w:bookmarkStart w:id="4" w:name="_Toc514859567"/>
      <w:r>
        <w:lastRenderedPageBreak/>
        <w:t>Results</w:t>
      </w:r>
      <w:bookmarkEnd w:id="4"/>
    </w:p>
    <w:p w14:paraId="255D223E" w14:textId="7FC85ABA" w:rsidR="006A19F7" w:rsidRDefault="006A19F7" w:rsidP="006A19F7"/>
    <w:p w14:paraId="50BE3089" w14:textId="77777777" w:rsidR="00017D6D" w:rsidRDefault="00017D6D" w:rsidP="00017D6D">
      <w:pPr>
        <w:keepNext/>
      </w:pPr>
      <w:r>
        <w:rPr>
          <w:noProof/>
        </w:rPr>
        <w:drawing>
          <wp:inline distT="0" distB="0" distL="0" distR="0" wp14:anchorId="5F39F7D4" wp14:editId="7B7FE605">
            <wp:extent cx="5731510" cy="3187065"/>
            <wp:effectExtent l="0" t="0" r="2540" b="13335"/>
            <wp:docPr id="9" name="Chart 9">
              <a:extLst xmlns:a="http://schemas.openxmlformats.org/drawingml/2006/main">
                <a:ext uri="{FF2B5EF4-FFF2-40B4-BE49-F238E27FC236}">
                  <a16:creationId xmlns:a16="http://schemas.microsoft.com/office/drawing/2014/main" id="{94C6EF6D-522E-4F46-BECC-46A9730E5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58C6AC" w14:textId="06C5D97A" w:rsidR="00017D6D" w:rsidRDefault="00017D6D" w:rsidP="00017D6D">
      <w:pPr>
        <w:pStyle w:val="Caption"/>
      </w:pPr>
      <w:r>
        <w:t xml:space="preserve">Figure </w:t>
      </w:r>
      <w:r w:rsidR="00087C0E">
        <w:fldChar w:fldCharType="begin"/>
      </w:r>
      <w:r w:rsidR="00087C0E">
        <w:instrText xml:space="preserve"> SEQ Figure \* ARABIC </w:instrText>
      </w:r>
      <w:r w:rsidR="00087C0E">
        <w:fldChar w:fldCharType="separate"/>
      </w:r>
      <w:r w:rsidR="00FF1082">
        <w:rPr>
          <w:noProof/>
        </w:rPr>
        <w:t>4</w:t>
      </w:r>
      <w:r w:rsidR="00087C0E">
        <w:rPr>
          <w:noProof/>
        </w:rPr>
        <w:fldChar w:fldCharType="end"/>
      </w:r>
      <w:r>
        <w:t>: Plot of magnetic field against offset hall voltage for germanium sample 3361</w:t>
      </w:r>
      <w:r w:rsidR="00FB6586">
        <w:t xml:space="preserve"> placed in an electromagnet </w:t>
      </w:r>
      <w:r w:rsidR="000C64D4">
        <w:t xml:space="preserve">and </w:t>
      </w:r>
      <w:r w:rsidR="00FB6586">
        <w:t>experiencing a current.</w:t>
      </w:r>
    </w:p>
    <w:p w14:paraId="167A58D9" w14:textId="77777777" w:rsidR="000C64D4" w:rsidRDefault="000C64D4" w:rsidP="000C64D4">
      <w:pPr>
        <w:keepNext/>
      </w:pPr>
      <w:r>
        <w:rPr>
          <w:noProof/>
        </w:rPr>
        <w:drawing>
          <wp:inline distT="0" distB="0" distL="0" distR="0" wp14:anchorId="0B4790FC" wp14:editId="04E3BA92">
            <wp:extent cx="5731510" cy="3152140"/>
            <wp:effectExtent l="0" t="0" r="2540" b="10160"/>
            <wp:docPr id="10" name="Chart 10">
              <a:extLst xmlns:a="http://schemas.openxmlformats.org/drawingml/2006/main">
                <a:ext uri="{FF2B5EF4-FFF2-40B4-BE49-F238E27FC236}">
                  <a16:creationId xmlns:a16="http://schemas.microsoft.com/office/drawing/2014/main" id="{EE02085B-7408-4BE4-AD08-8AB41492D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2DF618" w14:textId="68C396C5" w:rsidR="00FB6586" w:rsidRPr="00FB6586" w:rsidRDefault="000C64D4" w:rsidP="000C64D4">
      <w:pPr>
        <w:pStyle w:val="Caption"/>
      </w:pPr>
      <w:r>
        <w:t xml:space="preserve">Figure </w:t>
      </w:r>
      <w:r w:rsidR="00087C0E">
        <w:fldChar w:fldCharType="begin"/>
      </w:r>
      <w:r w:rsidR="00087C0E">
        <w:instrText xml:space="preserve"> SEQ Figure \* ARABIC </w:instrText>
      </w:r>
      <w:r w:rsidR="00087C0E">
        <w:fldChar w:fldCharType="separate"/>
      </w:r>
      <w:r w:rsidR="00FF1082">
        <w:rPr>
          <w:noProof/>
        </w:rPr>
        <w:t>5</w:t>
      </w:r>
      <w:r w:rsidR="00087C0E">
        <w:rPr>
          <w:noProof/>
        </w:rPr>
        <w:fldChar w:fldCharType="end"/>
      </w:r>
      <w:r>
        <w:t>: Plot of magnetic field against offset hall voltage for germanium sample 3375 placed in an electromagnet and experiencing a current.</w:t>
      </w:r>
    </w:p>
    <w:p w14:paraId="444DA002" w14:textId="4DF1CFD0" w:rsidR="00690C17" w:rsidRDefault="00690C17" w:rsidP="006A19F7">
      <w:r>
        <w:t xml:space="preserve"> </w:t>
      </w:r>
    </w:p>
    <w:p w14:paraId="678DA888" w14:textId="1845E507" w:rsidR="00DD113F" w:rsidRDefault="00DD113F" w:rsidP="00DD113F"/>
    <w:p w14:paraId="25C8D8E6" w14:textId="2535ADAC" w:rsidR="00DD113F" w:rsidRDefault="00DD113F" w:rsidP="00DD113F"/>
    <w:tbl>
      <w:tblPr>
        <w:tblStyle w:val="TableGrid"/>
        <w:tblW w:w="5000" w:type="pct"/>
        <w:tblLook w:val="04A0" w:firstRow="1" w:lastRow="0" w:firstColumn="1" w:lastColumn="0" w:noHBand="0" w:noVBand="1"/>
      </w:tblPr>
      <w:tblGrid>
        <w:gridCol w:w="1804"/>
        <w:gridCol w:w="1803"/>
        <w:gridCol w:w="1803"/>
        <w:gridCol w:w="1803"/>
        <w:gridCol w:w="1803"/>
      </w:tblGrid>
      <w:tr w:rsidR="007345D6" w14:paraId="4F40CF55" w14:textId="77777777" w:rsidTr="00667FA1">
        <w:tc>
          <w:tcPr>
            <w:tcW w:w="1000" w:type="pct"/>
          </w:tcPr>
          <w:p w14:paraId="7D85B135" w14:textId="5A222540" w:rsidR="007345D6" w:rsidRPr="007345D6" w:rsidRDefault="007345D6" w:rsidP="00DD113F">
            <w:pPr>
              <w:rPr>
                <w:b/>
              </w:rPr>
            </w:pPr>
            <w:r w:rsidRPr="007345D6">
              <w:rPr>
                <w:b/>
              </w:rPr>
              <w:lastRenderedPageBreak/>
              <w:t>Sample</w:t>
            </w:r>
          </w:p>
        </w:tc>
        <w:tc>
          <w:tcPr>
            <w:tcW w:w="1000" w:type="pct"/>
          </w:tcPr>
          <w:p w14:paraId="0CEC3312" w14:textId="3731ECC8" w:rsidR="007345D6" w:rsidRPr="007345D6" w:rsidRDefault="007345D6" w:rsidP="00DD113F">
            <w:pPr>
              <w:rPr>
                <w:b/>
              </w:rPr>
            </w:pPr>
            <w:r w:rsidRPr="007345D6">
              <w:rPr>
                <w:b/>
              </w:rPr>
              <w:t>Majority Carrier Type</w:t>
            </w:r>
          </w:p>
        </w:tc>
        <w:tc>
          <w:tcPr>
            <w:tcW w:w="1000" w:type="pct"/>
          </w:tcPr>
          <w:p w14:paraId="5C6FF3E8" w14:textId="3E6E5794" w:rsidR="007345D6" w:rsidRPr="00667FA1" w:rsidRDefault="007345D6" w:rsidP="00DD113F">
            <w:pPr>
              <w:rPr>
                <w:b/>
              </w:rPr>
            </w:pPr>
            <w:r w:rsidRPr="007345D6">
              <w:rPr>
                <w:b/>
              </w:rPr>
              <w:t xml:space="preserve">Hall Coefficient </w:t>
            </w:r>
            <w:r w:rsidR="00667FA1">
              <w:rPr>
                <w:b/>
              </w:rPr>
              <w:t>(cm</w:t>
            </w:r>
            <w:r w:rsidR="00667FA1">
              <w:rPr>
                <w:b/>
                <w:vertAlign w:val="superscript"/>
              </w:rPr>
              <w:t>3</w:t>
            </w:r>
            <w:r w:rsidR="00667FA1">
              <w:rPr>
                <w:b/>
              </w:rPr>
              <w:t>C</w:t>
            </w:r>
            <w:r w:rsidR="00667FA1">
              <w:rPr>
                <w:b/>
                <w:vertAlign w:val="superscript"/>
              </w:rPr>
              <w:t>-1</w:t>
            </w:r>
            <w:r w:rsidR="00667FA1">
              <w:rPr>
                <w:b/>
              </w:rPr>
              <w:t>)</w:t>
            </w:r>
          </w:p>
        </w:tc>
        <w:tc>
          <w:tcPr>
            <w:tcW w:w="1000" w:type="pct"/>
          </w:tcPr>
          <w:p w14:paraId="4DECF83A" w14:textId="670622CF" w:rsidR="007345D6" w:rsidRPr="007345D6" w:rsidRDefault="007345D6" w:rsidP="00DD113F">
            <w:pPr>
              <w:rPr>
                <w:b/>
              </w:rPr>
            </w:pPr>
            <w:r w:rsidRPr="007345D6">
              <w:rPr>
                <w:b/>
              </w:rPr>
              <w:t>Carrier Density (cm</w:t>
            </w:r>
            <w:r>
              <w:rPr>
                <w:b/>
                <w:vertAlign w:val="superscript"/>
              </w:rPr>
              <w:t>-3</w:t>
            </w:r>
            <w:r>
              <w:rPr>
                <w:b/>
              </w:rPr>
              <w:t>)</w:t>
            </w:r>
          </w:p>
        </w:tc>
        <w:tc>
          <w:tcPr>
            <w:tcW w:w="1000" w:type="pct"/>
          </w:tcPr>
          <w:p w14:paraId="16FBA6F5" w14:textId="7C3B96D2" w:rsidR="007345D6" w:rsidRPr="00667FA1" w:rsidRDefault="00667FA1" w:rsidP="00DD113F">
            <w:pPr>
              <w:rPr>
                <w:b/>
              </w:rPr>
            </w:pPr>
            <w:r>
              <w:rPr>
                <w:b/>
              </w:rPr>
              <w:t>Carrier Mobility (cm</w:t>
            </w:r>
            <w:r>
              <w:rPr>
                <w:b/>
                <w:vertAlign w:val="superscript"/>
              </w:rPr>
              <w:t>2</w:t>
            </w:r>
            <w:r>
              <w:rPr>
                <w:b/>
              </w:rPr>
              <w:t>V</w:t>
            </w:r>
            <w:r>
              <w:rPr>
                <w:b/>
                <w:vertAlign w:val="superscript"/>
              </w:rPr>
              <w:t>-1</w:t>
            </w:r>
            <w:r>
              <w:rPr>
                <w:b/>
              </w:rPr>
              <w:t>s</w:t>
            </w:r>
            <w:r>
              <w:rPr>
                <w:b/>
                <w:vertAlign w:val="superscript"/>
              </w:rPr>
              <w:t>-1</w:t>
            </w:r>
            <w:r>
              <w:rPr>
                <w:b/>
              </w:rPr>
              <w:t>)</w:t>
            </w:r>
          </w:p>
        </w:tc>
      </w:tr>
      <w:tr w:rsidR="007345D6" w14:paraId="7EA8EB5D" w14:textId="77777777" w:rsidTr="007345D6">
        <w:tc>
          <w:tcPr>
            <w:tcW w:w="1000" w:type="pct"/>
          </w:tcPr>
          <w:p w14:paraId="045ED0EA" w14:textId="7C5C4B6E" w:rsidR="007345D6" w:rsidRDefault="007345D6" w:rsidP="00DD113F">
            <w:r>
              <w:t>3361</w:t>
            </w:r>
          </w:p>
        </w:tc>
        <w:tc>
          <w:tcPr>
            <w:tcW w:w="1000" w:type="pct"/>
          </w:tcPr>
          <w:p w14:paraId="44815D1A" w14:textId="7DD32D6C" w:rsidR="007345D6" w:rsidRDefault="00667FA1" w:rsidP="00DD113F">
            <w:r>
              <w:t>p-type</w:t>
            </w:r>
          </w:p>
        </w:tc>
        <w:tc>
          <w:tcPr>
            <w:tcW w:w="1000" w:type="pct"/>
          </w:tcPr>
          <w:p w14:paraId="31DD7BD9" w14:textId="079FB49F" w:rsidR="007345D6" w:rsidRPr="004C26E1" w:rsidRDefault="004C26E1" w:rsidP="00DD113F">
            <w:r>
              <w:t xml:space="preserve">20600 ± </w:t>
            </w:r>
            <w:r w:rsidR="00722CF5">
              <w:t>1080</w:t>
            </w:r>
          </w:p>
        </w:tc>
        <w:tc>
          <w:tcPr>
            <w:tcW w:w="1000" w:type="pct"/>
          </w:tcPr>
          <w:p w14:paraId="18E4FFAA" w14:textId="123A1E3C" w:rsidR="007345D6" w:rsidRPr="0056566B" w:rsidRDefault="004C26E1" w:rsidP="00DD113F">
            <w:r>
              <w:t xml:space="preserve">3.03 </w:t>
            </w:r>
            <w:r w:rsidR="00722CF5">
              <w:t>± 0.1</w:t>
            </w:r>
            <w:r w:rsidR="00467969">
              <w:t>6</w:t>
            </w:r>
            <w:r w:rsidR="00722CF5">
              <w:t xml:space="preserve"> </w:t>
            </w:r>
            <w:r>
              <w:t>x 10</w:t>
            </w:r>
            <w:r>
              <w:rPr>
                <w:vertAlign w:val="superscript"/>
              </w:rPr>
              <w:t>13</w:t>
            </w:r>
            <w:r w:rsidR="0056566B">
              <w:rPr>
                <w:vertAlign w:val="superscript"/>
              </w:rPr>
              <w:t xml:space="preserve"> </w:t>
            </w:r>
          </w:p>
        </w:tc>
        <w:tc>
          <w:tcPr>
            <w:tcW w:w="1000" w:type="pct"/>
          </w:tcPr>
          <w:p w14:paraId="2430C958" w14:textId="16F51AFC" w:rsidR="007345D6" w:rsidRPr="000B6F15" w:rsidRDefault="004C26E1" w:rsidP="00DD113F">
            <w:r>
              <w:t xml:space="preserve">2.943 </w:t>
            </w:r>
            <w:r w:rsidR="00467969">
              <w:t>± 0.17</w:t>
            </w:r>
            <w:r>
              <w:t>x 10</w:t>
            </w:r>
            <w:r>
              <w:rPr>
                <w:vertAlign w:val="superscript"/>
              </w:rPr>
              <w:t>3</w:t>
            </w:r>
            <w:r w:rsidR="000B6F15">
              <w:t xml:space="preserve"> </w:t>
            </w:r>
          </w:p>
        </w:tc>
      </w:tr>
      <w:tr w:rsidR="007345D6" w14:paraId="293278C6" w14:textId="77777777" w:rsidTr="007345D6">
        <w:tc>
          <w:tcPr>
            <w:tcW w:w="1000" w:type="pct"/>
          </w:tcPr>
          <w:p w14:paraId="315A4A0B" w14:textId="292E40DB" w:rsidR="007345D6" w:rsidRDefault="007345D6" w:rsidP="00DD113F">
            <w:r>
              <w:t>3375</w:t>
            </w:r>
          </w:p>
        </w:tc>
        <w:tc>
          <w:tcPr>
            <w:tcW w:w="1000" w:type="pct"/>
          </w:tcPr>
          <w:p w14:paraId="6FD75A31" w14:textId="218B80DF" w:rsidR="007345D6" w:rsidRDefault="00667FA1" w:rsidP="00DD113F">
            <w:r>
              <w:t>n-type</w:t>
            </w:r>
          </w:p>
        </w:tc>
        <w:tc>
          <w:tcPr>
            <w:tcW w:w="1000" w:type="pct"/>
          </w:tcPr>
          <w:p w14:paraId="33ABED9B" w14:textId="73613D07" w:rsidR="007345D6" w:rsidRPr="004C26E1" w:rsidRDefault="004C26E1" w:rsidP="00DD113F">
            <w:pPr>
              <w:rPr>
                <w:b/>
              </w:rPr>
            </w:pPr>
            <w:r>
              <w:t xml:space="preserve">20000 ± </w:t>
            </w:r>
            <w:r w:rsidR="00722CF5">
              <w:t>1080</w:t>
            </w:r>
          </w:p>
        </w:tc>
        <w:tc>
          <w:tcPr>
            <w:tcW w:w="1000" w:type="pct"/>
          </w:tcPr>
          <w:p w14:paraId="65C72B0C" w14:textId="4328D40F" w:rsidR="007345D6" w:rsidRPr="0056566B" w:rsidRDefault="004C26E1" w:rsidP="00DD113F">
            <w:r>
              <w:t xml:space="preserve">3.12 </w:t>
            </w:r>
            <w:r w:rsidR="00722CF5">
              <w:t>± 0.1</w:t>
            </w:r>
            <w:r w:rsidR="00467969">
              <w:t>6</w:t>
            </w:r>
            <w:r w:rsidR="00722CF5">
              <w:t xml:space="preserve"> x 10</w:t>
            </w:r>
            <w:r w:rsidR="00722CF5">
              <w:rPr>
                <w:vertAlign w:val="superscript"/>
              </w:rPr>
              <w:t>13</w:t>
            </w:r>
          </w:p>
        </w:tc>
        <w:tc>
          <w:tcPr>
            <w:tcW w:w="1000" w:type="pct"/>
          </w:tcPr>
          <w:p w14:paraId="24CB601A" w14:textId="2AA63710" w:rsidR="007345D6" w:rsidRPr="000B6F15" w:rsidRDefault="004C26E1" w:rsidP="00DD113F">
            <w:pPr>
              <w:rPr>
                <w:b/>
              </w:rPr>
            </w:pPr>
            <w:r>
              <w:t xml:space="preserve">3.333 </w:t>
            </w:r>
            <w:r w:rsidR="000B6F15">
              <w:t xml:space="preserve">± </w:t>
            </w:r>
            <w:r w:rsidR="00467969">
              <w:t>0.17x 10</w:t>
            </w:r>
            <w:r w:rsidR="00467969">
              <w:rPr>
                <w:vertAlign w:val="superscript"/>
              </w:rPr>
              <w:t>3</w:t>
            </w:r>
          </w:p>
        </w:tc>
      </w:tr>
    </w:tbl>
    <w:p w14:paraId="17546937" w14:textId="1E5E142E" w:rsidR="00DD113F" w:rsidRDefault="00C31C0F" w:rsidP="00C31C0F">
      <w:pPr>
        <w:pStyle w:val="Caption"/>
      </w:pPr>
      <w:r>
        <w:t xml:space="preserve">Table </w:t>
      </w:r>
      <w:r w:rsidR="00087C0E">
        <w:fldChar w:fldCharType="begin"/>
      </w:r>
      <w:r w:rsidR="00087C0E">
        <w:instrText xml:space="preserve"> SEQ Table \* ARABIC </w:instrText>
      </w:r>
      <w:r w:rsidR="00087C0E">
        <w:fldChar w:fldCharType="separate"/>
      </w:r>
      <w:r w:rsidR="000C1711">
        <w:rPr>
          <w:noProof/>
        </w:rPr>
        <w:t>1</w:t>
      </w:r>
      <w:r w:rsidR="00087C0E">
        <w:rPr>
          <w:noProof/>
        </w:rPr>
        <w:fldChar w:fldCharType="end"/>
      </w:r>
      <w:r>
        <w:t xml:space="preserve">: Properties of the tested germanium samples as determined using </w:t>
      </w:r>
      <w:r w:rsidR="000213EE">
        <w:t>E</w:t>
      </w:r>
      <w:r>
        <w:t>quation</w:t>
      </w:r>
      <w:r w:rsidR="000213EE">
        <w:t>s</w:t>
      </w:r>
      <w:r>
        <w:t xml:space="preserve"> 1, 2 &amp; 3.</w:t>
      </w:r>
    </w:p>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4859568"/>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4859569"/>
      <w:r>
        <w:t>Inaccuracy</w:t>
      </w:r>
      <w:bookmarkEnd w:id="6"/>
    </w:p>
    <w:p w14:paraId="1332A2BB" w14:textId="0B1E3B7B" w:rsidR="00075C60" w:rsidRDefault="00075C60" w:rsidP="005A5FDC">
      <w:r>
        <w:t xml:space="preserve">The experiment has a number of sources of inaccuracy. The instruments themselves have intrinsic inaccuracies. The voltmeter and current sources are accurate to ±0.1mV and ±0.1mA respectively. The Gauss probe had an accuracy of ±0.1 Gs. </w:t>
      </w:r>
    </w:p>
    <w:p w14:paraId="1BA49DC3" w14:textId="5E228939" w:rsidR="00075C60" w:rsidRDefault="00592285" w:rsidP="005A5FDC">
      <w:r>
        <w:t>T</w:t>
      </w:r>
      <w:r w:rsidR="00075C60">
        <w:t xml:space="preserve">he gradient of the plots in Figure 5 &amp; 6 </w:t>
      </w:r>
      <w:r>
        <w:t xml:space="preserve">were not perfectly linear and so an inaccuracy of ±5% was applied to the gradient </w:t>
      </w:r>
      <w:r w:rsidR="00075C60">
        <w:t xml:space="preserve">and </w:t>
      </w:r>
      <w:r>
        <w:t>carried through the results calculations. T</w:t>
      </w:r>
      <w:r w:rsidR="00075C60">
        <w:t>he inaccuracy for the Hall Coefficient is ±</w:t>
      </w:r>
      <w:r w:rsidR="00966BC8">
        <w:t>1080</w:t>
      </w:r>
      <w:r w:rsidR="00075C60">
        <w:t>, the carrier density is ±</w:t>
      </w:r>
      <w:r w:rsidR="00966BC8">
        <w:t>0.16x10E13</w:t>
      </w:r>
      <w:r w:rsidR="00075C60">
        <w:t xml:space="preserve"> and the carrier mobility is ±</w:t>
      </w:r>
      <w:r w:rsidR="00966BC8">
        <w:t>0.17x10E3.</w:t>
      </w:r>
    </w:p>
    <w:p w14:paraId="21DC9BF4" w14:textId="1B2BF3FF" w:rsidR="00075C60" w:rsidRDefault="00075C60" w:rsidP="005A5FDC">
      <w:r>
        <w:t xml:space="preserve">Additional sources of inaccuracy are the misalignment of voltmeter probe terminals though this should have been accounted for by calculating the offset voltage (see Equation 4). </w:t>
      </w:r>
    </w:p>
    <w:p w14:paraId="2885B9D0" w14:textId="6C30AC31" w:rsidR="00D815FF" w:rsidRDefault="00B74A2C" w:rsidP="005A5FDC">
      <w:r>
        <w:t>The Ettingshausen</w:t>
      </w:r>
      <w:r w:rsidR="00D815FF">
        <w:t xml:space="preserve"> and</w:t>
      </w:r>
      <w:r>
        <w:t xml:space="preserve"> Nernst </w:t>
      </w:r>
      <w:r w:rsidR="00D815FF">
        <w:t>(</w:t>
      </w:r>
      <w:r>
        <w:t>Righi-Leduc</w:t>
      </w:r>
      <w:r w:rsidR="00D815FF">
        <w:t>)</w:t>
      </w:r>
      <w:r>
        <w:t xml:space="preserve"> Effects also contribute to errors in the data collected. The Ettingshausen </w:t>
      </w:r>
      <w:r w:rsidR="000E77FA">
        <w:t xml:space="preserve">Effect </w:t>
      </w:r>
      <w:r>
        <w:t xml:space="preserve">is where </w:t>
      </w:r>
      <w:r w:rsidR="000E77FA">
        <w:t>charge carriers with a greater velocity are deflected more than others creating a</w:t>
      </w:r>
      <w:r w:rsidR="00D815FF">
        <w:t xml:space="preserve"> temperature gradient that induces an </w:t>
      </w:r>
      <w:r w:rsidR="000E77FA">
        <w:t>additional voltage which affects the hall voltage.</w:t>
      </w:r>
      <w:r w:rsidR="00D815FF">
        <w:t xml:space="preserve"> The Nernst effect is also due to a temperature gradient which generates current perpendicular to the hall voltage and magnetic field, this also alters the reading of the hall voltage. </w:t>
      </w:r>
    </w:p>
    <w:p w14:paraId="567BD4AC" w14:textId="628E3BD3" w:rsidR="00D815FF" w:rsidRDefault="00D815FF" w:rsidP="005A5FDC">
      <w:r>
        <w:t>The Ettingshausen effect cannot be corrected by calculating an offset voltage for reversed magnetic field or current however the Nernst effect can be accounted for by reversing current. This process could be used to improve the experimental data</w:t>
      </w:r>
      <w:r w:rsidR="00B44D92">
        <w:t xml:space="preserve"> in the future. </w:t>
      </w:r>
    </w:p>
    <w:p w14:paraId="0599F37C" w14:textId="1763564A" w:rsidR="00B324F9" w:rsidRPr="00075C60" w:rsidRDefault="00B324F9" w:rsidP="005A5FDC">
      <w:r>
        <w:t xml:space="preserve">The magnitude of these effects on the data for this experiment have however been deemed negligible. </w:t>
      </w:r>
    </w:p>
    <w:p w14:paraId="6C135845" w14:textId="77777777" w:rsidR="007466D6" w:rsidRDefault="007466D6" w:rsidP="007466D6">
      <w:pPr>
        <w:pStyle w:val="Heading2"/>
        <w:rPr>
          <w:rFonts w:eastAsiaTheme="minorEastAsia"/>
        </w:rPr>
      </w:pPr>
    </w:p>
    <w:p w14:paraId="3867CE88" w14:textId="1A890872" w:rsidR="007466D6" w:rsidRDefault="00EA4B5A" w:rsidP="007466D6">
      <w:pPr>
        <w:pStyle w:val="Heading2"/>
        <w:rPr>
          <w:rFonts w:eastAsiaTheme="minorEastAsia"/>
        </w:rPr>
      </w:pPr>
      <w:bookmarkStart w:id="7" w:name="_Toc514859570"/>
      <w:r>
        <w:rPr>
          <w:rFonts w:eastAsiaTheme="minorEastAsia"/>
        </w:rPr>
        <w:t>Hall Effect Applications</w:t>
      </w:r>
      <w:bookmarkEnd w:id="7"/>
    </w:p>
    <w:p w14:paraId="382C57F0" w14:textId="77777777" w:rsidR="00917EA3" w:rsidRDefault="007466D6" w:rsidP="00F353C5">
      <w:r>
        <w:t>The data obtained can and has been used to calculate the conductive properties of a semiconducting material. This is useful as the information can be used to determine the</w:t>
      </w:r>
      <w:r w:rsidR="00002B7C">
        <w:t xml:space="preserve"> possible applications</w:t>
      </w:r>
      <w:r>
        <w:t xml:space="preserve"> of a material for certain tasks, such</w:t>
      </w:r>
      <w:r w:rsidR="00002B7C">
        <w:t xml:space="preserve"> transistors in small</w:t>
      </w:r>
      <w:r>
        <w:t xml:space="preserve"> electronics.</w:t>
      </w:r>
      <w:r w:rsidR="00835AFA">
        <w:t xml:space="preserve"> </w:t>
      </w:r>
    </w:p>
    <w:p w14:paraId="55C9C814" w14:textId="717BC6B4" w:rsidR="00917EA3" w:rsidRDefault="00917EA3" w:rsidP="00F353C5">
      <w:r>
        <w:t>T</w:t>
      </w:r>
      <w:r w:rsidR="00835AFA">
        <w:t xml:space="preserve">he hall effect can </w:t>
      </w:r>
      <w:r>
        <w:t xml:space="preserve">also </w:t>
      </w:r>
      <w:r w:rsidR="00835AFA">
        <w:t>be used in sensors. Many</w:t>
      </w:r>
      <w:r w:rsidR="007466D6">
        <w:t xml:space="preserve"> </w:t>
      </w:r>
      <w:r w:rsidR="0063096F">
        <w:t>pedal</w:t>
      </w:r>
      <w:r w:rsidR="00835AFA">
        <w:t xml:space="preserve"> systems for vehicles use this effect to generate a voltage due to a moving magnetic field</w:t>
      </w:r>
      <w:r w:rsidR="0063096F">
        <w:t xml:space="preserve">. A magnet </w:t>
      </w:r>
      <w:r>
        <w:t xml:space="preserve">is attached to a </w:t>
      </w:r>
      <w:r w:rsidR="0063096F">
        <w:t xml:space="preserve">pedal and </w:t>
      </w:r>
      <w:r>
        <w:t xml:space="preserve">when the pedal moves </w:t>
      </w:r>
      <w:r w:rsidR="0063096F">
        <w:t xml:space="preserve">the </w:t>
      </w:r>
      <w:r>
        <w:t xml:space="preserve">induced </w:t>
      </w:r>
      <w:r w:rsidR="0063096F">
        <w:t>voltage magnitude determines the angle that the pedal has been pushed to.</w:t>
      </w:r>
      <w:r>
        <w:t xml:space="preserve"> Often switches in integrated circuits are triggered by a moving magnetic field inducing a voltage </w:t>
      </w:r>
      <w:r w:rsidR="00CF6705">
        <w:t>i.e.</w:t>
      </w:r>
      <w:r>
        <w:t xml:space="preserve"> the Hall Effect.</w:t>
      </w:r>
    </w:p>
    <w:p w14:paraId="1A75AE66" w14:textId="77777777" w:rsidR="00C44145" w:rsidRDefault="00C44145" w:rsidP="00C44145">
      <w:pPr>
        <w:pStyle w:val="Heading2"/>
      </w:pPr>
    </w:p>
    <w:p w14:paraId="5AC9C331" w14:textId="77A1EFB3" w:rsidR="00CF6705" w:rsidRDefault="00C44145" w:rsidP="00C44145">
      <w:pPr>
        <w:pStyle w:val="Heading2"/>
      </w:pPr>
      <w:bookmarkStart w:id="8" w:name="_Toc514859571"/>
      <w:r>
        <w:t>Intrinsic Semiconductors</w:t>
      </w:r>
      <w:bookmarkEnd w:id="8"/>
    </w:p>
    <w:p w14:paraId="1E81E103" w14:textId="3CA938F2" w:rsidR="00C44145" w:rsidRDefault="00895EAE" w:rsidP="00C44145">
      <w:r>
        <w:t xml:space="preserve">Intrinsic semiconductors do exhibit extrinsic conduction. Extrinsic conduction is caused by having </w:t>
      </w:r>
      <w:r w:rsidR="0076683A">
        <w:t>free</w:t>
      </w:r>
      <w:r>
        <w:t xml:space="preserve"> holes or electrons, intrinsic conduction is caused by thermal agitation exciting electrons from the valence band to the conduction band of a material</w:t>
      </w:r>
      <w:r w:rsidR="00E546DD">
        <w:t xml:space="preserve"> (see Figure 7).</w:t>
      </w:r>
    </w:p>
    <w:p w14:paraId="46184003" w14:textId="77777777" w:rsidR="005B6E12" w:rsidRDefault="005B6E12" w:rsidP="005B6E12">
      <w:pPr>
        <w:keepNext/>
      </w:pPr>
      <w:r>
        <w:rPr>
          <w:noProof/>
        </w:rPr>
        <w:lastRenderedPageBreak/>
        <w:drawing>
          <wp:inline distT="0" distB="0" distL="0" distR="0" wp14:anchorId="27B299F8" wp14:editId="7E95FC29">
            <wp:extent cx="3112888" cy="1479550"/>
            <wp:effectExtent l="19050" t="19050" r="114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03" cy="1483217"/>
                    </a:xfrm>
                    <a:prstGeom prst="rect">
                      <a:avLst/>
                    </a:prstGeom>
                    <a:ln>
                      <a:solidFill>
                        <a:schemeClr val="tx1"/>
                      </a:solidFill>
                    </a:ln>
                  </pic:spPr>
                </pic:pic>
              </a:graphicData>
            </a:graphic>
          </wp:inline>
        </w:drawing>
      </w:r>
    </w:p>
    <w:p w14:paraId="098F3C45" w14:textId="58253334" w:rsidR="005B6E12" w:rsidRDefault="005B6E12" w:rsidP="005B6E12">
      <w:pPr>
        <w:pStyle w:val="Caption"/>
      </w:pPr>
      <w:r>
        <w:t xml:space="preserve">Figure </w:t>
      </w:r>
      <w:r w:rsidR="00087C0E">
        <w:fldChar w:fldCharType="begin"/>
      </w:r>
      <w:r w:rsidR="00087C0E">
        <w:instrText xml:space="preserve"> SEQ Figure \* ARABIC </w:instrText>
      </w:r>
      <w:r w:rsidR="00087C0E">
        <w:fldChar w:fldCharType="separate"/>
      </w:r>
      <w:r w:rsidR="00FF1082">
        <w:rPr>
          <w:noProof/>
        </w:rPr>
        <w:t>6</w:t>
      </w:r>
      <w:r w:rsidR="00087C0E">
        <w:rPr>
          <w:noProof/>
        </w:rPr>
        <w:fldChar w:fldCharType="end"/>
      </w:r>
      <w:r>
        <w:t>: Thermal agitation of electrons in a semiconductor to the conduction band form the valence band</w:t>
      </w:r>
      <w:r w:rsidR="0076683A">
        <w:t xml:space="preserve"> </w:t>
      </w:r>
      <w:r w:rsidR="008B03C6">
        <w:t>(aka intrinsic conduction).</w:t>
      </w:r>
    </w:p>
    <w:p w14:paraId="7C361C40" w14:textId="6D1E5538" w:rsidR="00F82629" w:rsidRDefault="000952BB" w:rsidP="00C44145">
      <w:r>
        <w:t xml:space="preserve">The samples of germanium in this experiment were kept at a relatively constant temperature. The increase in temperature due to heat dissipation in the material was negligible as the current was only 5mA. </w:t>
      </w:r>
      <w:r w:rsidR="0076683A">
        <w:t>Therefore,</w:t>
      </w:r>
      <w:r w:rsidR="00F82629">
        <w:t xml:space="preserve"> the </w:t>
      </w:r>
      <w:r w:rsidR="0076683A">
        <w:t>hall voltage generated</w:t>
      </w:r>
      <w:r w:rsidR="00F82629">
        <w:t xml:space="preserve"> must be attributed to extrinsic conduction</w:t>
      </w:r>
      <w:r w:rsidR="0076683A">
        <w:t xml:space="preserve"> and hence was observed for </w:t>
      </w:r>
      <w:proofErr w:type="gramStart"/>
      <w:r w:rsidR="0076683A">
        <w:t>a</w:t>
      </w:r>
      <w:proofErr w:type="gramEnd"/>
      <w:r w:rsidR="0076683A">
        <w:t xml:space="preserve"> intrinsic semiconductor. </w:t>
      </w:r>
    </w:p>
    <w:p w14:paraId="5DF1F7D1" w14:textId="7615DD15" w:rsidR="005B6E12" w:rsidRDefault="00F82629" w:rsidP="00C44145">
      <w:r>
        <w:t xml:space="preserve">Based on the analysis of force direction described in the introduction </w:t>
      </w:r>
      <w:r w:rsidR="0076683A">
        <w:t xml:space="preserve">of this report </w:t>
      </w:r>
      <w:r>
        <w:t>(see Figure 2) the materials</w:t>
      </w:r>
      <w:r w:rsidR="0076683A">
        <w:t>,</w:t>
      </w:r>
      <w:r>
        <w:t xml:space="preserve"> though undoped</w:t>
      </w:r>
      <w:r w:rsidR="0076683A">
        <w:t>,</w:t>
      </w:r>
      <w:r>
        <w:t xml:space="preserve"> exhibited </w:t>
      </w:r>
      <w:r w:rsidR="0076683A">
        <w:t xml:space="preserve">a </w:t>
      </w:r>
      <w:r>
        <w:t xml:space="preserve">clear majority charge carrier. </w:t>
      </w:r>
      <w:r w:rsidR="0076683A">
        <w:t>This occurred despite pure semiconductors being modelled as having an equal number of holes and electrons.</w:t>
      </w:r>
      <w:r w:rsidR="003250EE">
        <w:t xml:space="preserve"> The results may be explained by crystallographic defects and imperfections in the material</w:t>
      </w:r>
      <w:r w:rsidR="009206FA">
        <w:t xml:space="preserve">. </w:t>
      </w:r>
    </w:p>
    <w:p w14:paraId="3FCF77C0" w14:textId="6955E414" w:rsidR="00F92ED9" w:rsidRDefault="00F92ED9" w:rsidP="00C44145">
      <w:r>
        <w:t xml:space="preserve">Furthermore, the change in hall voltage with increasing magnetic field in combination with the right-hand rule demonstrated that germanium sample 3361 had positive majority charge carriers. This is as it is known that both positive and negative charge carriers are deflected in the same direction and hence </w:t>
      </w:r>
      <w:r w:rsidR="00E84C05">
        <w:t xml:space="preserve">it could be determined which carrier was influences the change in voltage. </w:t>
      </w:r>
      <w:r w:rsidR="00302129">
        <w:t>Similarly,</w:t>
      </w:r>
      <w:r w:rsidR="00E84C05">
        <w:t xml:space="preserve"> the sample 3375 was determined to be an n-type material.</w:t>
      </w:r>
    </w:p>
    <w:p w14:paraId="4A06D73D" w14:textId="77777777" w:rsidR="009B1ADF" w:rsidRDefault="009B1ADF" w:rsidP="00C44145"/>
    <w:p w14:paraId="130F9CF9" w14:textId="5905C789" w:rsidR="009B1ADF" w:rsidRPr="00C46E54" w:rsidRDefault="009B1ADF" w:rsidP="00C44145">
      <w:r>
        <w:tab/>
      </w:r>
    </w:p>
    <w:p w14:paraId="33669F15" w14:textId="77777777" w:rsidR="00CF6705" w:rsidRPr="00CF6705" w:rsidRDefault="00CF6705" w:rsidP="00CF6705"/>
    <w:p w14:paraId="2AACF4D9" w14:textId="7AA6EFF5" w:rsidR="00917EA3" w:rsidRPr="00917EA3" w:rsidRDefault="00917EA3" w:rsidP="00CF6705"/>
    <w:p w14:paraId="0FA1A105" w14:textId="46AB08CB" w:rsidR="00917EA3" w:rsidRDefault="00917EA3" w:rsidP="00917EA3"/>
    <w:p w14:paraId="2A7D34A1" w14:textId="77777777" w:rsidR="00917EA3" w:rsidRPr="00917EA3" w:rsidRDefault="00917EA3" w:rsidP="00917EA3"/>
    <w:p w14:paraId="225740C0" w14:textId="79859BA6" w:rsidR="007466D6" w:rsidRDefault="007466D6" w:rsidP="007466D6">
      <w:pPr>
        <w:pStyle w:val="Heading2"/>
      </w:pPr>
      <w:r>
        <w:rPr>
          <w:rFonts w:asciiTheme="minorHAnsi" w:eastAsiaTheme="minorHAnsi" w:hAnsiTheme="minorHAnsi" w:cstheme="minorBidi"/>
          <w:color w:val="auto"/>
          <w:sz w:val="22"/>
          <w:szCs w:val="22"/>
        </w:rPr>
        <w:br w:type="page"/>
      </w:r>
    </w:p>
    <w:p w14:paraId="460C1D14" w14:textId="14191C16" w:rsidR="009E451E" w:rsidRDefault="005441E7" w:rsidP="006D7323">
      <w:pPr>
        <w:pStyle w:val="Heading1"/>
      </w:pPr>
      <w:bookmarkStart w:id="9" w:name="_Toc514859572"/>
      <w:r w:rsidRPr="005441E7">
        <w:lastRenderedPageBreak/>
        <w:t>Conclusion</w:t>
      </w:r>
      <w:bookmarkEnd w:id="9"/>
    </w:p>
    <w:p w14:paraId="076473F1" w14:textId="78ACB313" w:rsidR="006313E9" w:rsidRDefault="00302129" w:rsidP="00852260">
      <w:r>
        <w:t xml:space="preserve">The hall effect was effectively used to determine the conductive properties of two samples of germanium. Most notably sample 3361 was found to be a p-type material with carrier density </w:t>
      </w:r>
      <w:r w:rsidR="002B256F">
        <w:t>3.03 ± 0.16 x 10</w:t>
      </w:r>
      <w:r w:rsidR="002B256F">
        <w:rPr>
          <w:vertAlign w:val="superscript"/>
        </w:rPr>
        <w:t xml:space="preserve">13 </w:t>
      </w:r>
      <w:r w:rsidR="002B256F">
        <w:t>cm</w:t>
      </w:r>
      <w:r w:rsidR="002B256F">
        <w:rPr>
          <w:vertAlign w:val="superscript"/>
        </w:rPr>
        <w:t>-3</w:t>
      </w:r>
      <w:r w:rsidR="007E71AD">
        <w:t>, validating the presence of positive charge carriers. Sample 3375 was found to be an n-type material with carrier density 3.12 ± 0.16 x 10</w:t>
      </w:r>
      <w:r w:rsidR="007E71AD">
        <w:rPr>
          <w:vertAlign w:val="superscript"/>
        </w:rPr>
        <w:t xml:space="preserve">13 </w:t>
      </w:r>
      <w:r w:rsidR="007E71AD">
        <w:t>cm</w:t>
      </w:r>
      <w:r w:rsidR="007E71AD">
        <w:rPr>
          <w:vertAlign w:val="superscript"/>
        </w:rPr>
        <w:t>-3</w:t>
      </w:r>
      <w:r w:rsidR="007E71AD">
        <w:t xml:space="preserve">. This means that despite both samples being “intrinsic” materials there was a difference majority charge carrier for both hence even pure semiconductors exhibit extrinsic properties. </w:t>
      </w:r>
    </w:p>
    <w:p w14:paraId="14F5CCD5" w14:textId="122C16E5" w:rsidR="00E518D7" w:rsidRPr="003A2C7A" w:rsidRDefault="006313E9" w:rsidP="00302129">
      <w:pPr>
        <w:pStyle w:val="Heading1"/>
        <w:rPr>
          <w:rFonts w:asciiTheme="minorHAnsi" w:eastAsiaTheme="minorHAnsi" w:hAnsiTheme="minorHAnsi" w:cstheme="minorBidi"/>
          <w:color w:val="auto"/>
          <w:sz w:val="22"/>
          <w:szCs w:val="22"/>
        </w:rPr>
      </w:pPr>
      <w:r>
        <w:br w:type="page"/>
      </w:r>
    </w:p>
    <w:bookmarkStart w:id="10" w:name="_Toc514859573"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End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0"/>
        </w:p>
        <w:sdt>
          <w:sdtPr>
            <w:id w:val="111145805"/>
            <w:bibliography/>
          </w:sdtPr>
          <w:sdtEndPr/>
          <w:sdtContent>
            <w:p w14:paraId="0AE66F50" w14:textId="77777777" w:rsidR="00F353C5"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353C5" w14:paraId="254251E9" w14:textId="77777777">
                <w:trPr>
                  <w:divId w:val="384765606"/>
                  <w:tblCellSpacing w:w="15" w:type="dxa"/>
                </w:trPr>
                <w:tc>
                  <w:tcPr>
                    <w:tcW w:w="50" w:type="pct"/>
                    <w:hideMark/>
                  </w:tcPr>
                  <w:p w14:paraId="08458070" w14:textId="519637C5" w:rsidR="00F353C5" w:rsidRDefault="00F353C5">
                    <w:pPr>
                      <w:pStyle w:val="Bibliography"/>
                      <w:rPr>
                        <w:noProof/>
                        <w:sz w:val="24"/>
                        <w:szCs w:val="24"/>
                      </w:rPr>
                    </w:pPr>
                    <w:r>
                      <w:rPr>
                        <w:noProof/>
                      </w:rPr>
                      <w:t xml:space="preserve">[1] </w:t>
                    </w:r>
                  </w:p>
                </w:tc>
                <w:tc>
                  <w:tcPr>
                    <w:tcW w:w="0" w:type="auto"/>
                    <w:hideMark/>
                  </w:tcPr>
                  <w:p w14:paraId="6D5D097F" w14:textId="77777777" w:rsidR="00F353C5" w:rsidRDefault="00F353C5">
                    <w:pPr>
                      <w:pStyle w:val="Bibliography"/>
                      <w:rPr>
                        <w:noProof/>
                      </w:rPr>
                    </w:pPr>
                    <w:r>
                      <w:rPr>
                        <w:noProof/>
                      </w:rPr>
                      <w:t>P. A. Laboratory, “The Hall Effect and the Conductivity of Semiconductors,” 22 February 2006. [Online]. Available: http://instructor.physics.lsa.umich.edu/adv-labs/Hall/hall_effect_2005.pdf. [Accessed May 2018].</w:t>
                    </w:r>
                  </w:p>
                </w:tc>
              </w:tr>
              <w:tr w:rsidR="00F353C5" w14:paraId="78C8D2D1" w14:textId="77777777">
                <w:trPr>
                  <w:divId w:val="384765606"/>
                  <w:tblCellSpacing w:w="15" w:type="dxa"/>
                </w:trPr>
                <w:tc>
                  <w:tcPr>
                    <w:tcW w:w="50" w:type="pct"/>
                    <w:hideMark/>
                  </w:tcPr>
                  <w:p w14:paraId="7C4D2C63" w14:textId="77777777" w:rsidR="00F353C5" w:rsidRDefault="00F353C5">
                    <w:pPr>
                      <w:pStyle w:val="Bibliography"/>
                      <w:rPr>
                        <w:noProof/>
                      </w:rPr>
                    </w:pPr>
                    <w:r>
                      <w:rPr>
                        <w:noProof/>
                      </w:rPr>
                      <w:t xml:space="preserve">[2] </w:t>
                    </w:r>
                  </w:p>
                </w:tc>
                <w:tc>
                  <w:tcPr>
                    <w:tcW w:w="0" w:type="auto"/>
                    <w:hideMark/>
                  </w:tcPr>
                  <w:p w14:paraId="37ACBC84" w14:textId="77777777" w:rsidR="00F353C5" w:rsidRDefault="00F353C5">
                    <w:pPr>
                      <w:pStyle w:val="Bibliography"/>
                      <w:rPr>
                        <w:noProof/>
                      </w:rPr>
                    </w:pPr>
                    <w:r>
                      <w:rPr>
                        <w:noProof/>
                      </w:rPr>
                      <w:t>M. Design, “Energy band structure of germanium,” materials design, 2018. [Online]. Available: http://www.materialsdesign.com/appnote/energy-band-structure-germanium.</w:t>
                    </w:r>
                  </w:p>
                </w:tc>
              </w:tr>
            </w:tbl>
            <w:p w14:paraId="4B4C84FA" w14:textId="77777777" w:rsidR="00F353C5" w:rsidRDefault="00F353C5">
              <w:pPr>
                <w:divId w:val="384765606"/>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11EB6" w14:textId="77777777" w:rsidR="00087C0E" w:rsidRDefault="00087C0E" w:rsidP="006F6F01">
      <w:pPr>
        <w:spacing w:after="0" w:line="240" w:lineRule="auto"/>
      </w:pPr>
      <w:r>
        <w:separator/>
      </w:r>
    </w:p>
  </w:endnote>
  <w:endnote w:type="continuationSeparator" w:id="0">
    <w:p w14:paraId="6A49BF3C" w14:textId="77777777" w:rsidR="00087C0E" w:rsidRDefault="00087C0E"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0C1711" w:rsidRDefault="000C17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0C1711" w:rsidRDefault="000C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BBE28" w14:textId="77777777" w:rsidR="00087C0E" w:rsidRDefault="00087C0E" w:rsidP="006F6F01">
      <w:pPr>
        <w:spacing w:after="0" w:line="240" w:lineRule="auto"/>
      </w:pPr>
      <w:r>
        <w:separator/>
      </w:r>
    </w:p>
  </w:footnote>
  <w:footnote w:type="continuationSeparator" w:id="0">
    <w:p w14:paraId="642C19E0" w14:textId="77777777" w:rsidR="00087C0E" w:rsidRDefault="00087C0E"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8978DE2" w:rsidR="000C1711" w:rsidRDefault="000C1711">
    <w:pPr>
      <w:pStyle w:val="Header"/>
    </w:pPr>
    <w:r>
      <w:tab/>
    </w:r>
    <w:r>
      <w:tab/>
      <w:t>Report 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2B7C"/>
    <w:rsid w:val="00007B2B"/>
    <w:rsid w:val="00007BCA"/>
    <w:rsid w:val="00013E8E"/>
    <w:rsid w:val="0001559C"/>
    <w:rsid w:val="00016AC0"/>
    <w:rsid w:val="00016C3A"/>
    <w:rsid w:val="00017D6D"/>
    <w:rsid w:val="000213EE"/>
    <w:rsid w:val="00025180"/>
    <w:rsid w:val="00025DC9"/>
    <w:rsid w:val="000270BD"/>
    <w:rsid w:val="0004022C"/>
    <w:rsid w:val="000405E5"/>
    <w:rsid w:val="00040E94"/>
    <w:rsid w:val="00041E1F"/>
    <w:rsid w:val="00046123"/>
    <w:rsid w:val="00056251"/>
    <w:rsid w:val="0006025B"/>
    <w:rsid w:val="00061BF9"/>
    <w:rsid w:val="00075C60"/>
    <w:rsid w:val="00077A27"/>
    <w:rsid w:val="00080747"/>
    <w:rsid w:val="00083079"/>
    <w:rsid w:val="00084AA1"/>
    <w:rsid w:val="00087C0E"/>
    <w:rsid w:val="00091D91"/>
    <w:rsid w:val="00091E15"/>
    <w:rsid w:val="0009380E"/>
    <w:rsid w:val="00094DF3"/>
    <w:rsid w:val="000952BB"/>
    <w:rsid w:val="000B6F15"/>
    <w:rsid w:val="000C1711"/>
    <w:rsid w:val="000C64D4"/>
    <w:rsid w:val="000C7698"/>
    <w:rsid w:val="000E10CA"/>
    <w:rsid w:val="000E31AE"/>
    <w:rsid w:val="000E5179"/>
    <w:rsid w:val="000E51E4"/>
    <w:rsid w:val="000E5B12"/>
    <w:rsid w:val="000E77FA"/>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81F11"/>
    <w:rsid w:val="00194349"/>
    <w:rsid w:val="00194C06"/>
    <w:rsid w:val="0019682F"/>
    <w:rsid w:val="0019769D"/>
    <w:rsid w:val="001A1B01"/>
    <w:rsid w:val="001B43E6"/>
    <w:rsid w:val="001B56F8"/>
    <w:rsid w:val="001C3012"/>
    <w:rsid w:val="001C388C"/>
    <w:rsid w:val="001C5FB0"/>
    <w:rsid w:val="001C6764"/>
    <w:rsid w:val="001C67E8"/>
    <w:rsid w:val="001D0BB4"/>
    <w:rsid w:val="001D3BF3"/>
    <w:rsid w:val="001D400B"/>
    <w:rsid w:val="001E6896"/>
    <w:rsid w:val="001F20EE"/>
    <w:rsid w:val="00201FD1"/>
    <w:rsid w:val="002034F0"/>
    <w:rsid w:val="0021447F"/>
    <w:rsid w:val="0021553A"/>
    <w:rsid w:val="00225742"/>
    <w:rsid w:val="0022794F"/>
    <w:rsid w:val="00230050"/>
    <w:rsid w:val="00240C35"/>
    <w:rsid w:val="00245ED1"/>
    <w:rsid w:val="00263BB9"/>
    <w:rsid w:val="00274388"/>
    <w:rsid w:val="00280A0C"/>
    <w:rsid w:val="002839C2"/>
    <w:rsid w:val="00284B9D"/>
    <w:rsid w:val="00292567"/>
    <w:rsid w:val="0029502B"/>
    <w:rsid w:val="002A20CA"/>
    <w:rsid w:val="002A443C"/>
    <w:rsid w:val="002A45B8"/>
    <w:rsid w:val="002B256F"/>
    <w:rsid w:val="002B37E2"/>
    <w:rsid w:val="002C12FF"/>
    <w:rsid w:val="002C1C42"/>
    <w:rsid w:val="002C2879"/>
    <w:rsid w:val="002D1830"/>
    <w:rsid w:val="002D1967"/>
    <w:rsid w:val="002D264E"/>
    <w:rsid w:val="002F00B3"/>
    <w:rsid w:val="002F5164"/>
    <w:rsid w:val="002F556D"/>
    <w:rsid w:val="002F67D9"/>
    <w:rsid w:val="002F7A41"/>
    <w:rsid w:val="00302129"/>
    <w:rsid w:val="00302AF9"/>
    <w:rsid w:val="003067A6"/>
    <w:rsid w:val="003166DE"/>
    <w:rsid w:val="00316857"/>
    <w:rsid w:val="00323C5F"/>
    <w:rsid w:val="003243D9"/>
    <w:rsid w:val="003250EE"/>
    <w:rsid w:val="00331439"/>
    <w:rsid w:val="003327C7"/>
    <w:rsid w:val="00335C9B"/>
    <w:rsid w:val="00337F7C"/>
    <w:rsid w:val="00345A82"/>
    <w:rsid w:val="00346BD5"/>
    <w:rsid w:val="0035667E"/>
    <w:rsid w:val="00364D89"/>
    <w:rsid w:val="00367762"/>
    <w:rsid w:val="00370C1B"/>
    <w:rsid w:val="0037139A"/>
    <w:rsid w:val="003714E5"/>
    <w:rsid w:val="00371A6F"/>
    <w:rsid w:val="0037217B"/>
    <w:rsid w:val="00372C60"/>
    <w:rsid w:val="003737F1"/>
    <w:rsid w:val="00380156"/>
    <w:rsid w:val="00383D03"/>
    <w:rsid w:val="00384462"/>
    <w:rsid w:val="003873AA"/>
    <w:rsid w:val="0039038B"/>
    <w:rsid w:val="00393414"/>
    <w:rsid w:val="0039680C"/>
    <w:rsid w:val="003A2C7A"/>
    <w:rsid w:val="003B32C5"/>
    <w:rsid w:val="003B3942"/>
    <w:rsid w:val="003C493D"/>
    <w:rsid w:val="003C6F44"/>
    <w:rsid w:val="003D110A"/>
    <w:rsid w:val="003D45F4"/>
    <w:rsid w:val="003E68D5"/>
    <w:rsid w:val="003F3BC2"/>
    <w:rsid w:val="003F7CF2"/>
    <w:rsid w:val="004021C1"/>
    <w:rsid w:val="00402903"/>
    <w:rsid w:val="00402935"/>
    <w:rsid w:val="00405F42"/>
    <w:rsid w:val="00412286"/>
    <w:rsid w:val="00413DA3"/>
    <w:rsid w:val="004149F9"/>
    <w:rsid w:val="00420CC6"/>
    <w:rsid w:val="00422D51"/>
    <w:rsid w:val="0042365F"/>
    <w:rsid w:val="00435700"/>
    <w:rsid w:val="0044142B"/>
    <w:rsid w:val="004426D4"/>
    <w:rsid w:val="004429EF"/>
    <w:rsid w:val="004445B7"/>
    <w:rsid w:val="00445E56"/>
    <w:rsid w:val="00451A57"/>
    <w:rsid w:val="0045589F"/>
    <w:rsid w:val="00460701"/>
    <w:rsid w:val="00462C55"/>
    <w:rsid w:val="00467969"/>
    <w:rsid w:val="00470E51"/>
    <w:rsid w:val="004804C8"/>
    <w:rsid w:val="004811F7"/>
    <w:rsid w:val="0048243E"/>
    <w:rsid w:val="00485F3D"/>
    <w:rsid w:val="00492E77"/>
    <w:rsid w:val="00493982"/>
    <w:rsid w:val="004A17C8"/>
    <w:rsid w:val="004A3085"/>
    <w:rsid w:val="004A52B8"/>
    <w:rsid w:val="004A6B61"/>
    <w:rsid w:val="004B0A4B"/>
    <w:rsid w:val="004B7271"/>
    <w:rsid w:val="004B7C1E"/>
    <w:rsid w:val="004C26E1"/>
    <w:rsid w:val="004C40FF"/>
    <w:rsid w:val="004C4AF7"/>
    <w:rsid w:val="004D1BAB"/>
    <w:rsid w:val="004D34C3"/>
    <w:rsid w:val="004D4121"/>
    <w:rsid w:val="004D6AEA"/>
    <w:rsid w:val="004E492E"/>
    <w:rsid w:val="004E6B90"/>
    <w:rsid w:val="004F0915"/>
    <w:rsid w:val="004F0C62"/>
    <w:rsid w:val="004F3403"/>
    <w:rsid w:val="004F4CBA"/>
    <w:rsid w:val="004F4F3D"/>
    <w:rsid w:val="00500B64"/>
    <w:rsid w:val="00500FE2"/>
    <w:rsid w:val="005071A8"/>
    <w:rsid w:val="00507E5D"/>
    <w:rsid w:val="00514392"/>
    <w:rsid w:val="00515992"/>
    <w:rsid w:val="00521CF0"/>
    <w:rsid w:val="00522FA2"/>
    <w:rsid w:val="00525E3B"/>
    <w:rsid w:val="00527E23"/>
    <w:rsid w:val="00531C7B"/>
    <w:rsid w:val="00537831"/>
    <w:rsid w:val="0054412D"/>
    <w:rsid w:val="005441E7"/>
    <w:rsid w:val="00553B05"/>
    <w:rsid w:val="005601D1"/>
    <w:rsid w:val="00561D5D"/>
    <w:rsid w:val="005652CF"/>
    <w:rsid w:val="0056566B"/>
    <w:rsid w:val="00575730"/>
    <w:rsid w:val="005761E9"/>
    <w:rsid w:val="005834E2"/>
    <w:rsid w:val="00584554"/>
    <w:rsid w:val="00587E95"/>
    <w:rsid w:val="00591884"/>
    <w:rsid w:val="00592285"/>
    <w:rsid w:val="005962E0"/>
    <w:rsid w:val="005963E4"/>
    <w:rsid w:val="005A3AD8"/>
    <w:rsid w:val="005A5FDC"/>
    <w:rsid w:val="005A7DAF"/>
    <w:rsid w:val="005B4D99"/>
    <w:rsid w:val="005B6E12"/>
    <w:rsid w:val="005C16AB"/>
    <w:rsid w:val="005C45B7"/>
    <w:rsid w:val="005D1176"/>
    <w:rsid w:val="005D342C"/>
    <w:rsid w:val="005D497C"/>
    <w:rsid w:val="005D6E70"/>
    <w:rsid w:val="005E211E"/>
    <w:rsid w:val="005E31F2"/>
    <w:rsid w:val="005E3DB0"/>
    <w:rsid w:val="005E3E9C"/>
    <w:rsid w:val="005F0DBA"/>
    <w:rsid w:val="005F6BB1"/>
    <w:rsid w:val="006002BA"/>
    <w:rsid w:val="006011C6"/>
    <w:rsid w:val="00603ADA"/>
    <w:rsid w:val="00604B9A"/>
    <w:rsid w:val="00604C5D"/>
    <w:rsid w:val="006076F2"/>
    <w:rsid w:val="0061003F"/>
    <w:rsid w:val="006173A3"/>
    <w:rsid w:val="00621D63"/>
    <w:rsid w:val="0063096F"/>
    <w:rsid w:val="006313E9"/>
    <w:rsid w:val="006318C5"/>
    <w:rsid w:val="00640475"/>
    <w:rsid w:val="006429B8"/>
    <w:rsid w:val="00647EAE"/>
    <w:rsid w:val="006552C4"/>
    <w:rsid w:val="00661B3B"/>
    <w:rsid w:val="00663739"/>
    <w:rsid w:val="00664F8A"/>
    <w:rsid w:val="00666BB4"/>
    <w:rsid w:val="00667FA1"/>
    <w:rsid w:val="00673DC2"/>
    <w:rsid w:val="006760F2"/>
    <w:rsid w:val="00680C39"/>
    <w:rsid w:val="0068640C"/>
    <w:rsid w:val="00690C17"/>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164D5"/>
    <w:rsid w:val="00722CF5"/>
    <w:rsid w:val="00723090"/>
    <w:rsid w:val="00724936"/>
    <w:rsid w:val="007249E3"/>
    <w:rsid w:val="00727EA9"/>
    <w:rsid w:val="00730708"/>
    <w:rsid w:val="007345D6"/>
    <w:rsid w:val="007433FD"/>
    <w:rsid w:val="00745AB7"/>
    <w:rsid w:val="007466D6"/>
    <w:rsid w:val="00751150"/>
    <w:rsid w:val="007531E2"/>
    <w:rsid w:val="00753983"/>
    <w:rsid w:val="00756676"/>
    <w:rsid w:val="00761E00"/>
    <w:rsid w:val="0076683A"/>
    <w:rsid w:val="0077139C"/>
    <w:rsid w:val="00782458"/>
    <w:rsid w:val="0078279C"/>
    <w:rsid w:val="00785AF6"/>
    <w:rsid w:val="0078668D"/>
    <w:rsid w:val="007878EF"/>
    <w:rsid w:val="007931DA"/>
    <w:rsid w:val="0079364D"/>
    <w:rsid w:val="007A60AA"/>
    <w:rsid w:val="007B1A0C"/>
    <w:rsid w:val="007B3993"/>
    <w:rsid w:val="007C13D5"/>
    <w:rsid w:val="007C1FC2"/>
    <w:rsid w:val="007C6BE1"/>
    <w:rsid w:val="007D2585"/>
    <w:rsid w:val="007D31DC"/>
    <w:rsid w:val="007D5C31"/>
    <w:rsid w:val="007E009E"/>
    <w:rsid w:val="007E38EA"/>
    <w:rsid w:val="007E71AD"/>
    <w:rsid w:val="007E7D9E"/>
    <w:rsid w:val="007F3142"/>
    <w:rsid w:val="007F5C09"/>
    <w:rsid w:val="007F7763"/>
    <w:rsid w:val="008029AF"/>
    <w:rsid w:val="008064AA"/>
    <w:rsid w:val="008067A6"/>
    <w:rsid w:val="00810234"/>
    <w:rsid w:val="00817D8E"/>
    <w:rsid w:val="00817F90"/>
    <w:rsid w:val="008224ED"/>
    <w:rsid w:val="0082463A"/>
    <w:rsid w:val="008314D2"/>
    <w:rsid w:val="00835AFA"/>
    <w:rsid w:val="008404A4"/>
    <w:rsid w:val="00844427"/>
    <w:rsid w:val="008444B1"/>
    <w:rsid w:val="00844B4C"/>
    <w:rsid w:val="00845FFF"/>
    <w:rsid w:val="0085191B"/>
    <w:rsid w:val="00851E27"/>
    <w:rsid w:val="00852260"/>
    <w:rsid w:val="008533CA"/>
    <w:rsid w:val="008539D6"/>
    <w:rsid w:val="0085421B"/>
    <w:rsid w:val="00860049"/>
    <w:rsid w:val="008625B9"/>
    <w:rsid w:val="00872BBB"/>
    <w:rsid w:val="00872C49"/>
    <w:rsid w:val="00874B64"/>
    <w:rsid w:val="00886A25"/>
    <w:rsid w:val="008951DB"/>
    <w:rsid w:val="00895EAE"/>
    <w:rsid w:val="00896D7B"/>
    <w:rsid w:val="008A419C"/>
    <w:rsid w:val="008A6237"/>
    <w:rsid w:val="008A6FB5"/>
    <w:rsid w:val="008B03C6"/>
    <w:rsid w:val="008C0044"/>
    <w:rsid w:val="008C022E"/>
    <w:rsid w:val="008C3EC1"/>
    <w:rsid w:val="008C4017"/>
    <w:rsid w:val="008C6987"/>
    <w:rsid w:val="008D1223"/>
    <w:rsid w:val="008D5D10"/>
    <w:rsid w:val="008D6956"/>
    <w:rsid w:val="008D7594"/>
    <w:rsid w:val="008E3624"/>
    <w:rsid w:val="008E39CC"/>
    <w:rsid w:val="008E6378"/>
    <w:rsid w:val="008E70CA"/>
    <w:rsid w:val="008F02F5"/>
    <w:rsid w:val="008F1D63"/>
    <w:rsid w:val="008F4A5D"/>
    <w:rsid w:val="008F4B5E"/>
    <w:rsid w:val="00900422"/>
    <w:rsid w:val="00907E75"/>
    <w:rsid w:val="00912A37"/>
    <w:rsid w:val="00917EA3"/>
    <w:rsid w:val="009206FA"/>
    <w:rsid w:val="00923E1F"/>
    <w:rsid w:val="00930A02"/>
    <w:rsid w:val="009333CE"/>
    <w:rsid w:val="00934343"/>
    <w:rsid w:val="00940246"/>
    <w:rsid w:val="00940B4C"/>
    <w:rsid w:val="009443A7"/>
    <w:rsid w:val="0094770B"/>
    <w:rsid w:val="0095381C"/>
    <w:rsid w:val="00955200"/>
    <w:rsid w:val="00957FFC"/>
    <w:rsid w:val="00962B54"/>
    <w:rsid w:val="009648CC"/>
    <w:rsid w:val="009658B4"/>
    <w:rsid w:val="0096673C"/>
    <w:rsid w:val="00966BC8"/>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B1ADF"/>
    <w:rsid w:val="009C18C7"/>
    <w:rsid w:val="009D058D"/>
    <w:rsid w:val="009E16B6"/>
    <w:rsid w:val="009E17CB"/>
    <w:rsid w:val="009E2D27"/>
    <w:rsid w:val="009E3D73"/>
    <w:rsid w:val="009E451E"/>
    <w:rsid w:val="009F086C"/>
    <w:rsid w:val="009F3EA8"/>
    <w:rsid w:val="009F50D2"/>
    <w:rsid w:val="00A004E2"/>
    <w:rsid w:val="00A006C9"/>
    <w:rsid w:val="00A00C86"/>
    <w:rsid w:val="00A03347"/>
    <w:rsid w:val="00A04E95"/>
    <w:rsid w:val="00A072B5"/>
    <w:rsid w:val="00A116C4"/>
    <w:rsid w:val="00A201F8"/>
    <w:rsid w:val="00A241F2"/>
    <w:rsid w:val="00A24E97"/>
    <w:rsid w:val="00A276F5"/>
    <w:rsid w:val="00A410AD"/>
    <w:rsid w:val="00A42D48"/>
    <w:rsid w:val="00A46D24"/>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03E"/>
    <w:rsid w:val="00AA31FE"/>
    <w:rsid w:val="00AA64FC"/>
    <w:rsid w:val="00AA6DB8"/>
    <w:rsid w:val="00AB0213"/>
    <w:rsid w:val="00AB1E5A"/>
    <w:rsid w:val="00AB7999"/>
    <w:rsid w:val="00AC2477"/>
    <w:rsid w:val="00AC75F6"/>
    <w:rsid w:val="00AD03AD"/>
    <w:rsid w:val="00AD6D2C"/>
    <w:rsid w:val="00AE067E"/>
    <w:rsid w:val="00AE64AF"/>
    <w:rsid w:val="00AE72E9"/>
    <w:rsid w:val="00AF44F6"/>
    <w:rsid w:val="00B02FB4"/>
    <w:rsid w:val="00B050D4"/>
    <w:rsid w:val="00B06AD6"/>
    <w:rsid w:val="00B11939"/>
    <w:rsid w:val="00B14C98"/>
    <w:rsid w:val="00B228D7"/>
    <w:rsid w:val="00B269A8"/>
    <w:rsid w:val="00B27215"/>
    <w:rsid w:val="00B27785"/>
    <w:rsid w:val="00B3025B"/>
    <w:rsid w:val="00B30407"/>
    <w:rsid w:val="00B30D33"/>
    <w:rsid w:val="00B320BB"/>
    <w:rsid w:val="00B324F9"/>
    <w:rsid w:val="00B32942"/>
    <w:rsid w:val="00B349E1"/>
    <w:rsid w:val="00B355AB"/>
    <w:rsid w:val="00B35CD2"/>
    <w:rsid w:val="00B35E66"/>
    <w:rsid w:val="00B36AF9"/>
    <w:rsid w:val="00B40936"/>
    <w:rsid w:val="00B42A3A"/>
    <w:rsid w:val="00B43A43"/>
    <w:rsid w:val="00B4400A"/>
    <w:rsid w:val="00B44D92"/>
    <w:rsid w:val="00B47021"/>
    <w:rsid w:val="00B47180"/>
    <w:rsid w:val="00B5417E"/>
    <w:rsid w:val="00B54773"/>
    <w:rsid w:val="00B56AB1"/>
    <w:rsid w:val="00B62627"/>
    <w:rsid w:val="00B63172"/>
    <w:rsid w:val="00B640E0"/>
    <w:rsid w:val="00B6766F"/>
    <w:rsid w:val="00B7226D"/>
    <w:rsid w:val="00B7442B"/>
    <w:rsid w:val="00B74A2C"/>
    <w:rsid w:val="00B7661E"/>
    <w:rsid w:val="00B902CB"/>
    <w:rsid w:val="00B91114"/>
    <w:rsid w:val="00B926FE"/>
    <w:rsid w:val="00B92F8E"/>
    <w:rsid w:val="00B93214"/>
    <w:rsid w:val="00BA4C75"/>
    <w:rsid w:val="00BA50B6"/>
    <w:rsid w:val="00BB0272"/>
    <w:rsid w:val="00BC01F2"/>
    <w:rsid w:val="00BC13FE"/>
    <w:rsid w:val="00BC2B91"/>
    <w:rsid w:val="00BC2DB4"/>
    <w:rsid w:val="00BC32D1"/>
    <w:rsid w:val="00BC4A88"/>
    <w:rsid w:val="00BD08FF"/>
    <w:rsid w:val="00BD38C4"/>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1C0F"/>
    <w:rsid w:val="00C34B92"/>
    <w:rsid w:val="00C42C57"/>
    <w:rsid w:val="00C42CA0"/>
    <w:rsid w:val="00C43EE4"/>
    <w:rsid w:val="00C44145"/>
    <w:rsid w:val="00C44328"/>
    <w:rsid w:val="00C44EF2"/>
    <w:rsid w:val="00C46E54"/>
    <w:rsid w:val="00C47730"/>
    <w:rsid w:val="00C513FC"/>
    <w:rsid w:val="00C53F09"/>
    <w:rsid w:val="00C67615"/>
    <w:rsid w:val="00C83C12"/>
    <w:rsid w:val="00C853A2"/>
    <w:rsid w:val="00C86EED"/>
    <w:rsid w:val="00C9634E"/>
    <w:rsid w:val="00C97925"/>
    <w:rsid w:val="00CA0438"/>
    <w:rsid w:val="00CB194E"/>
    <w:rsid w:val="00CC02AB"/>
    <w:rsid w:val="00CC7C77"/>
    <w:rsid w:val="00CD0BF3"/>
    <w:rsid w:val="00CD1DE7"/>
    <w:rsid w:val="00CD3D07"/>
    <w:rsid w:val="00CE2ADE"/>
    <w:rsid w:val="00CF5E8D"/>
    <w:rsid w:val="00CF6705"/>
    <w:rsid w:val="00CF7182"/>
    <w:rsid w:val="00CF75EC"/>
    <w:rsid w:val="00D05C35"/>
    <w:rsid w:val="00D108B4"/>
    <w:rsid w:val="00D12832"/>
    <w:rsid w:val="00D13E5E"/>
    <w:rsid w:val="00D1497F"/>
    <w:rsid w:val="00D20B20"/>
    <w:rsid w:val="00D24851"/>
    <w:rsid w:val="00D30540"/>
    <w:rsid w:val="00D36AC3"/>
    <w:rsid w:val="00D4566C"/>
    <w:rsid w:val="00D45EB7"/>
    <w:rsid w:val="00D468D3"/>
    <w:rsid w:val="00D47369"/>
    <w:rsid w:val="00D51C70"/>
    <w:rsid w:val="00D64198"/>
    <w:rsid w:val="00D664D3"/>
    <w:rsid w:val="00D71678"/>
    <w:rsid w:val="00D7176C"/>
    <w:rsid w:val="00D745B8"/>
    <w:rsid w:val="00D75184"/>
    <w:rsid w:val="00D758D7"/>
    <w:rsid w:val="00D77C40"/>
    <w:rsid w:val="00D80708"/>
    <w:rsid w:val="00D80B01"/>
    <w:rsid w:val="00D815FF"/>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3A92"/>
    <w:rsid w:val="00DF50F8"/>
    <w:rsid w:val="00DF6FF6"/>
    <w:rsid w:val="00E01303"/>
    <w:rsid w:val="00E0145F"/>
    <w:rsid w:val="00E10E5B"/>
    <w:rsid w:val="00E1381A"/>
    <w:rsid w:val="00E172C2"/>
    <w:rsid w:val="00E26443"/>
    <w:rsid w:val="00E33AB8"/>
    <w:rsid w:val="00E342D5"/>
    <w:rsid w:val="00E371F0"/>
    <w:rsid w:val="00E41214"/>
    <w:rsid w:val="00E415D1"/>
    <w:rsid w:val="00E43F03"/>
    <w:rsid w:val="00E44C56"/>
    <w:rsid w:val="00E46FB0"/>
    <w:rsid w:val="00E47362"/>
    <w:rsid w:val="00E47C25"/>
    <w:rsid w:val="00E47DE6"/>
    <w:rsid w:val="00E518D7"/>
    <w:rsid w:val="00E51A4A"/>
    <w:rsid w:val="00E546DD"/>
    <w:rsid w:val="00E60C4C"/>
    <w:rsid w:val="00E643BF"/>
    <w:rsid w:val="00E713CA"/>
    <w:rsid w:val="00E84C05"/>
    <w:rsid w:val="00E86DE5"/>
    <w:rsid w:val="00E9447A"/>
    <w:rsid w:val="00E94BBF"/>
    <w:rsid w:val="00E94C00"/>
    <w:rsid w:val="00E94DAF"/>
    <w:rsid w:val="00E951CD"/>
    <w:rsid w:val="00EA3803"/>
    <w:rsid w:val="00EA4B5A"/>
    <w:rsid w:val="00EB0F60"/>
    <w:rsid w:val="00EB4389"/>
    <w:rsid w:val="00EB51DA"/>
    <w:rsid w:val="00EC2117"/>
    <w:rsid w:val="00ED6348"/>
    <w:rsid w:val="00ED6C6E"/>
    <w:rsid w:val="00ED7166"/>
    <w:rsid w:val="00EF2DE9"/>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53C5"/>
    <w:rsid w:val="00F373A1"/>
    <w:rsid w:val="00F379E2"/>
    <w:rsid w:val="00F40C12"/>
    <w:rsid w:val="00F42131"/>
    <w:rsid w:val="00F51855"/>
    <w:rsid w:val="00F542A7"/>
    <w:rsid w:val="00F5627F"/>
    <w:rsid w:val="00F577D5"/>
    <w:rsid w:val="00F603A1"/>
    <w:rsid w:val="00F61CCA"/>
    <w:rsid w:val="00F640D2"/>
    <w:rsid w:val="00F7044E"/>
    <w:rsid w:val="00F70E11"/>
    <w:rsid w:val="00F748EF"/>
    <w:rsid w:val="00F74BEC"/>
    <w:rsid w:val="00F7625E"/>
    <w:rsid w:val="00F80866"/>
    <w:rsid w:val="00F82629"/>
    <w:rsid w:val="00F82E3B"/>
    <w:rsid w:val="00F91335"/>
    <w:rsid w:val="00F92ED9"/>
    <w:rsid w:val="00FA0B4D"/>
    <w:rsid w:val="00FA5646"/>
    <w:rsid w:val="00FB6586"/>
    <w:rsid w:val="00FB7B8C"/>
    <w:rsid w:val="00FC16E3"/>
    <w:rsid w:val="00FC5F43"/>
    <w:rsid w:val="00FC5FDC"/>
    <w:rsid w:val="00FC61C3"/>
    <w:rsid w:val="00FD0751"/>
    <w:rsid w:val="00FE2FFF"/>
    <w:rsid w:val="00FF1082"/>
    <w:rsid w:val="00FF36CF"/>
    <w:rsid w:val="00FF3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384765606">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58708429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888297721">
      <w:bodyDiv w:val="1"/>
      <w:marLeft w:val="0"/>
      <w:marRight w:val="0"/>
      <w:marTop w:val="0"/>
      <w:marBottom w:val="0"/>
      <w:divBdr>
        <w:top w:val="none" w:sz="0" w:space="0" w:color="auto"/>
        <w:left w:val="none" w:sz="0" w:space="0" w:color="auto"/>
        <w:bottom w:val="none" w:sz="0" w:space="0" w:color="auto"/>
        <w:right w:val="none" w:sz="0" w:space="0" w:color="auto"/>
      </w:divBdr>
    </w:div>
    <w:div w:id="89412049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082870898">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885824321">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python-math0and0physics0solver.wikispaces.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0069596563587445"/>
                  <c:y val="0.165816023738872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3361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3361 Ge'!$F$2:$F$18</c:f>
              <c:numCache>
                <c:formatCode>General</c:formatCode>
                <c:ptCount val="17"/>
                <c:pt idx="0">
                  <c:v>-1.1000000000000015E-2</c:v>
                </c:pt>
                <c:pt idx="1">
                  <c:v>-5.899999999999999E-2</c:v>
                </c:pt>
                <c:pt idx="2">
                  <c:v>-0.10649999999999998</c:v>
                </c:pt>
                <c:pt idx="3">
                  <c:v>-0.155</c:v>
                </c:pt>
                <c:pt idx="4">
                  <c:v>-0.20300000000000004</c:v>
                </c:pt>
                <c:pt idx="5">
                  <c:v>-0.2505</c:v>
                </c:pt>
                <c:pt idx="6">
                  <c:v>-0.29799999999999999</c:v>
                </c:pt>
                <c:pt idx="7">
                  <c:v>-0.34399999999999997</c:v>
                </c:pt>
                <c:pt idx="8">
                  <c:v>-0.38799999999999996</c:v>
                </c:pt>
                <c:pt idx="9">
                  <c:v>-0.43350000000000011</c:v>
                </c:pt>
                <c:pt idx="10">
                  <c:v>-0.47449999999999998</c:v>
                </c:pt>
                <c:pt idx="11">
                  <c:v>-0.51249999999999996</c:v>
                </c:pt>
                <c:pt idx="12">
                  <c:v>-0.55049999999999999</c:v>
                </c:pt>
                <c:pt idx="13">
                  <c:v>-0.58899999999999997</c:v>
                </c:pt>
                <c:pt idx="14">
                  <c:v>-0.62300000000000011</c:v>
                </c:pt>
                <c:pt idx="15">
                  <c:v>-0.65749999999999997</c:v>
                </c:pt>
                <c:pt idx="16">
                  <c:v>-0.6905</c:v>
                </c:pt>
              </c:numCache>
            </c:numRef>
          </c:yVal>
          <c:smooth val="1"/>
          <c:extLst>
            <c:ext xmlns:c16="http://schemas.microsoft.com/office/drawing/2014/chart" uri="{C3380CC4-5D6E-409C-BE32-E72D297353CC}">
              <c16:uniqueId val="{00000001-E13A-48DB-AF34-6EB1A4B73754}"/>
            </c:ext>
          </c:extLst>
        </c:ser>
        <c:dLbls>
          <c:showLegendKey val="0"/>
          <c:showVal val="0"/>
          <c:showCatName val="0"/>
          <c:showSerName val="0"/>
          <c:showPercent val="0"/>
          <c:showBubbleSize val="0"/>
        </c:dLbls>
        <c:axId val="461534912"/>
        <c:axId val="461536224"/>
      </c:scatterChart>
      <c:valAx>
        <c:axId val="46153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Electromagnetic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6224"/>
        <c:crosses val="autoZero"/>
        <c:crossBetween val="midCat"/>
      </c:valAx>
      <c:valAx>
        <c:axId val="46153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Hall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309165223637339"/>
                  <c:y val="0.268403242946142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3375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3375 Ge'!$F$2:$F$18</c:f>
              <c:numCache>
                <c:formatCode>General</c:formatCode>
                <c:ptCount val="17"/>
                <c:pt idx="0">
                  <c:v>0</c:v>
                </c:pt>
                <c:pt idx="1">
                  <c:v>-0.04</c:v>
                </c:pt>
                <c:pt idx="2">
                  <c:v>-8.1999999999999962E-2</c:v>
                </c:pt>
                <c:pt idx="3">
                  <c:v>-0.12449999999999996</c:v>
                </c:pt>
                <c:pt idx="4">
                  <c:v>-0.16750000000000001</c:v>
                </c:pt>
                <c:pt idx="5">
                  <c:v>-0.21050000000000005</c:v>
                </c:pt>
                <c:pt idx="6">
                  <c:v>-0.25400000000000006</c:v>
                </c:pt>
                <c:pt idx="7">
                  <c:v>-0.29700000000000004</c:v>
                </c:pt>
                <c:pt idx="8">
                  <c:v>-0.33949999999999997</c:v>
                </c:pt>
                <c:pt idx="9">
                  <c:v>-0.38100000000000001</c:v>
                </c:pt>
                <c:pt idx="10">
                  <c:v>-0.4235000000000001</c:v>
                </c:pt>
                <c:pt idx="11">
                  <c:v>-0.46450000000000002</c:v>
                </c:pt>
                <c:pt idx="12">
                  <c:v>-0.50449999999999995</c:v>
                </c:pt>
                <c:pt idx="13">
                  <c:v>-0.54500000000000004</c:v>
                </c:pt>
                <c:pt idx="14">
                  <c:v>-0.58450000000000002</c:v>
                </c:pt>
                <c:pt idx="15">
                  <c:v>-0.62250000000000005</c:v>
                </c:pt>
                <c:pt idx="16">
                  <c:v>-0.65950000000000009</c:v>
                </c:pt>
              </c:numCache>
            </c:numRef>
          </c:yVal>
          <c:smooth val="1"/>
          <c:extLst>
            <c:ext xmlns:c16="http://schemas.microsoft.com/office/drawing/2014/chart" uri="{C3380CC4-5D6E-409C-BE32-E72D297353CC}">
              <c16:uniqueId val="{00000001-DCB2-488D-BB1C-80DD51CC603F}"/>
            </c:ext>
          </c:extLst>
        </c:ser>
        <c:dLbls>
          <c:showLegendKey val="0"/>
          <c:showVal val="0"/>
          <c:showCatName val="0"/>
          <c:showSerName val="0"/>
          <c:showPercent val="0"/>
          <c:showBubbleSize val="0"/>
        </c:dLbls>
        <c:axId val="303504864"/>
        <c:axId val="303510440"/>
      </c:scatterChart>
      <c:valAx>
        <c:axId val="30350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10440"/>
        <c:crosses val="autoZero"/>
        <c:crossBetween val="midCat"/>
      </c:valAx>
      <c:valAx>
        <c:axId val="30351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0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F8"/>
    <w:rsid w:val="00684F44"/>
    <w:rsid w:val="0071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D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3</b:RefOrder>
  </b:Source>
  <b:Source>
    <b:Tag>Phy06</b:Tag>
    <b:SourceType>DocumentFromInternetSite</b:SourceType>
    <b:Guid>{6C5478C3-B0A5-4D7F-9094-FD154EF2795E}</b:Guid>
    <b:Title>The Hall Effect and the Conductivity of Semiconductors</b:Title>
    <b:Year>2006</b:Year>
    <b:City>Michigan</b:City>
    <b:Publisher>University of Michigan</b:Publisher>
    <b:Author>
      <b:Author>
        <b:NameList>
          <b:Person>
            <b:Last>Laboratory</b:Last>
            <b:First>Physics</b:First>
            <b:Middle>Advanced</b:Middle>
          </b:Person>
        </b:NameList>
      </b:Author>
    </b:Author>
    <b:Month>February</b:Month>
    <b:Day>22</b:Day>
    <b:YearAccessed>2018</b:YearAccessed>
    <b:MonthAccessed>May</b:MonthAccessed>
    <b:URL>http://instructor.physics.lsa.umich.edu/adv-labs/Hall/hall_effect_2005.pdf</b:URL>
    <b:RefOrder>2</b:RefOrder>
  </b:Source>
  <b:Source>
    <b:Tag>Ali01</b:Tag>
    <b:SourceType>InternetSite</b:SourceType>
    <b:Guid>{D238E374-5793-42ED-A024-AE79C87A60EB}</b:Guid>
    <b:Title>Distance Between Carbon Atoms</b:Title>
    <b:Year>2001</b:Year>
    <b:YearAccessed>2018</b:YearAccessed>
    <b:MonthAccessed>May</b:MonthAccessed>
    <b:URL>https://hypertextbook.com/facts/2001/AliceWarrenGregory.shtml</b:URL>
    <b:Author>
      <b:Author>
        <b:NameList>
          <b:Person>
            <b:Last>Warren-Gregory</b:Last>
            <b:First>Alice</b:First>
          </b:Person>
        </b:NameList>
      </b:Author>
    </b:Author>
    <b:ProductionCompany>The Physics Fact Book</b:ProductionCompan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04E9A-79ED-47B2-AA17-1E748DD0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PHYS2170: Investigation of the Hall Effect in Semiconductors</vt:lpstr>
    </vt:vector>
  </TitlesOfParts>
  <Company>3175353</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Electron Diffraction</dc:title>
  <dc:subject/>
  <dc:creator>Thomas Courtney</dc:creator>
  <cp:keywords/>
  <dc:description/>
  <cp:lastModifiedBy>Thomas Courtney</cp:lastModifiedBy>
  <cp:revision>482</cp:revision>
  <cp:lastPrinted>2018-05-23T07:24:00Z</cp:lastPrinted>
  <dcterms:created xsi:type="dcterms:W3CDTF">2018-03-26T00:28:00Z</dcterms:created>
  <dcterms:modified xsi:type="dcterms:W3CDTF">2018-05-30T03:37:00Z</dcterms:modified>
</cp:coreProperties>
</file>