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019"/>
        <w:gridCol w:w="7176"/>
      </w:tblGrid>
      <w:tr w:rsidR="00AB64DC" w:rsidRPr="00AB64DC" w14:paraId="67E2011D" w14:textId="77777777" w:rsidTr="00391F5A">
        <w:trPr>
          <w:trHeight w:val="690"/>
        </w:trPr>
        <w:tc>
          <w:tcPr>
            <w:tcW w:w="9195" w:type="dxa"/>
            <w:gridSpan w:val="2"/>
          </w:tcPr>
          <w:p w14:paraId="3686AE85" w14:textId="77777777" w:rsidR="00AB64DC" w:rsidRPr="00AB64DC" w:rsidRDefault="00AB64DC" w:rsidP="00AB64DC">
            <w:pPr>
              <w:spacing w:before="100" w:beforeAutospacing="1" w:after="100" w:afterAutospacing="1"/>
            </w:pPr>
            <w:r>
              <w:t xml:space="preserve">BW Compliance Assessment Tool </w:t>
            </w:r>
          </w:p>
        </w:tc>
      </w:tr>
      <w:tr w:rsidR="00AB64DC" w:rsidRPr="00AB64DC" w14:paraId="40880756" w14:textId="77777777" w:rsidTr="00AB64DC">
        <w:trPr>
          <w:trHeight w:val="690"/>
        </w:trPr>
        <w:tc>
          <w:tcPr>
            <w:tcW w:w="2019" w:type="dxa"/>
          </w:tcPr>
          <w:p w14:paraId="6451A121" w14:textId="77777777" w:rsidR="00AB64DC" w:rsidRPr="00997DE3" w:rsidRDefault="00AB64DC" w:rsidP="00AB64DC">
            <w:pPr>
              <w:pStyle w:val="NoSpacing"/>
              <w:rPr>
                <w:highlight w:val="darkGray"/>
              </w:rPr>
            </w:pPr>
            <w:r w:rsidRPr="00997DE3">
              <w:rPr>
                <w:highlight w:val="darkGray"/>
              </w:rPr>
              <w:t>Current factory ID</w:t>
            </w:r>
          </w:p>
        </w:tc>
        <w:tc>
          <w:tcPr>
            <w:tcW w:w="7176" w:type="dxa"/>
          </w:tcPr>
          <w:p w14:paraId="2A9F68E6" w14:textId="77777777" w:rsidR="00AB64DC" w:rsidRPr="00AB64DC" w:rsidRDefault="00022503" w:rsidP="00AB64DC">
            <w:pPr>
              <w:pStyle w:val="NoSpacing"/>
            </w:pPr>
            <w:r>
              <w:t>I</w:t>
            </w:r>
            <w:r w:rsidR="00AB64DC">
              <w:t>dentifier for</w:t>
            </w:r>
            <w:r w:rsidR="00AB64DC" w:rsidRPr="00AB64DC">
              <w:t xml:space="preserve"> each factory</w:t>
            </w:r>
          </w:p>
        </w:tc>
      </w:tr>
      <w:tr w:rsidR="00022503" w:rsidRPr="00AB64DC" w14:paraId="7C1421B4" w14:textId="77777777" w:rsidTr="00AB64DC">
        <w:trPr>
          <w:trHeight w:val="652"/>
        </w:trPr>
        <w:tc>
          <w:tcPr>
            <w:tcW w:w="2019" w:type="dxa"/>
          </w:tcPr>
          <w:p w14:paraId="3D8E4888" w14:textId="77777777" w:rsidR="00022503" w:rsidRPr="00AB64DC" w:rsidRDefault="00022503" w:rsidP="00AB64DC">
            <w:pPr>
              <w:pStyle w:val="NoSpacing"/>
            </w:pPr>
            <w:r>
              <w:t>Factory Assessed ID</w:t>
            </w:r>
          </w:p>
        </w:tc>
        <w:tc>
          <w:tcPr>
            <w:tcW w:w="7176" w:type="dxa"/>
          </w:tcPr>
          <w:p w14:paraId="16815E87" w14:textId="77777777" w:rsidR="00022503" w:rsidRDefault="00022503" w:rsidP="00AB64DC">
            <w:pPr>
              <w:pStyle w:val="NoSpacing"/>
            </w:pPr>
            <w:r>
              <w:t>Best unique identifier for each factory</w:t>
            </w:r>
          </w:p>
        </w:tc>
      </w:tr>
      <w:tr w:rsidR="00AB64DC" w:rsidRPr="00AB64DC" w14:paraId="5CB56DA0" w14:textId="77777777" w:rsidTr="00AB64DC">
        <w:trPr>
          <w:trHeight w:val="652"/>
        </w:trPr>
        <w:tc>
          <w:tcPr>
            <w:tcW w:w="2019" w:type="dxa"/>
          </w:tcPr>
          <w:p w14:paraId="2B5DED3A" w14:textId="77777777" w:rsidR="00AB64DC" w:rsidRPr="00AB64DC" w:rsidRDefault="00AB64DC" w:rsidP="00AB64DC">
            <w:pPr>
              <w:pStyle w:val="NoSpacing"/>
            </w:pPr>
            <w:r w:rsidRPr="00AB64DC">
              <w:t>Assessment start date</w:t>
            </w:r>
          </w:p>
        </w:tc>
        <w:tc>
          <w:tcPr>
            <w:tcW w:w="7176" w:type="dxa"/>
          </w:tcPr>
          <w:p w14:paraId="4D62A735" w14:textId="77777777" w:rsidR="00AB64DC" w:rsidRPr="00AB64DC" w:rsidRDefault="00AB64DC" w:rsidP="00AB64DC">
            <w:pPr>
              <w:pStyle w:val="NoSpacing"/>
            </w:pPr>
            <w:r>
              <w:t>D</w:t>
            </w:r>
            <w:r w:rsidRPr="00AB64DC">
              <w:t>ate from which an unannounced compliance assessment begins</w:t>
            </w:r>
          </w:p>
        </w:tc>
      </w:tr>
      <w:tr w:rsidR="00CF6946" w:rsidRPr="00AB64DC" w14:paraId="74FE4FAB" w14:textId="77777777" w:rsidTr="00AB64DC">
        <w:trPr>
          <w:trHeight w:val="690"/>
        </w:trPr>
        <w:tc>
          <w:tcPr>
            <w:tcW w:w="2019" w:type="dxa"/>
          </w:tcPr>
          <w:p w14:paraId="373B7701" w14:textId="77777777" w:rsidR="00CF6946" w:rsidRPr="00997DE3" w:rsidRDefault="00CF6946" w:rsidP="00AB64DC">
            <w:pPr>
              <w:pStyle w:val="NoSpacing"/>
              <w:rPr>
                <w:highlight w:val="darkGray"/>
              </w:rPr>
            </w:pPr>
            <w:r w:rsidRPr="00997DE3">
              <w:rPr>
                <w:highlight w:val="darkGray"/>
              </w:rPr>
              <w:t>Cycle</w:t>
            </w:r>
          </w:p>
        </w:tc>
        <w:tc>
          <w:tcPr>
            <w:tcW w:w="7176" w:type="dxa"/>
          </w:tcPr>
          <w:p w14:paraId="7F514012" w14:textId="77777777" w:rsidR="00CF6946" w:rsidRPr="00CF6946" w:rsidRDefault="00CF6946" w:rsidP="00CF6946">
            <w:pPr>
              <w:spacing w:before="100" w:beforeAutospacing="1" w:after="100" w:afterAutospacing="1"/>
            </w:pPr>
            <w:r>
              <w:t>R</w:t>
            </w:r>
            <w:r w:rsidRPr="00AB64DC">
              <w:t xml:space="preserve">epresents the sequential order of assessment in a factory, ie Cycle </w:t>
            </w:r>
            <w:r w:rsidRPr="00CF6946">
              <w:t>1=a factory’s first compliance assessment, cycle 2= 2nd assessment, etc. Assessments occur approx. every 12 months, so cycle 3 would correspond roughly to 3rd year of participation in the programme (one exception: in the past, assessments had occurred on a more frequent basis in Haiti, approx. twice yearly).</w:t>
            </w:r>
          </w:p>
          <w:p w14:paraId="6B13E327" w14:textId="77777777" w:rsidR="00CF6946" w:rsidRDefault="00CF6946" w:rsidP="00CF6946">
            <w:pPr>
              <w:spacing w:before="100" w:beforeAutospacing="1" w:after="100" w:afterAutospacing="1"/>
            </w:pPr>
            <w:r w:rsidRPr="00CF6946">
              <w:t>Note that you should expect the number of questions on the CAT to vary between assessments, as the questionnaire is frequently updated and edited. Starting in mid-2014, a programme-wide effort was made to rationalise the CAT, and the number of questions should be generally reduced from that point forward.</w:t>
            </w:r>
          </w:p>
        </w:tc>
      </w:tr>
      <w:tr w:rsidR="00AB64DC" w:rsidRPr="00AB64DC" w14:paraId="27EE8B08" w14:textId="77777777" w:rsidTr="00AB64DC">
        <w:trPr>
          <w:trHeight w:val="690"/>
        </w:trPr>
        <w:tc>
          <w:tcPr>
            <w:tcW w:w="2019" w:type="dxa"/>
          </w:tcPr>
          <w:p w14:paraId="5B4340BD" w14:textId="77777777" w:rsidR="00AB64DC" w:rsidRPr="00C83BC8" w:rsidRDefault="00AB64DC" w:rsidP="00AB64DC">
            <w:pPr>
              <w:pStyle w:val="NoSpacing"/>
              <w:rPr>
                <w:highlight w:val="yellow"/>
              </w:rPr>
            </w:pPr>
            <w:r w:rsidRPr="00C83BC8">
              <w:rPr>
                <w:highlight w:val="yellow"/>
              </w:rPr>
              <w:t>Quest ID</w:t>
            </w:r>
          </w:p>
        </w:tc>
        <w:tc>
          <w:tcPr>
            <w:tcW w:w="7176" w:type="dxa"/>
          </w:tcPr>
          <w:p w14:paraId="3E1788F9" w14:textId="77777777" w:rsidR="00AB64DC" w:rsidRPr="00C83BC8" w:rsidRDefault="00AB64DC" w:rsidP="00AB64DC">
            <w:pPr>
              <w:pStyle w:val="NoSpacing"/>
              <w:rPr>
                <w:highlight w:val="yellow"/>
              </w:rPr>
            </w:pPr>
            <w:r w:rsidRPr="00C83BC8">
              <w:rPr>
                <w:highlight w:val="yellow"/>
              </w:rPr>
              <w:t>Questionnaire ID, unique for each assessment</w:t>
            </w:r>
          </w:p>
        </w:tc>
      </w:tr>
      <w:tr w:rsidR="00CF6946" w:rsidRPr="00AB64DC" w14:paraId="64DB136A" w14:textId="77777777" w:rsidTr="00AB64DC">
        <w:trPr>
          <w:trHeight w:val="652"/>
        </w:trPr>
        <w:tc>
          <w:tcPr>
            <w:tcW w:w="2019" w:type="dxa"/>
          </w:tcPr>
          <w:p w14:paraId="05586BD4" w14:textId="77777777" w:rsidR="00CF6946" w:rsidRPr="00997DE3" w:rsidRDefault="00CF6946" w:rsidP="00AB64DC">
            <w:pPr>
              <w:pStyle w:val="NoSpacing"/>
              <w:rPr>
                <w:highlight w:val="darkGray"/>
              </w:rPr>
            </w:pPr>
            <w:r w:rsidRPr="00997DE3">
              <w:rPr>
                <w:highlight w:val="darkGray"/>
                <w:lang w:val="fr-CH"/>
              </w:rPr>
              <w:t>Question type</w:t>
            </w:r>
          </w:p>
        </w:tc>
        <w:tc>
          <w:tcPr>
            <w:tcW w:w="7176" w:type="dxa"/>
          </w:tcPr>
          <w:p w14:paraId="2C2D6727" w14:textId="77777777" w:rsidR="00CF6946" w:rsidRPr="00CF6946" w:rsidRDefault="00CF6946" w:rsidP="00CF6946">
            <w:pPr>
              <w:spacing w:before="100" w:beforeAutospacing="1" w:after="100" w:afterAutospacing="1"/>
              <w:rPr>
                <w:lang w:val="fr-CH"/>
              </w:rPr>
            </w:pPr>
            <w:r w:rsidRPr="00AB64DC">
              <w:rPr>
                <w:lang w:val="fr-CH"/>
              </w:rPr>
              <w:t xml:space="preserve">NCQ “non-compliance question”; FGW questions for information only </w:t>
            </w:r>
          </w:p>
        </w:tc>
      </w:tr>
      <w:tr w:rsidR="00AB64DC" w:rsidRPr="00AB64DC" w14:paraId="2BBDD3D5" w14:textId="77777777" w:rsidTr="00AB64DC">
        <w:trPr>
          <w:trHeight w:val="652"/>
        </w:trPr>
        <w:tc>
          <w:tcPr>
            <w:tcW w:w="2019" w:type="dxa"/>
          </w:tcPr>
          <w:p w14:paraId="4384B7F4" w14:textId="77777777" w:rsidR="00AB64DC" w:rsidRPr="00AB64DC" w:rsidRDefault="00AB64DC" w:rsidP="00AB64DC">
            <w:pPr>
              <w:pStyle w:val="NoSpacing"/>
            </w:pPr>
            <w:r w:rsidRPr="00AB64DC">
              <w:t>Cluster</w:t>
            </w:r>
          </w:p>
        </w:tc>
        <w:tc>
          <w:tcPr>
            <w:tcW w:w="7176" w:type="dxa"/>
          </w:tcPr>
          <w:p w14:paraId="5591DB70" w14:textId="77777777" w:rsidR="00AB64DC" w:rsidRDefault="00AB64DC" w:rsidP="00AB64DC">
            <w:pPr>
              <w:pStyle w:val="NoSpacing"/>
            </w:pPr>
            <w:r>
              <w:t>O</w:t>
            </w:r>
            <w:r w:rsidRPr="00AB64DC">
              <w:t>ne of eight</w:t>
            </w:r>
            <w:r w:rsidR="00022503">
              <w:t xml:space="preserve"> principal</w:t>
            </w:r>
            <w:r w:rsidRPr="00AB64DC">
              <w:t xml:space="preserve"> compliance clusters</w:t>
            </w:r>
            <w:r w:rsidR="00022503">
              <w:t xml:space="preserve">: Child Labour, Forced Labour, Discrimination, Freedom of Association and Collective Bargaining, Compensation, Contracts &amp; Human Resources, Occupational Safety &amp; Health, Working Time. </w:t>
            </w:r>
          </w:p>
          <w:p w14:paraId="579C42AF" w14:textId="77777777" w:rsidR="00AB64DC" w:rsidRPr="00E8446C" w:rsidRDefault="00AB64DC" w:rsidP="00AB64DC">
            <w:pPr>
              <w:pStyle w:val="NoSpacing"/>
              <w:rPr>
                <w:lang w:val="en-US"/>
              </w:rPr>
            </w:pPr>
            <w:r>
              <w:t>Some additions/changes made over time to core 8 clusters. “Learning” a latest addition. “Systems” used briefly in Haiti and Bangladesh before omitting them.</w:t>
            </w:r>
          </w:p>
          <w:p w14:paraId="20B71C1A" w14:textId="77777777" w:rsidR="00AB64DC" w:rsidRPr="00AB64DC" w:rsidRDefault="00AB64DC" w:rsidP="00AB64DC">
            <w:pPr>
              <w:pStyle w:val="NoSpacing"/>
            </w:pPr>
          </w:p>
        </w:tc>
      </w:tr>
      <w:tr w:rsidR="00AB64DC" w:rsidRPr="00AB64DC" w14:paraId="0B0471CE" w14:textId="77777777" w:rsidTr="00AB64DC">
        <w:trPr>
          <w:trHeight w:val="558"/>
        </w:trPr>
        <w:tc>
          <w:tcPr>
            <w:tcW w:w="2019" w:type="dxa"/>
          </w:tcPr>
          <w:p w14:paraId="2C7469AC" w14:textId="77777777" w:rsidR="00AB64DC" w:rsidRPr="00AB64DC" w:rsidRDefault="00AB64DC" w:rsidP="00AB64DC">
            <w:pPr>
              <w:pStyle w:val="NoSpacing"/>
            </w:pPr>
            <w:r w:rsidRPr="00AB64DC">
              <w:t>CP</w:t>
            </w:r>
          </w:p>
        </w:tc>
        <w:tc>
          <w:tcPr>
            <w:tcW w:w="7176" w:type="dxa"/>
          </w:tcPr>
          <w:p w14:paraId="0906B66B" w14:textId="77777777" w:rsidR="00AB64DC" w:rsidRDefault="00AB64DC" w:rsidP="00AB64DC">
            <w:pPr>
              <w:pStyle w:val="NoSpacing"/>
            </w:pPr>
            <w:r>
              <w:t>C</w:t>
            </w:r>
            <w:r w:rsidRPr="00AB64DC">
              <w:t>ompliance point, nested within Clusters</w:t>
            </w:r>
          </w:p>
          <w:p w14:paraId="6190CC8F" w14:textId="77777777" w:rsidR="00AB64DC" w:rsidRPr="00AB64DC" w:rsidRDefault="00AB64DC" w:rsidP="00AB64DC">
            <w:pPr>
              <w:pStyle w:val="NoSpacing"/>
            </w:pPr>
            <w:r>
              <w:t xml:space="preserve">Questions classified as “Fact Gathering Questions” are not associated with a CP and therefore have “N/A” listed as their CP. </w:t>
            </w:r>
          </w:p>
        </w:tc>
      </w:tr>
      <w:tr w:rsidR="00AB64DC" w:rsidRPr="00AB64DC" w14:paraId="08CD5E9E" w14:textId="77777777" w:rsidTr="00AB64DC">
        <w:trPr>
          <w:trHeight w:val="652"/>
        </w:trPr>
        <w:tc>
          <w:tcPr>
            <w:tcW w:w="2019" w:type="dxa"/>
          </w:tcPr>
          <w:p w14:paraId="448E95DF" w14:textId="77777777" w:rsidR="00AB64DC" w:rsidRPr="00997DE3" w:rsidRDefault="00AB64DC" w:rsidP="00AB64DC">
            <w:pPr>
              <w:spacing w:before="100" w:beforeAutospacing="1" w:after="100" w:afterAutospacing="1"/>
              <w:rPr>
                <w:highlight w:val="darkGray"/>
              </w:rPr>
            </w:pPr>
            <w:r w:rsidRPr="00997DE3">
              <w:rPr>
                <w:highlight w:val="darkGray"/>
              </w:rPr>
              <w:t>Question ID</w:t>
            </w:r>
          </w:p>
        </w:tc>
        <w:tc>
          <w:tcPr>
            <w:tcW w:w="7176" w:type="dxa"/>
          </w:tcPr>
          <w:p w14:paraId="2D186208" w14:textId="77777777" w:rsidR="00AB64DC" w:rsidRDefault="00AB64DC" w:rsidP="00AB64DC">
            <w:pPr>
              <w:pStyle w:val="NoSpacing"/>
            </w:pPr>
            <w:r>
              <w:t xml:space="preserve">Unique identifier for questions within assessment tool. </w:t>
            </w:r>
          </w:p>
          <w:p w14:paraId="1B759477" w14:textId="77777777" w:rsidR="00AB64DC" w:rsidRPr="00AB64DC" w:rsidRDefault="00AB64DC" w:rsidP="00AB64DC">
            <w:pPr>
              <w:pStyle w:val="NoSpacing"/>
            </w:pPr>
            <w:r>
              <w:t>Though possible that QuestionIDs for a question covering a single issue change over time.</w:t>
            </w:r>
          </w:p>
        </w:tc>
      </w:tr>
      <w:tr w:rsidR="00AB64DC" w:rsidRPr="00AB64DC" w14:paraId="2F8B0399" w14:textId="77777777" w:rsidTr="00AB64DC">
        <w:trPr>
          <w:trHeight w:val="652"/>
        </w:trPr>
        <w:tc>
          <w:tcPr>
            <w:tcW w:w="2019" w:type="dxa"/>
          </w:tcPr>
          <w:p w14:paraId="49B38E84" w14:textId="77777777" w:rsidR="00AB64DC" w:rsidRPr="00AB64DC" w:rsidRDefault="00AB64DC" w:rsidP="00AB64DC">
            <w:pPr>
              <w:spacing w:before="100" w:beforeAutospacing="1" w:after="100" w:afterAutospacing="1"/>
            </w:pPr>
            <w:r w:rsidRPr="00AB64DC">
              <w:t>Q Label</w:t>
            </w:r>
          </w:p>
        </w:tc>
        <w:tc>
          <w:tcPr>
            <w:tcW w:w="7176" w:type="dxa"/>
          </w:tcPr>
          <w:p w14:paraId="086F43DC" w14:textId="77777777" w:rsidR="00AB64DC" w:rsidRDefault="00AB64DC" w:rsidP="00AB64DC">
            <w:pPr>
              <w:pStyle w:val="NoSpacing"/>
            </w:pPr>
            <w:r>
              <w:t>I</w:t>
            </w:r>
            <w:r w:rsidRPr="00AB64DC">
              <w:t>ndividual question on the Compliance Assessment Tool; nested within CPs</w:t>
            </w:r>
          </w:p>
        </w:tc>
      </w:tr>
      <w:tr w:rsidR="00AB64DC" w:rsidRPr="00AB64DC" w14:paraId="5895DAF4" w14:textId="77777777" w:rsidTr="00AB64DC">
        <w:trPr>
          <w:trHeight w:val="652"/>
        </w:trPr>
        <w:tc>
          <w:tcPr>
            <w:tcW w:w="2019" w:type="dxa"/>
          </w:tcPr>
          <w:p w14:paraId="0315D2A9" w14:textId="77777777" w:rsidR="00AB64DC" w:rsidRPr="00997DE3" w:rsidRDefault="00AB64DC" w:rsidP="00AB64DC">
            <w:pPr>
              <w:spacing w:before="100" w:beforeAutospacing="1" w:after="100" w:afterAutospacing="1"/>
              <w:rPr>
                <w:highlight w:val="darkGray"/>
              </w:rPr>
            </w:pPr>
            <w:r w:rsidRPr="00997DE3">
              <w:rPr>
                <w:highlight w:val="darkGray"/>
              </w:rPr>
              <w:t>Question status</w:t>
            </w:r>
          </w:p>
        </w:tc>
        <w:tc>
          <w:tcPr>
            <w:tcW w:w="7176" w:type="dxa"/>
          </w:tcPr>
          <w:p w14:paraId="773F5B35" w14:textId="77777777" w:rsidR="00AB64DC" w:rsidRDefault="00AB64DC" w:rsidP="00AB64DC">
            <w:pPr>
              <w:pStyle w:val="NoSpacing"/>
            </w:pPr>
            <w:r>
              <w:t>In</w:t>
            </w:r>
            <w:r w:rsidRPr="00AB64DC">
              <w:t>dicates whether the version of the question is on the most recent version of the Compliance Assessment Tool (CAT)</w:t>
            </w:r>
            <w:r w:rsidR="00CF6946">
              <w:t xml:space="preserve">. Inactive questions are those from previous versions of the CAT that are no longer in use. </w:t>
            </w:r>
          </w:p>
          <w:p w14:paraId="549AFAD7" w14:textId="77777777" w:rsidR="00CF6946" w:rsidRDefault="00CF6946" w:rsidP="00AB64DC">
            <w:pPr>
              <w:pStyle w:val="NoSpacing"/>
            </w:pPr>
          </w:p>
        </w:tc>
      </w:tr>
      <w:tr w:rsidR="00AB64DC" w:rsidRPr="00AB64DC" w14:paraId="57E026FE" w14:textId="77777777" w:rsidTr="00AB64DC">
        <w:trPr>
          <w:trHeight w:val="652"/>
        </w:trPr>
        <w:tc>
          <w:tcPr>
            <w:tcW w:w="2019" w:type="dxa"/>
          </w:tcPr>
          <w:p w14:paraId="07FD9C1C" w14:textId="77777777" w:rsidR="00AB64DC" w:rsidRPr="00997DE3" w:rsidRDefault="00AB64DC" w:rsidP="00AB64DC">
            <w:pPr>
              <w:spacing w:before="100" w:beforeAutospacing="1" w:after="100" w:afterAutospacing="1"/>
              <w:rPr>
                <w:highlight w:val="darkGray"/>
              </w:rPr>
            </w:pPr>
            <w:r w:rsidRPr="00997DE3">
              <w:rPr>
                <w:highlight w:val="darkGray"/>
              </w:rPr>
              <w:t>Parent Question</w:t>
            </w:r>
          </w:p>
        </w:tc>
        <w:tc>
          <w:tcPr>
            <w:tcW w:w="7176" w:type="dxa"/>
          </w:tcPr>
          <w:p w14:paraId="275A8D01" w14:textId="77777777" w:rsidR="00AB64DC" w:rsidRDefault="00CF6946" w:rsidP="00AB64DC">
            <w:pPr>
              <w:pStyle w:val="NoSpacing"/>
            </w:pPr>
            <w:r>
              <w:t xml:space="preserve">Questions are that not answered during assessments, but are used as gate keepers to determine relevant for questions that are nested under them. </w:t>
            </w:r>
          </w:p>
        </w:tc>
      </w:tr>
      <w:tr w:rsidR="00CF6946" w:rsidRPr="00AB64DC" w14:paraId="2EAAD858" w14:textId="77777777" w:rsidTr="00AB64DC">
        <w:trPr>
          <w:trHeight w:val="652"/>
        </w:trPr>
        <w:tc>
          <w:tcPr>
            <w:tcW w:w="2019" w:type="dxa"/>
          </w:tcPr>
          <w:p w14:paraId="4D44D0FD" w14:textId="77777777" w:rsidR="00CF6946" w:rsidRPr="00997DE3" w:rsidRDefault="00CF6946" w:rsidP="00AB64DC">
            <w:pPr>
              <w:spacing w:before="100" w:beforeAutospacing="1" w:after="100" w:afterAutospacing="1"/>
              <w:rPr>
                <w:highlight w:val="darkGray"/>
              </w:rPr>
            </w:pPr>
            <w:r w:rsidRPr="00997DE3">
              <w:rPr>
                <w:highlight w:val="darkGray"/>
              </w:rPr>
              <w:lastRenderedPageBreak/>
              <w:t>Guidance</w:t>
            </w:r>
          </w:p>
        </w:tc>
        <w:tc>
          <w:tcPr>
            <w:tcW w:w="7176" w:type="dxa"/>
          </w:tcPr>
          <w:p w14:paraId="64125745" w14:textId="77777777" w:rsidR="00CF6946" w:rsidRDefault="00CF6946" w:rsidP="00AB64DC">
            <w:pPr>
              <w:pStyle w:val="NoSpacing"/>
            </w:pPr>
            <w:r>
              <w:t>G</w:t>
            </w:r>
            <w:r w:rsidRPr="00AB64DC">
              <w:t>uidance to Enterprise Advisors on how to assess compliance vs non-compliance</w:t>
            </w:r>
          </w:p>
        </w:tc>
      </w:tr>
      <w:tr w:rsidR="00CF6946" w:rsidRPr="00AB64DC" w14:paraId="428478DE" w14:textId="77777777" w:rsidTr="00AB64DC">
        <w:trPr>
          <w:trHeight w:val="652"/>
        </w:trPr>
        <w:tc>
          <w:tcPr>
            <w:tcW w:w="2019" w:type="dxa"/>
          </w:tcPr>
          <w:p w14:paraId="6B3A7F7C" w14:textId="77777777" w:rsidR="00CF6946" w:rsidRPr="00997DE3" w:rsidRDefault="00CF6946" w:rsidP="00AB64DC">
            <w:pPr>
              <w:spacing w:before="100" w:beforeAutospacing="1" w:after="100" w:afterAutospacing="1"/>
              <w:rPr>
                <w:highlight w:val="darkGray"/>
              </w:rPr>
            </w:pPr>
            <w:r w:rsidRPr="00997DE3">
              <w:rPr>
                <w:highlight w:val="darkGray"/>
              </w:rPr>
              <w:t>Legal Reference</w:t>
            </w:r>
          </w:p>
        </w:tc>
        <w:tc>
          <w:tcPr>
            <w:tcW w:w="7176" w:type="dxa"/>
          </w:tcPr>
          <w:p w14:paraId="3E3997E1" w14:textId="77777777" w:rsidR="00CF6946" w:rsidRDefault="00CF6946" w:rsidP="00CF6946">
            <w:pPr>
              <w:spacing w:before="100" w:beforeAutospacing="1" w:after="100" w:afterAutospacing="1"/>
            </w:pPr>
            <w:r>
              <w:t>E</w:t>
            </w:r>
            <w:r w:rsidRPr="00AB64DC">
              <w:t>ither to national labour law (4 clusters) or international labour standards (4 clusters)</w:t>
            </w:r>
          </w:p>
        </w:tc>
      </w:tr>
      <w:tr w:rsidR="00CF6946" w:rsidRPr="00AB64DC" w14:paraId="22765BD2" w14:textId="77777777" w:rsidTr="00AB64DC">
        <w:trPr>
          <w:trHeight w:val="652"/>
        </w:trPr>
        <w:tc>
          <w:tcPr>
            <w:tcW w:w="2019" w:type="dxa"/>
          </w:tcPr>
          <w:p w14:paraId="6F1DA63A" w14:textId="77777777" w:rsidR="00CF6946" w:rsidRPr="00AB64DC" w:rsidRDefault="00CF6946" w:rsidP="00AB64DC">
            <w:pPr>
              <w:spacing w:before="100" w:beforeAutospacing="1" w:after="100" w:afterAutospacing="1"/>
            </w:pPr>
            <w:r w:rsidRPr="00AB64DC">
              <w:t>Finding (per NCQ question) </w:t>
            </w:r>
          </w:p>
        </w:tc>
        <w:tc>
          <w:tcPr>
            <w:tcW w:w="7176" w:type="dxa"/>
          </w:tcPr>
          <w:p w14:paraId="5F7EE725" w14:textId="77777777" w:rsidR="00CF6946" w:rsidRDefault="00CF6946" w:rsidP="00CF6946">
            <w:pPr>
              <w:spacing w:before="100" w:beforeAutospacing="1" w:after="100" w:afterAutospacing="1"/>
            </w:pPr>
            <w:r w:rsidRPr="00AB64DC">
              <w:t>1=non-compliance ; 0=no evidence of non-compliance found/compliant</w:t>
            </w:r>
          </w:p>
        </w:tc>
      </w:tr>
      <w:tr w:rsidR="00CF6946" w:rsidRPr="00AB64DC" w14:paraId="78754C3B" w14:textId="77777777" w:rsidTr="00AB64DC">
        <w:trPr>
          <w:trHeight w:val="652"/>
        </w:trPr>
        <w:tc>
          <w:tcPr>
            <w:tcW w:w="2019" w:type="dxa"/>
          </w:tcPr>
          <w:p w14:paraId="31AD57EA" w14:textId="77777777" w:rsidR="00CF6946" w:rsidRPr="00AB64DC" w:rsidRDefault="00CF6946" w:rsidP="00AB64DC">
            <w:pPr>
              <w:spacing w:before="100" w:beforeAutospacing="1" w:after="100" w:afterAutospacing="1"/>
            </w:pPr>
            <w:r w:rsidRPr="00AB64DC">
              <w:t>Finding text</w:t>
            </w:r>
          </w:p>
        </w:tc>
        <w:tc>
          <w:tcPr>
            <w:tcW w:w="7176" w:type="dxa"/>
          </w:tcPr>
          <w:p w14:paraId="62127091" w14:textId="77777777" w:rsidR="00CF6946" w:rsidRDefault="00CF6946" w:rsidP="00CF6946">
            <w:pPr>
              <w:spacing w:before="100" w:beforeAutospacing="1" w:after="100" w:afterAutospacing="1"/>
            </w:pPr>
            <w:r>
              <w:t>A</w:t>
            </w:r>
            <w:r w:rsidRPr="00AB64DC">
              <w:t>ny addition</w:t>
            </w:r>
            <w:r w:rsidR="00BD4F34">
              <w:t>al</w:t>
            </w:r>
            <w:r w:rsidRPr="00AB64DC">
              <w:t xml:space="preserve"> detail provided by EA</w:t>
            </w:r>
          </w:p>
        </w:tc>
      </w:tr>
      <w:tr w:rsidR="00CF6946" w:rsidRPr="00AB64DC" w14:paraId="4A81D6EF" w14:textId="77777777" w:rsidTr="00AB64DC">
        <w:trPr>
          <w:trHeight w:val="652"/>
        </w:trPr>
        <w:tc>
          <w:tcPr>
            <w:tcW w:w="2019" w:type="dxa"/>
          </w:tcPr>
          <w:p w14:paraId="46FA604E" w14:textId="77777777" w:rsidR="00CF6946" w:rsidRPr="00AB64DC" w:rsidRDefault="00CF6946" w:rsidP="00AB64DC">
            <w:pPr>
              <w:spacing w:before="100" w:beforeAutospacing="1" w:after="100" w:afterAutospacing="1"/>
            </w:pPr>
            <w:r>
              <w:t>Tags</w:t>
            </w:r>
          </w:p>
        </w:tc>
        <w:tc>
          <w:tcPr>
            <w:tcW w:w="7176" w:type="dxa"/>
          </w:tcPr>
          <w:p w14:paraId="0E4D6755" w14:textId="77777777" w:rsidR="00CF6946" w:rsidRDefault="00CF6946" w:rsidP="00CF6946">
            <w:pPr>
              <w:spacing w:before="100" w:beforeAutospacing="1" w:after="100" w:afterAutospacing="1"/>
            </w:pPr>
            <w:r>
              <w:t xml:space="preserve">Indicated thematic groups of questions, include: issues tagged for public disclosure, gender-sensitive questions, and management systems questions. </w:t>
            </w:r>
          </w:p>
        </w:tc>
      </w:tr>
    </w:tbl>
    <w:p w14:paraId="721F6B5C" w14:textId="77777777" w:rsidR="00AB64DC" w:rsidRPr="00AB64DC" w:rsidRDefault="00AB64DC" w:rsidP="00AB64DC">
      <w:pPr>
        <w:pStyle w:val="NoSpacing"/>
      </w:pPr>
    </w:p>
    <w:p w14:paraId="3A668EC6" w14:textId="78E20CA5" w:rsidR="002639EF" w:rsidRDefault="00E8446C">
      <w:r>
        <w:t>Qlabel .ciuntry&lt;=3 :delete</w:t>
      </w:r>
    </w:p>
    <w:p w14:paraId="78CAE0A6" w14:textId="77777777" w:rsidR="001D4825" w:rsidRDefault="001D4825"/>
    <w:p w14:paraId="532BEB3C" w14:textId="377AC0DF" w:rsidR="001D4825" w:rsidRDefault="001D4825">
      <w:r>
        <w:t>Cambobia</w:t>
      </w:r>
    </w:p>
    <w:p w14:paraId="7BF330E7" w14:textId="3EAC5E3A" w:rsidR="001D4825" w:rsidRDefault="001D4825">
      <w:r>
        <w:t>bangel</w:t>
      </w:r>
    </w:p>
    <w:sectPr w:rsidR="001D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7E761" w14:textId="77777777" w:rsidR="007A76CA" w:rsidRDefault="007A76CA" w:rsidP="00C83BC8">
      <w:r>
        <w:separator/>
      </w:r>
    </w:p>
  </w:endnote>
  <w:endnote w:type="continuationSeparator" w:id="0">
    <w:p w14:paraId="37AF0902" w14:textId="77777777" w:rsidR="007A76CA" w:rsidRDefault="007A76CA" w:rsidP="00C8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11A7D" w14:textId="77777777" w:rsidR="007A76CA" w:rsidRDefault="007A76CA" w:rsidP="00C83BC8">
      <w:r>
        <w:separator/>
      </w:r>
    </w:p>
  </w:footnote>
  <w:footnote w:type="continuationSeparator" w:id="0">
    <w:p w14:paraId="3EA19E20" w14:textId="77777777" w:rsidR="007A76CA" w:rsidRDefault="007A76CA" w:rsidP="00C83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00BA3"/>
    <w:multiLevelType w:val="hybridMultilevel"/>
    <w:tmpl w:val="15E2DB54"/>
    <w:lvl w:ilvl="0" w:tplc="A3F0A6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SzNLUwMjEyMjC0sDBS0lEKTi0uzszPAykwrAUA/rYTYSwAAAA="/>
  </w:docVars>
  <w:rsids>
    <w:rsidRoot w:val="00AB64DC"/>
    <w:rsid w:val="00022503"/>
    <w:rsid w:val="000E7224"/>
    <w:rsid w:val="001D4825"/>
    <w:rsid w:val="002639EF"/>
    <w:rsid w:val="005E3F43"/>
    <w:rsid w:val="007A76CA"/>
    <w:rsid w:val="00997DE3"/>
    <w:rsid w:val="00AB64DC"/>
    <w:rsid w:val="00BD4F34"/>
    <w:rsid w:val="00C83BC8"/>
    <w:rsid w:val="00CF6946"/>
    <w:rsid w:val="00E8446C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07A21"/>
  <w15:chartTrackingRefBased/>
  <w15:docId w15:val="{1E858D11-2FD9-4A67-B235-18B7124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DC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64DC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83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BC8"/>
    <w:rPr>
      <w:rFonts w:ascii="Calibri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83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BC8"/>
    <w:rPr>
      <w:rFonts w:ascii="Calibri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CF1D1ACE48041A095C8B44782EA29" ma:contentTypeVersion="0" ma:contentTypeDescription="Create a new document." ma:contentTypeScope="" ma:versionID="9a155440c2474af7769da55b3d1783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0A64E-0849-433D-A00D-AF24A473E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43F724-F223-4152-B321-287C6EC2F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87076-6106-4A90-90BA-BF284DA908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ILO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Eisenbraun, Jeffrey</dc:creator>
  <cp:keywords/>
  <dc:description/>
  <cp:lastModifiedBy>Lingyu Zhou</cp:lastModifiedBy>
  <cp:revision>7</cp:revision>
  <dcterms:created xsi:type="dcterms:W3CDTF">2018-05-04T07:07:00Z</dcterms:created>
  <dcterms:modified xsi:type="dcterms:W3CDTF">2024-06-07T16:05:00Z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0x010100F79CF1D1ACE48041A095C8B44782EA29</vt:lpwstr>
  </property>
</Properties>
</file>