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3BA9" w:rsidRPr="00C07EAF" w:rsidRDefault="00000000">
      <w:pPr>
        <w:spacing w:before="200" w:after="40"/>
        <w:jc w:val="center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b/>
          <w:color w:val="000000" w:themeColor="text1"/>
          <w:sz w:val="36"/>
          <w:lang w:eastAsia="zh-CN"/>
        </w:rPr>
        <w:t>Alteryx 自动化对账与报送系统 操作与维护指南</w:t>
      </w:r>
    </w:p>
    <w:p w:rsidR="00CC3BA9" w:rsidRPr="00C07EAF" w:rsidRDefault="00000000">
      <w:pPr>
        <w:spacing w:after="280"/>
        <w:jc w:val="center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Standard Operating Procedure &amp; Reconciliation Architecture Guide Book</w:t>
      </w: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一、 系统概述 (System Overview)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本系统基于 Alteryx 平台构建，旨在实现企业应收账款（Proposal/LossProposal）、银行实收流水（Payments/LossPayment）与折扣（Discount/LossDiscount）之间的高精度自动化组合对账核销，并自动生成监管与内部所需的《首付款T0（报送表）》及各类在途与余额底表，大幅提升结算效率并杜绝人工核算偏差。</w:t>
      </w: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二、 数据源字典 (Data Sources)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1. 外部数据源 (External Raw Data)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7EAF" w:rsidRPr="00C07EAF">
        <w:trPr>
          <w:jc w:val="center"/>
        </w:trPr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数据表名称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原始格式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  <w:lang w:eastAsia="zh-CN"/>
              </w:rPr>
              <w:t>数据说明与前置处理规范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PaymentReport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.csv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银行端导出的原始收款/实付交易流水数据（CSV 格式直接接入）。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ProposalSearch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业务系统导出的提案/应收账单明细。</w:t>
            </w: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【强制前置要求】需先运行 run.xlsm 宏批量转换为 .xlsx 格式后方可导入。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PaymentGroupSearch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业务系统导出的支付组/回款组明细。</w:t>
            </w: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【强制前置要求】需先运行 run.xlsm 宏批量转换为 .xlsx 格式后方可导入。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PARSearch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PAR 账款与关联查询明细。</w:t>
            </w: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【强制前置要求】需先运行 run.xlsm 宏批量转换为 .xlsx 格式后方可导入。</w:t>
            </w:r>
          </w:p>
        </w:tc>
      </w:tr>
    </w:tbl>
    <w:p w:rsidR="00CC3BA9" w:rsidRPr="00C07EAF" w:rsidRDefault="00CC3BA9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2. 存量维护表 (Maintenance Tables)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7EAF" w:rsidRPr="00C07EAF">
        <w:trPr>
          <w:jc w:val="center"/>
        </w:trPr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数据表名称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说明与用途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  <w:lang w:eastAsia="zh-CN"/>
              </w:rPr>
              <w:t>Alteryx 节点配置关键注意点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OutStanding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在途未结清总底表（包含未 Settle 公司的各维度在途记录）。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【节点设置警告】在 Alteryx 进行 Setup Connection 时，必须选择“Import only the list of sheet names”选项，禁止选择“Select a sheet”。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lastRenderedPageBreak/>
              <w:t>LossDiscount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历史滚存的未核销/掉落折扣（Discount）明细表。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作为核销底池的一部分参与当日组合对冲。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LossProposal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历史滚存的未核销/掉落提案（Proposal）明细表。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与当日新增 Proposal 合并进入统一应收池。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Balance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历史流水沉淀与账户可用余额底表。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用于跨期扣款核销及人工手动对账补偿。</w:t>
            </w:r>
          </w:p>
        </w:tc>
      </w:tr>
    </w:tbl>
    <w:p w:rsidR="00CC3BA9" w:rsidRPr="00C07EAF" w:rsidRDefault="00CC3BA9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3. 主数据与映射配置表 (Mapping Tables)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C07EAF" w:rsidRPr="00C07EAF">
        <w:trPr>
          <w:jc w:val="center"/>
        </w:trPr>
        <w:tc>
          <w:tcPr>
            <w:tcW w:w="4968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数据表名称</w:t>
            </w:r>
          </w:p>
        </w:tc>
        <w:tc>
          <w:tcPr>
            <w:tcW w:w="4968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说明与配置指引</w:t>
            </w:r>
          </w:p>
        </w:tc>
      </w:tr>
      <w:tr w:rsidR="00C07EAF" w:rsidRPr="00C07EAF">
        <w:trPr>
          <w:jc w:val="center"/>
        </w:trPr>
        <w:tc>
          <w:tcPr>
            <w:tcW w:w="4968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DDA</w:t>
            </w:r>
          </w:p>
        </w:tc>
        <w:tc>
          <w:tcPr>
            <w:tcW w:w="4968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DDA 客户信息主表（包含 CNY 本币及 FCY 外币客户信息）。用于识别直接借记及外币专属分流规则。</w:t>
            </w:r>
          </w:p>
        </w:tc>
      </w:tr>
      <w:tr w:rsidR="00C07EAF" w:rsidRPr="00C07EAF">
        <w:trPr>
          <w:jc w:val="center"/>
        </w:trPr>
        <w:tc>
          <w:tcPr>
            <w:tcW w:w="4968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Mapping</w:t>
            </w:r>
          </w:p>
        </w:tc>
        <w:tc>
          <w:tcPr>
            <w:tcW w:w="4968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系统名称核对映射表。维护上下游不同系统间公司名称的不一致、缩写或曾用名映射关系。</w:t>
            </w:r>
          </w:p>
        </w:tc>
      </w:tr>
      <w:tr w:rsidR="00C07EAF" w:rsidRPr="00C07EAF">
        <w:trPr>
          <w:jc w:val="center"/>
        </w:trPr>
        <w:tc>
          <w:tcPr>
            <w:tcW w:w="4968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Report_info_Mapping</w:t>
            </w:r>
            <w:proofErr w:type="spellEnd"/>
          </w:p>
        </w:tc>
        <w:tc>
          <w:tcPr>
            <w:tcW w:w="4968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报送信息映射表。用于统一定义报送输出表的标准代码及监管字段转换。</w:t>
            </w:r>
          </w:p>
        </w:tc>
      </w:tr>
    </w:tbl>
    <w:p w:rsidR="00CC3BA9" w:rsidRPr="00C07EAF" w:rsidRDefault="00CC3BA9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三、 输出成果清单 (Deliverables)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7EAF" w:rsidRPr="00C07EAF">
        <w:trPr>
          <w:jc w:val="center"/>
        </w:trPr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输出表名称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报表类型</w:t>
            </w:r>
          </w:p>
        </w:tc>
        <w:tc>
          <w:tcPr>
            <w:tcW w:w="3312" w:type="dxa"/>
            <w:shd w:val="clear" w:color="auto" w:fill="1F4E79"/>
          </w:tcPr>
          <w:p w:rsidR="00CC3BA9" w:rsidRPr="00C07EAF" w:rsidRDefault="00000000">
            <w:pPr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内容说明与业务用途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首付款T0（报送表）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核心成果表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当日成功完成对账与核销的最终报送明细。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OutStanding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在途汇总表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当日所有未结清公司的在途综合明细（包含对应公司的全部在途账单与流水）。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LossDiscount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未核销明细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当日未完成对冲核销的折扣（Discount）明细，滚存进入下一周期。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LossProposal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未核销明细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当日未完成核销的提案（Proposal）明细，滚存进入下一周期。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LossPaymentGroup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未匹配明细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当日未成功匹配关联的支付组（PaymentGroup）明细，用于辅助勾稽。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lastRenderedPageBreak/>
              <w:t>Balance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余额底表</w:t>
            </w:r>
          </w:p>
        </w:tc>
        <w:tc>
          <w:tcPr>
            <w:tcW w:w="3312" w:type="dxa"/>
            <w:shd w:val="clear" w:color="auto" w:fill="F2F4F7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更新后的可用流水与账户余额台账。</w:t>
            </w:r>
          </w:p>
        </w:tc>
      </w:tr>
      <w:tr w:rsidR="00C07EAF" w:rsidRPr="00C07EAF">
        <w:trPr>
          <w:jc w:val="center"/>
        </w:trPr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未完成汇款公司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</w:rPr>
              <w:t>异常清单</w:t>
            </w:r>
          </w:p>
        </w:tc>
        <w:tc>
          <w:tcPr>
            <w:tcW w:w="3312" w:type="dxa"/>
            <w:shd w:val="clear" w:color="auto" w:fill="FFFFFF"/>
          </w:tcPr>
          <w:p w:rsidR="00CC3BA9" w:rsidRPr="00C07EAF" w:rsidRDefault="00000000">
            <w:pPr>
              <w:spacing w:before="40" w:after="40" w:line="264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C07EAF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当日存在未结清款项、尚未完成全额汇款的客户清单。</w:t>
            </w:r>
          </w:p>
        </w:tc>
      </w:tr>
    </w:tbl>
    <w:p w:rsidR="00CC3BA9" w:rsidRPr="00C07EAF" w:rsidRDefault="00CC3BA9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四、 标准日常操作指南 (Operation Guide)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</w:rPr>
        <w:t>步骤 1：外部源文件格式预转换</w:t>
      </w:r>
      <w:r w:rsidRPr="00C07EAF">
        <w:rPr>
          <w:rFonts w:ascii="微软雅黑" w:eastAsia="微软雅黑" w:hAnsi="微软雅黑"/>
          <w:color w:val="000000" w:themeColor="text1"/>
          <w:sz w:val="20"/>
        </w:rPr>
        <w:t>检查 ProposalSearch、PaymentGroupSearch、PARSearch 三张表，双击运行 run.xlsm 宏文件，一键将 .xls 批量转换为 .xlsx 格式。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步骤 2：数据导入与节点校验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将转换后的文件、PaymentReport.csv 及各维护表放入指定输入目录。特别确认 OutStanding 节点的连接属性为“Import only the list of sheet names”。若存在 Proposal 金额调整情况，请遵照第七节特殊场景 SOP 执行跑批前预处理。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步骤 3：触发运行 (RUN)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在 Alteryx 中点击 RUN 按钮执行跑批，全流程运算预计耗时约 3~5 分钟。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步骤 4：结果导出与归档核对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工作流运行完毕后，Excel 结果文件将自动输出至预设的输出路径。操作员需按第六、七节规范执行核对与后置补录。</w:t>
      </w: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五、 核心对账原理与分流机制深度剖析 (Reconciliation Architecture)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1. 全量核销底池的“三向汇聚”模型 (3-Way Input Aggregation)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系统在启动匹配前，首先将当日新增业务数据与历史存量在途底表进行全量对齐与汇聚，形成三大对账要素底池：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• 【应收侧总池 (Receivables Pool)】= 当日新增提案（Proposal） + 历史在途未结清提案（LossProposal）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【折扣侧总池 (Discount Pool)】= 当日新增折扣（Discount） + 历史在途未结清折扣（LossDiscount）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【银行实收总池 (Receipts Pool)】= 当日银行到账流水（Payments） + 历史在途未匹配流水（LossPayment） + 账户可用余额（Balance）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2. DDA 客户分流与智能处理机制 (DDA Routing &amp; Automation)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DDA（Direct Debit Authority，直接借记授权）客户具有特定的银行代扣通道，与普通电汇客户在入账方式上有显著差异。系统在预处理阶段即通过《DDA》主表实现多轨分流：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• 【无汇款 DDA 客人】与【外币 (FCY) DDA 客人】：这类客户无需人工发起汇款或涉及外币专属结算，系统优先将其从全量池中剥离，走专属通道直接完成自动化处理与报送生成，避免其参与复杂的普通多对多组合试算，极大提升运算效率。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>• 【汇款 DDA 客人】：虽然签订了借记协议但当日通过主动汇款入账的客户，系统内置特征捕捉算法，自动完成分类识别与流水归流，全程全自动处理，无需人工介入。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lastRenderedPageBreak/>
        <w:t>• 【DDA 状态与例外兜底】：系统逻辑默认 DDA 客户全部处于 Settle（已结清）状态。若遇银行端扣款失败、退票等特殊异常，操作人员仅需在生成的《首付款T0（报送表）》中手动剔除对应异常条目。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3. 普通结算客户的两层递进式核心对账模型 (Two-Tier Reconciliation Engine)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对于非 DDA 或需进行金额核销的客户，系统采用严密的“公司级宏观平衡 -&gt; 明细级微观穿透”两层对账架构：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</w:rPr>
        <w:t>【第一层：公司级 Settle 宏观平衡校验】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以客户标准化名称为 Key，汇总对比该客户名下的应收总额与实收流水总额：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 xml:space="preserve">  [应收净额 = 总 Proposal - 总 Discount] 是否等于 [实收总额 = 总 Payments + Balance]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分支 A（未达到全额结清 / 未 Settle 公司）：判定该客户存在资金缺口或款项在途。系统自动将该公司当期所有的 LossProposal、LossDiscount 以及全部 Payments 流水完整归集，输出至《OutStanding》底表及《未完成汇款公司》清单，自动滚存至下一对账周期。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• 分支 B（达到全额结清 / 成功 Settle 公司）：判定该客户资金足以覆盖账单，全额放行进入第二层明细级组合核销。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【第二层：明细级组合穿透匹配与引用号抓取】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成功 Settle 的客户数据进入核心算法引擎，执行高精度的微观匹配与信息关联：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a) 数据基底规格化：客户名执行 NFKC 深度清洗（剔除隐藏字符/统一括号/小写）；金额全部严格转为整数“分”（Integer Cents），杜绝浮点数计算误差。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</w:r>
      <w:r w:rsidRPr="00C07EAF">
        <w:rPr>
          <w:rFonts w:ascii="微软雅黑" w:eastAsia="微软雅黑" w:hAnsi="微软雅黑"/>
          <w:color w:val="000000" w:themeColor="text1"/>
          <w:sz w:val="20"/>
        </w:rPr>
        <w:t>b) 日期阶梯优先策略（Date Priority &amp; Tiered Cascading）：严格遵循“历史早日期流水优先使用 -&gt; 不足时逐步放开更新流水 -&gt; Null（当天）流水最后兜底”的业务规则。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c) 五阶段极速组合匹配：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 - 阶段 0（全额直通车）：单笔 Payment 恰好等于客户剩余全部 Proposals 总额，一键直通核销；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 - 阶段 1（多对一 N:1）：按早日期遍历 Payment，通过 O(1) 剪枝 DFS 为其寻找 Proposals 组合；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 - 阶段 2（一对一 1:1）：单笔账单匹配单笔等额早日期流水；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 - 阶段 3（一对多 1:N）：单笔账单匹配多笔流水（优先仅用有日期的历史流水凑整，不满足再放开当天流水）；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 - 阶段 4（多对多 N:M）：复杂交叉组合的多账单对多流水匹配。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</w:r>
      <w:r w:rsidRPr="00C07EAF">
        <w:rPr>
          <w:rFonts w:ascii="微软雅黑" w:eastAsia="微软雅黑" w:hAnsi="微软雅黑"/>
          <w:color w:val="000000" w:themeColor="text1"/>
          <w:sz w:val="20"/>
        </w:rPr>
        <w:t>d) 智能引用号与折扣穿透关联：核销成功后，系统自动回填对应的 PaymentGroup Reference 和 Discount Reference。系统原生支持 Partial Discount（部分折扣）的自动拆分与按比例/金额关联分配，完全免除人工预先拆解。</w:t>
      </w: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lastRenderedPageBreak/>
        <w:t>六、 结果解读与异常处理 SOP (Exception Handling &amp; Diagnostics)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1. 《首付款T0（报送表）》异常条目处理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• “交易流水号”中出现只有“CR”字段无数字部分：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 xml:space="preserve">  【业务定义】：说明该笔交易属于“没有 PaymentGroup 的信息，但是在当天（当日）被 Settle 掉的”交易。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 xml:space="preserve">  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【处理 SOP】：操作员在人工核对确认后，必须在《Balance》表中删除本条记录，并同步在《LossDiscount》和《LossProposal》中补充录入对应的信息，以保证存量台账闭环。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• 某一行记录从“交易对手银行机构代码”开始后续字段为空：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【业务定义】：说明该条 Proposal 未能在当日流水中完全自动匹配到等额 Payment。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</w:t>
      </w:r>
      <w:r w:rsidRPr="00C07EAF">
        <w:rPr>
          <w:rFonts w:ascii="微软雅黑" w:eastAsia="微软雅黑" w:hAnsi="微软雅黑"/>
          <w:color w:val="000000" w:themeColor="text1"/>
          <w:sz w:val="20"/>
        </w:rPr>
        <w:t>【处理 SOP】：操作员需核实金额差异，至 Balance 余额表中挑选合适条目手动完成扣款；此时无需删除 Proposal 中内容，系统在 Proposal 与 Discount 底表中无多余残留记录。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2. 每日强制勾稽核对（LossPaymentGroup vs 未完成汇款公司）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每次跑批完成后，必须强制比对《LossPaymentGroup》与《未完成汇款公司》两张表格：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若某条目出现在 LossPaymentGroup 中且同时在 未完成汇款公司 中出现：属于正常在途款项，无需人工处理；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若某条目出现在 LossPaymentGroup 中，但未在 未完成汇款公司 中出现：确定为系统未成功抓出。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 xml:space="preserve">  【处理 SOP】：需人工在《首付款T0（报送表）》中补齐该条目，并手动同步调整 Balance、Proposal 及 Discount 对应余额。</w:t>
      </w:r>
    </w:p>
    <w:p w:rsidR="00CC3BA9" w:rsidRPr="00C07EAF" w:rsidRDefault="00000000">
      <w:pPr>
        <w:pStyle w:val="1"/>
        <w:spacing w:before="280" w:after="12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30"/>
        </w:rPr>
        <w:t>七、 特殊业务场景与前后置处理指引 (Special Scenarios &amp; Maintenance)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1. Proposal 金额调整（变更）场景的处理 SOP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【触发场景】：当 PaymentGroup 金额与 sum_proposal（提案金额合计）不同，说明 Proposal 账单在业务端发生了临时调整或修改。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为避免干扰其他正常账单的自动 Settle 匹配，必须严格执行以下前后置作业：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• 【跑批前 (Pre-Run)】：在输入源表 ProposalSearch 与 PARSearch 中，手动删除对应的调整记录，然后再启动 Alteryx 跑批。</w:t>
      </w:r>
      <w:r w:rsidRPr="00C07EAF">
        <w:rPr>
          <w:rFonts w:ascii="微软雅黑" w:eastAsia="微软雅黑" w:hAnsi="微软雅黑"/>
          <w:color w:val="000000" w:themeColor="text1"/>
          <w:sz w:val="20"/>
        </w:rPr>
        <w:br/>
        <w:t>• 【跑批后 (Post-Run)】：跑批全部完成后，再人工在《LossProposal》与《LossDiscount》底表中补充录入对应的调整信息，以确保底表数据的完整性与连续性。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5"/>
          <w:lang w:eastAsia="zh-CN"/>
        </w:rPr>
        <w:lastRenderedPageBreak/>
        <w:t>2. DDA 客人默认 Settle 规则与例外处理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系统逻辑中 DDA 客户默认全部为 Settle 状态。若遇到特殊异常情况（如银行扣款失败/退票），操作人员需手动在《首付款T0（报送表）》中删除对应异常条目。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5"/>
          <w:lang w:eastAsia="zh-CN"/>
        </w:rPr>
        <w:t>3. DDA 外币结算与客户名称映射维护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  <w:lang w:eastAsia="zh-CN"/>
        </w:rPr>
      </w:pP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t>• DDA 外币结算维护：系统已实现多币种自动化核算。如后续业务新增 DDA 外币结算客户，仅需在《DDA》表格中按规范模板补充录入对应客户与币种信息即可。</w:t>
      </w:r>
      <w:r w:rsidRPr="00C07EAF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>• 客户更名/系统命名差异维护：若业务系统或银行端公司名称变更/存在别名，需在《Mapping》表中补充对应映射关系。</w:t>
      </w:r>
    </w:p>
    <w:p w:rsidR="00CC3BA9" w:rsidRPr="00C07EAF" w:rsidRDefault="00000000">
      <w:pPr>
        <w:pStyle w:val="21"/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5"/>
        </w:rPr>
        <w:t>4. Partial Discount（部分折扣）</w:t>
      </w:r>
    </w:p>
    <w:p w:rsidR="00CC3BA9" w:rsidRPr="00C07EAF" w:rsidRDefault="00000000">
      <w:pPr>
        <w:spacing w:after="80"/>
        <w:rPr>
          <w:rFonts w:ascii="微软雅黑" w:eastAsia="微软雅黑" w:hAnsi="微软雅黑"/>
          <w:color w:val="000000" w:themeColor="text1"/>
        </w:rPr>
      </w:pPr>
      <w:r w:rsidRPr="00C07EAF">
        <w:rPr>
          <w:rFonts w:ascii="微软雅黑" w:eastAsia="微软雅黑" w:hAnsi="微软雅黑"/>
          <w:color w:val="000000" w:themeColor="text1"/>
          <w:sz w:val="20"/>
        </w:rPr>
        <w:t>系统已完全内嵌自动化拆分与提取逻辑，日常作业无需人工预先干预。</w:t>
      </w:r>
    </w:p>
    <w:sectPr w:rsidR="00CC3BA9" w:rsidRPr="00C07EA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711498">
    <w:abstractNumId w:val="8"/>
  </w:num>
  <w:num w:numId="2" w16cid:durableId="662857009">
    <w:abstractNumId w:val="6"/>
  </w:num>
  <w:num w:numId="3" w16cid:durableId="82843599">
    <w:abstractNumId w:val="5"/>
  </w:num>
  <w:num w:numId="4" w16cid:durableId="44842937">
    <w:abstractNumId w:val="4"/>
  </w:num>
  <w:num w:numId="5" w16cid:durableId="261649076">
    <w:abstractNumId w:val="7"/>
  </w:num>
  <w:num w:numId="6" w16cid:durableId="1613976953">
    <w:abstractNumId w:val="3"/>
  </w:num>
  <w:num w:numId="7" w16cid:durableId="912399081">
    <w:abstractNumId w:val="2"/>
  </w:num>
  <w:num w:numId="8" w16cid:durableId="76749143">
    <w:abstractNumId w:val="1"/>
  </w:num>
  <w:num w:numId="9" w16cid:durableId="171646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A2B"/>
    <w:rsid w:val="00AA1D8D"/>
    <w:rsid w:val="00B47730"/>
    <w:rsid w:val="00C07EAF"/>
    <w:rsid w:val="00CB0664"/>
    <w:rsid w:val="00CC3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216A71-0FDA-8247-A847-3FB8F326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alen lee</cp:lastModifiedBy>
  <cp:revision>2</cp:revision>
  <dcterms:created xsi:type="dcterms:W3CDTF">2013-12-23T23:15:00Z</dcterms:created>
  <dcterms:modified xsi:type="dcterms:W3CDTF">2026-08-19T07:51:00Z</dcterms:modified>
  <cp:category/>
</cp:coreProperties>
</file>