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카페 앞에는 고양이를 위한 밥그릇이 놓여 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고양이가 귀엽다.</w:t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(동물보호법에 따르면 </w:t>
      </w: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도구·약물을 사용해 죽이거나 상해를 입히는 등의 동물학대 행위자는 2년 이하의 징역 또는 2천만원 이하의 벌금에 처할 수 있다. 그리고 길고양이 급식소는 고양이가 쓰레기봉투를 훼손하는 것을 예방해주고 개체수 조절을 위한 중성화를  시행하고자 고양이를 포획하기 쉽게한다.)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차가 많아서 길을 조심히 걸어야 하고 걸어간다면 중간에 차를 위해 비켜줘야하는게 불편하다. 빨리 달리고 싶다면 이 길을 선택하지 말 것.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highlight w:val="white"/>
          <w:rtl w:val="0"/>
        </w:rPr>
        <w:t xml:space="preserve">길가에 군데군데 아주 오래전부터 자리를 지키고 있었던 것 같은 가게들이 있어 즐거움을 준다.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