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Note de pré-cadrage V1 — Projet 2A Bus CAN</w:t>
      </w:r>
    </w:p>
    <w:p>
      <w:pPr>
        <w:pStyle w:val="Heading2"/>
      </w:pPr>
      <w:r>
        <w:t xml:space="preserve">1. Objectif et bénéficiaires</w:t>
      </w:r>
    </w:p>
    <w:p>
      <w:pPr/>
      <w:r>
        <w:rPr>
          <w:b/>
        </w:rPr>
        <w:t xml:space="preserve">En clair :</w:t>
      </w:r>
      <w:r>
        <w:t xml:space="preserve"> dans un véhicule, plusieurs cartes électroniques doivent s'échanger des informations (vitesse, température, ordres…). Le bus CAN est le « réseau » qui leur permet de communiquer, un peu comme un groupe de discussion où chacun envoie ses messages. Notre projet : écrire les règles de ce réseau une seule fois pour tous les projets 2A concernés, puis prouver sur une maquette qu'elles fonctionnent.</w:t>
      </w:r>
    </w:p>
    <w:p>
      <w:pPr/>
      <w:r>
        <w:rPr>
          <w:b/>
        </w:rPr>
        <w:t xml:space="preserve">Bénéficiaires :</w:t>
      </w:r>
      <w:r>
        <w:t xml:space="preserve"> les 4 projets 2A partenaires (robot industriel RMD-X, Ecomarathon, Formula Student, chariot autonome MIR1000), les encadrants (Yves Heckel, Julien Seigneurbieux) et nous trois (Samuel Gomri, Dylan Kiati, Hugo Mathoux).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SMART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Pour notre projet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S</w:t>
            </w:r>
            <w:r>
              <w:t xml:space="preserve">pécifique</w:t>
            </w:r>
          </w:p>
        </w:tc>
        <w:tc>
          <w:tcPr>
            <w:tcW w:w="4680" w:type="dxa"/>
          </w:tcPr>
          <w:p>
            <w:pPr/>
            <w:r>
              <w:t xml:space="preserve">Donner des règles de communication communes, écrites dans un document pour chaque projet partenaire, et une maquette qui montre qu'elles marchent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M</w:t>
            </w:r>
            <w:r>
              <w:t xml:space="preserve">esurable</w:t>
            </w:r>
          </w:p>
        </w:tc>
        <w:tc>
          <w:tcPr>
            <w:tcW w:w="4680" w:type="dxa"/>
          </w:tcPr>
          <w:p>
            <w:pPr/>
            <w:r>
              <w:t xml:space="preserve">4 documents (un par projet partenaire) ; 1 maquette de 4 cartes ; 1 plan de test écrit puis réalisé ; test réussi quand toutes les cartes affichent le même résultat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A</w:t>
            </w:r>
            <w:r>
              <w:t xml:space="preserve">tteignable</w:t>
            </w:r>
          </w:p>
        </w:tc>
        <w:tc>
          <w:tcPr>
            <w:tcW w:w="4680" w:type="dxa"/>
          </w:tcPr>
          <w:p>
            <w:pPr/>
            <w:r>
              <w:t xml:space="preserve">Équipe de 3, matériel courant et peu cher (environ 140 à 160 €)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R</w:t>
            </w:r>
            <w:r>
              <w:t xml:space="preserve">éaliste / utile</w:t>
            </w:r>
          </w:p>
        </w:tc>
        <w:tc>
          <w:tcPr>
            <w:tcW w:w="4680" w:type="dxa"/>
          </w:tcPr>
          <w:p>
            <w:pPr/>
            <w:r>
              <w:t xml:space="preserve">Évite que chaque projet réinvente son réseau : on gagne du temps et du matériel (démarche responsable)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T</w:t>
            </w:r>
            <w:r>
              <w:t xml:space="preserve">emporel</w:t>
            </w:r>
          </w:p>
        </w:tc>
        <w:tc>
          <w:tcPr>
            <w:tcW w:w="4680" w:type="dxa"/>
          </w:tcPr>
          <w:p>
            <w:pPr/>
            <w:r>
              <w:t xml:space="preserve">Première soutenance en janvier 2027 (rendu du 10 janvier), fin du projet le 10 avril 2027</w:t>
            </w:r>
          </w:p>
        </w:tc>
      </w:tr>
    </w:tbl>
    <w:p>
      <w:pPr>
        <w:pStyle w:val="Heading2"/>
      </w:pPr>
      <w:r>
        <w:t xml:space="preserve">2. Contraintes</w:t>
      </w:r>
    </w:p>
    <w:p>
      <w:pPr/>
      <w:r>
        <w:t xml:space="preserve">Ce qui limite ce qu'on peut faire. Le temps et le budget pèsent le plus.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Contrainte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T</w:t>
            </w:r>
            <w:r>
              <w:t xml:space="preserve"> — Temps</w:t>
            </w:r>
          </w:p>
        </w:tc>
        <w:tc>
          <w:tcPr>
            <w:tcW w:w="4680" w:type="dxa"/>
          </w:tcPr>
          <w:p>
            <w:pPr/>
            <w:r>
              <w:t xml:space="preserve">Du 1er septembre 2026 au 10 avril 2027, avec une première soutenance en janvier ; des séances encadrées le mardi après-midi ; le matériel doit être commandé tôt car la livraison prend du temps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S</w:t>
            </w:r>
            <w:r>
              <w:t xml:space="preserve"> — Périmètre</w:t>
            </w:r>
          </w:p>
        </w:tc>
        <w:tc>
          <w:tcPr>
            <w:tcW w:w="4680" w:type="dxa"/>
          </w:tcPr>
          <w:p>
            <w:pPr/>
            <w:r>
              <w:t xml:space="preserve">On fournit les règles de communication et une maquette de test. On ne construit pas les véhicules des autres projets. Chaque projet garde son propre réseau, séparé des autres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C</w:t>
            </w:r>
            <w:r>
              <w:t xml:space="preserve"> — Coût</w:t>
            </w:r>
          </w:p>
        </w:tc>
        <w:tc>
          <w:tcPr>
            <w:tcW w:w="4680" w:type="dxa"/>
          </w:tcPr>
          <w:p>
            <w:pPr/>
            <w:r>
              <w:t xml:space="preserve">Environ 140 à 160 € pour la maquette, budget à faire valider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Q</w:t>
            </w:r>
            <w:r>
              <w:t xml:space="preserve"> — Qualité</w:t>
            </w:r>
          </w:p>
        </w:tc>
        <w:tc>
          <w:tcPr>
            <w:tcW w:w="4680" w:type="dxa"/>
          </w:tcPr>
          <w:p>
            <w:pPr/>
            <w:r>
              <w:t xml:space="preserve">Règles claires, testées, et compatibles avec le matériel des partenaires ; attention aux perturbations électriques près des moteurs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R</w:t>
            </w:r>
            <w:r>
              <w:t xml:space="preserve"> — Ressources</w:t>
            </w:r>
          </w:p>
        </w:tc>
        <w:tc>
          <w:tcPr>
            <w:tcW w:w="4680" w:type="dxa"/>
          </w:tcPr>
          <w:p>
            <w:pPr/>
            <w:r>
              <w:t xml:space="preserve">3 personnes ; on dépend des projets partenaires, qui ne savent pas encore tout ce dont ils ont besoin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M</w:t>
            </w:r>
            <w:r>
              <w:t xml:space="preserve"> — Gestion de projet</w:t>
            </w:r>
          </w:p>
        </w:tc>
        <w:tc>
          <w:tcPr>
            <w:tcW w:w="4680" w:type="dxa"/>
          </w:tcPr>
          <w:p>
            <w:pPr/>
            <w:r>
              <w:t xml:space="preserve">En plus de la technique, produire les documents de gestion (planning, qui fait quoi, risques, impact environnemental), car ils comptent beaucoup dans la note</w:t>
            </w:r>
          </w:p>
        </w:tc>
      </w:tr>
    </w:tbl>
    <w:p>
      <w:pPr>
        <w:pStyle w:val="Heading2"/>
      </w:pPr>
      <w:r>
        <w:t xml:space="preserve">3. PBS et OBS : ce qu'on livre et les compétences qu'il faut</w:t>
      </w:r>
    </w:p>
    <w:p>
      <w:pPr/>
      <w:r>
        <w:t xml:space="preserve">Le PBS range ce qu'on va produire, lot par lot. L'OBS liste les compétences dont on a besoin pour chaque lot.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Lot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Ce qu'on livre (PBS)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Compétences (OBS)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L0 — Pilotage</w:t>
            </w:r>
          </w:p>
        </w:tc>
        <w:tc>
          <w:tcPr>
            <w:tcW w:w="3120" w:type="dxa"/>
          </w:tcPr>
          <w:p>
            <w:pPr/>
            <w:r>
              <w:t xml:space="preserve">Planning, répartition des rôles, liste des risques, bilan final</w:t>
            </w:r>
          </w:p>
        </w:tc>
        <w:tc>
          <w:tcPr>
            <w:tcW w:w="3120" w:type="dxa"/>
          </w:tcPr>
          <w:p>
            <w:pPr/>
            <w:r>
              <w:t xml:space="preserve">Organiser, coordonner, communiquer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L1 — Règles de communication</w:t>
            </w:r>
          </w:p>
        </w:tc>
        <w:tc>
          <w:tcPr>
            <w:tcW w:w="3120" w:type="dxa"/>
          </w:tcPr>
          <w:p>
            <w:pPr/>
            <w:r>
              <w:t xml:space="preserve">Fiche de recueil des besoins, un document par projet partenaire</w:t>
            </w:r>
          </w:p>
        </w:tc>
        <w:tc>
          <w:tcPr>
            <w:tcW w:w="3120" w:type="dxa"/>
          </w:tcPr>
          <w:p>
            <w:pPr/>
            <w:r>
              <w:t xml:space="preserve">Comprendre le besoin des autres, rédiger clairement, connaître le bus CAN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L2 — Maquette de test</w:t>
            </w:r>
          </w:p>
        </w:tc>
        <w:tc>
          <w:tcPr>
            <w:tcW w:w="3120" w:type="dxa"/>
          </w:tcPr>
          <w:p>
            <w:pPr/>
            <w:r>
              <w:t xml:space="preserve">Dossier de conception, maquette de 4 cartes montée</w:t>
            </w:r>
          </w:p>
        </w:tc>
        <w:tc>
          <w:tcPr>
            <w:tcW w:w="3120" w:type="dxa"/>
          </w:tcPr>
          <w:p>
            <w:pPr/>
            <w:r>
              <w:t xml:space="preserve">Électronique, câblage, alimentation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L3 — Programmes</w:t>
            </w:r>
          </w:p>
        </w:tc>
        <w:tc>
          <w:tcPr>
            <w:tcW w:w="3120" w:type="dxa"/>
          </w:tcPr>
          <w:p>
            <w:pPr/>
            <w:r>
              <w:t xml:space="preserve">Programmes des cartes, affichage des résultats (écran et voyants)</w:t>
            </w:r>
          </w:p>
        </w:tc>
        <w:tc>
          <w:tcPr>
            <w:tcW w:w="3120" w:type="dxa"/>
          </w:tcPr>
          <w:p>
            <w:pPr/>
            <w:r>
              <w:t xml:space="preserve">Programmation de microcontrôleurs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L4 — Mesures</w:t>
            </w:r>
          </w:p>
        </w:tc>
        <w:tc>
          <w:tcPr>
            <w:tcW w:w="3120" w:type="dxa"/>
          </w:tcPr>
          <w:p>
            <w:pPr/>
            <w:r>
              <w:t xml:space="preserve">Plan de test, résultats</w:t>
            </w:r>
          </w:p>
        </w:tc>
        <w:tc>
          <w:tcPr>
            <w:tcW w:w="3120" w:type="dxa"/>
          </w:tcPr>
          <w:p>
            <w:pPr/>
            <w:r>
              <w:t xml:space="preserve">Méthode de test, mesure, analyse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L5 — Livrables finaux</w:t>
            </w:r>
          </w:p>
        </w:tc>
        <w:tc>
          <w:tcPr>
            <w:tcW w:w="3120" w:type="dxa"/>
          </w:tcPr>
          <w:p>
            <w:pPr/>
            <w:r>
              <w:t xml:space="preserve">Soutenances, rapport, réflexion environnementale</w:t>
            </w:r>
          </w:p>
        </w:tc>
        <w:tc>
          <w:tcPr>
            <w:tcW w:w="3120" w:type="dxa"/>
          </w:tcPr>
          <w:p>
            <w:pPr/>
            <w:r>
              <w:t xml:space="preserve">Synthèse, expression orale, écoconception</w:t>
            </w:r>
          </w:p>
        </w:tc>
      </w:tr>
    </w:tbl>
    <w:p>
      <w:pPr>
        <w:pStyle w:val="Heading2"/>
      </w:pPr>
      <w:r>
        <w:t xml:space="preserve">4. WBS : les tâches</w:t>
      </w:r>
    </w:p>
    <w:p>
      <w:pPr/>
      <w:r>
        <w:t xml:space="preserve">Le WBS découpe chaque lot en tâches, chacune commençant par un verbe. Version courte ; le détail est dans le planning.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Lot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Tâches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L0 — Pilotage</w:t>
            </w:r>
          </w:p>
        </w:tc>
        <w:tc>
          <w:tcPr>
            <w:tcW w:w="4680" w:type="dxa"/>
          </w:tcPr>
          <w:p>
            <w:pPr/>
            <w:r>
              <w:t xml:space="preserve">Planifier le projet ; Répartir les rôles ; Repérer les risques ; Faire le bilan final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L1 — Règles de communication</w:t>
            </w:r>
          </w:p>
        </w:tc>
        <w:tc>
          <w:tcPr>
            <w:tcW w:w="4680" w:type="dxa"/>
          </w:tcPr>
          <w:p>
            <w:pPr/>
            <w:r>
              <w:t xml:space="preserve">Recueillir les besoins des partenaires ; Rédiger les documents ; Les envoyer aux partenaires ; Les corriger selon leurs retours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L2 — Maquette de test</w:t>
            </w:r>
          </w:p>
        </w:tc>
        <w:tc>
          <w:tcPr>
            <w:tcW w:w="4680" w:type="dxa"/>
          </w:tcPr>
          <w:p>
            <w:pPr/>
            <w:r>
              <w:t xml:space="preserve">Concevoir la maquette ; Commander le matériel ; Câbler les cartes ; Monter la maquette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L3 — Programmes</w:t>
            </w:r>
          </w:p>
        </w:tc>
        <w:tc>
          <w:tcPr>
            <w:tcW w:w="4680" w:type="dxa"/>
          </w:tcPr>
          <w:p>
            <w:pPr/>
            <w:r>
              <w:t xml:space="preserve">Programmer les cartes ; Programmer l'affichage des résultats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L4 — Mesures</w:t>
            </w:r>
          </w:p>
        </w:tc>
        <w:tc>
          <w:tcPr>
            <w:tcW w:w="4680" w:type="dxa"/>
          </w:tcPr>
          <w:p>
            <w:pPr/>
            <w:r>
              <w:t xml:space="preserve">Écrire le plan de test ; Tester la gestion des priorités entre messages ; Simuler des pannes ; Analyser les résultats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L5 — Livrables finaux</w:t>
            </w:r>
          </w:p>
        </w:tc>
        <w:tc>
          <w:tcPr>
            <w:tcW w:w="4680" w:type="dxa"/>
          </w:tcPr>
          <w:p>
            <w:pPr/>
            <w:r>
              <w:t xml:space="preserve">Préparer les soutenances ; Rédiger le rapport ; Rédiger la réflexion environnementale</w:t>
            </w:r>
          </w:p>
        </w:tc>
      </w:tr>
    </w:tbl>
    <w:p>
      <w:pPr>
        <w:pStyle w:val="Heading2"/>
      </w:pPr>
      <w:r>
        <w:t xml:space="preserve">5. Risques : les questions à se poser</w:t>
      </w:r>
    </w:p>
    <w:p>
      <w:pPr/>
      <w:r>
        <w:t xml:space="preserve">Ces questions serviront de base à la liste des risques détaillée (probabilité et gravité).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Conséquence si ça se passe mal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Et si les projets partenaires ne répondent pas ou changent d'avis ?</w:t>
            </w:r>
          </w:p>
        </w:tc>
        <w:tc>
          <w:tcPr>
            <w:tcW w:w="4680" w:type="dxa"/>
          </w:tcPr>
          <w:p>
            <w:pPr/>
            <w:r>
              <w:t xml:space="preserve">Retard, et il faut tout revoir tard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Et si les besoins d'un projet (ex. Formula Student) restent flous ?</w:t>
            </w:r>
          </w:p>
        </w:tc>
        <w:tc>
          <w:tcPr>
            <w:tcW w:w="4680" w:type="dxa"/>
          </w:tcPr>
          <w:p>
            <w:pPr/>
            <w:r>
              <w:t xml:space="preserve">Document incomplet pour ce projet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Et si le matériel n'est pas commandé à temps ?</w:t>
            </w:r>
          </w:p>
        </w:tc>
        <w:tc>
          <w:tcPr>
            <w:tcW w:w="4680" w:type="dxa"/>
          </w:tcPr>
          <w:p>
            <w:pPr/>
            <w:r>
              <w:t xml:space="preserve">Pas de maquette à livrer en janvier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Et si un projet utilise un numéro de message réservé à nos tests ?</w:t>
            </w:r>
          </w:p>
        </w:tc>
        <w:tc>
          <w:tcPr>
            <w:tcW w:w="4680" w:type="dxa"/>
          </w:tcPr>
          <w:p>
            <w:pPr/>
            <w:r>
              <w:t xml:space="preserve">Les tests sont faussés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Et si le plan de test n'est pas écrit ?</w:t>
            </w:r>
          </w:p>
        </w:tc>
        <w:tc>
          <w:tcPr>
            <w:tcW w:w="4680" w:type="dxa"/>
          </w:tcPr>
          <w:p>
            <w:pPr/>
            <w:r>
              <w:t xml:space="preserve">La maquette existe mais ne prouve rien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Et si on néglige les documents de gestion de projet ?</w:t>
            </w:r>
          </w:p>
        </w:tc>
        <w:tc>
          <w:tcPr>
            <w:tcW w:w="4680" w:type="dxa"/>
          </w:tcPr>
          <w:p>
            <w:pPr/>
            <w:r>
              <w:t xml:space="preserve">Note limitée : la technique compte pour moins de 10 % de la note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Et si l'un de nous trois est indisponible ?</w:t>
            </w:r>
          </w:p>
        </w:tc>
        <w:tc>
          <w:tcPr>
            <w:tcW w:w="4680" w:type="dxa"/>
          </w:tcPr>
          <w:p>
            <w:pPr/>
            <w:r>
              <w:t xml:space="preserve">Les deux autres portent la charge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Et si on relâche l'effort après la soutenance de janvier ?</w:t>
            </w:r>
          </w:p>
        </w:tc>
        <w:tc>
          <w:tcPr>
            <w:tcW w:w="4680" w:type="dxa"/>
          </w:tcPr>
          <w:p>
            <w:pPr/>
            <w:r>
              <w:t xml:space="preserve">Peu d'avancement entre janvier et avril</w:t>
            </w:r>
          </w:p>
        </w:tc>
      </w:tr>
    </w:tbl>
    <w:p>
      <w:pPr>
        <w:pStyle w:val="Heading2"/>
      </w:pPr>
      <w:r>
        <w:t xml:space="preserve">6. Macroplanning</w:t>
      </w:r>
    </w:p>
    <w:p>
      <w:pPr/>
      <w:r>
        <w:t xml:space="preserve">Le projet tient en 6 phases, du 1er septembre 2026 au 10 avril 2027, avec la première soutenance en janvier. Les dates sont des propositions à ajuster ; le planning actuel s'arrête en janvier et devra être prolongé jusqu'en avril.</w:t>
      </w:r>
    </w:p>
    <w:tbl>
      <w:tblPr>
        <w:tblStyle w:val="TableGrid"/>
        <w:tblW w:w="9360" w:type="dxa"/>
        <w:tblLayout w:type="fixed"/>
        <w:tblLook w:val="04A0" w:firstRow="1" w:lastRow="0" w:firstColumn="0" w:lastColumn="0" w:noHBand="0" w:noVBand="1"/>
      </w:tblPr>
      <w:tblGrid>
        <w:gridCol w:w="3040"/>
        <w:gridCol w:w="790"/>
        <w:gridCol w:w="790"/>
        <w:gridCol w:w="790"/>
        <w:gridCol w:w="790"/>
        <w:gridCol w:w="790"/>
        <w:gridCol w:w="790"/>
        <w:gridCol w:w="790"/>
        <w:gridCol w:w="790"/>
      </w:tblGrid>
      <w:tr>
        <w:trPr>
          <w:tblHeader/>
        </w:trPr>
        <w:tc>
          <w:tcPr>
            <w:tcW w:w="3040" w:type="dxa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b/>
                <w:sz w:val="20"/>
              </w:rPr>
              <w:t xml:space="preserve">Phase</w:t>
            </w:r>
          </w:p>
        </w:tc>
        <w:tc>
          <w:tcPr>
            <w:tcW w:w="790" w:type="dxa"/>
            <w:shd w:val="clear" w:color="auto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 xml:space="preserve">Sept.</w:t>
            </w:r>
          </w:p>
        </w:tc>
        <w:tc>
          <w:tcPr>
            <w:tcW w:w="790" w:type="dxa"/>
            <w:shd w:val="clear" w:color="auto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 xml:space="preserve">Oct.</w:t>
            </w:r>
          </w:p>
        </w:tc>
        <w:tc>
          <w:tcPr>
            <w:tcW w:w="790" w:type="dxa"/>
            <w:shd w:val="clear" w:color="auto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 xml:space="preserve">Nov.</w:t>
            </w:r>
          </w:p>
        </w:tc>
        <w:tc>
          <w:tcPr>
            <w:tcW w:w="790" w:type="dxa"/>
            <w:shd w:val="clear" w:color="auto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 xml:space="preserve">Déc.</w:t>
            </w:r>
          </w:p>
        </w:tc>
        <w:tc>
          <w:tcPr>
            <w:tcW w:w="790" w:type="dxa"/>
            <w:shd w:val="clear" w:color="auto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 xml:space="preserve">Janv.</w:t>
            </w:r>
          </w:p>
        </w:tc>
        <w:tc>
          <w:tcPr>
            <w:tcW w:w="790" w:type="dxa"/>
            <w:shd w:val="clear" w:color="auto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 xml:space="preserve">Févr.</w:t>
            </w:r>
          </w:p>
        </w:tc>
        <w:tc>
          <w:tcPr>
            <w:tcW w:w="790" w:type="dxa"/>
            <w:shd w:val="clear" w:color="auto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 xml:space="preserve">Mars</w:t>
            </w:r>
          </w:p>
        </w:tc>
        <w:tc>
          <w:tcPr>
            <w:tcW w:w="790" w:type="dxa"/>
            <w:shd w:val="clear" w:color="auto" w:fill="F2F2F2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 xml:space="preserve">Avr.</w:t>
            </w:r>
          </w:p>
        </w:tc>
      </w:tr>
      <w:tr>
        <w:trPr>
          <w:trHeight w:val="400"/>
        </w:trPr>
        <w:tc>
          <w:tcPr>
            <w:tcW w:w="3040" w:type="dx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 xml:space="preserve">1. Cadrage et besoins</w:t>
            </w:r>
          </w:p>
        </w:tc>
        <w:tc>
          <w:tcPr>
            <w:tcW w:w="790" w:type="dxa"/>
            <w:shd w:val="clear" w:color="auto" w:fill="2E75B6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shd w:val="clear" w:color="auto" w:fill="2E75B6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vAlign w:val="center"/>
          </w:tcPr>
          <w:p>
            <w:pPr>
              <w:spacing w:before="60" w:after="60"/>
            </w:pPr>
          </w:p>
        </w:tc>
      </w:tr>
      <w:tr>
        <w:trPr>
          <w:trHeight w:val="400"/>
        </w:trPr>
        <w:tc>
          <w:tcPr>
            <w:tcW w:w="3040" w:type="dx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 xml:space="preserve">2. Conception de la maquette</w:t>
            </w:r>
          </w:p>
        </w:tc>
        <w:tc>
          <w:tcPr>
            <w:tcW w:w="790" w:type="dxa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shd w:val="clear" w:color="auto" w:fill="2E75B6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shd w:val="clear" w:color="auto" w:fill="2E75B6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vAlign w:val="center"/>
          </w:tcPr>
          <w:p>
            <w:pPr>
              <w:spacing w:before="60" w:after="60"/>
            </w:pPr>
          </w:p>
        </w:tc>
      </w:tr>
      <w:tr>
        <w:trPr>
          <w:trHeight w:val="400"/>
        </w:trPr>
        <w:tc>
          <w:tcPr>
            <w:tcW w:w="3040" w:type="dx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 xml:space="preserve">3. Réalisation</w:t>
            </w:r>
          </w:p>
        </w:tc>
        <w:tc>
          <w:tcPr>
            <w:tcW w:w="790" w:type="dxa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shd w:val="clear" w:color="auto" w:fill="2E75B6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shd w:val="clear" w:color="auto" w:fill="2E75B6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vAlign w:val="center"/>
          </w:tcPr>
          <w:p>
            <w:pPr>
              <w:spacing w:before="60" w:after="60"/>
            </w:pPr>
          </w:p>
        </w:tc>
      </w:tr>
      <w:tr>
        <w:trPr>
          <w:trHeight w:val="400"/>
        </w:trPr>
        <w:tc>
          <w:tcPr>
            <w:tcW w:w="3040" w:type="dx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 xml:space="preserve">4. Tests et 1re soutenance (janv.)</w:t>
            </w:r>
          </w:p>
        </w:tc>
        <w:tc>
          <w:tcPr>
            <w:tcW w:w="790" w:type="dxa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shd w:val="clear" w:color="auto" w:fill="2E75B6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shd w:val="clear" w:color="auto" w:fill="2E75B6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vAlign w:val="center"/>
          </w:tcPr>
          <w:p>
            <w:pPr>
              <w:spacing w:before="60" w:after="60"/>
            </w:pPr>
          </w:p>
        </w:tc>
      </w:tr>
      <w:tr>
        <w:trPr>
          <w:trHeight w:val="400"/>
        </w:trPr>
        <w:tc>
          <w:tcPr>
            <w:tcW w:w="3040" w:type="dx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 xml:space="preserve">5. Suite avec les partenaires</w:t>
            </w:r>
          </w:p>
        </w:tc>
        <w:tc>
          <w:tcPr>
            <w:tcW w:w="790" w:type="dxa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shd w:val="clear" w:color="auto" w:fill="2E75B6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shd w:val="clear" w:color="auto" w:fill="2E75B6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vAlign w:val="center"/>
          </w:tcPr>
          <w:p>
            <w:pPr>
              <w:spacing w:before="60" w:after="60"/>
            </w:pPr>
          </w:p>
        </w:tc>
      </w:tr>
      <w:tr>
        <w:trPr>
          <w:trHeight w:val="400"/>
        </w:trPr>
        <w:tc>
          <w:tcPr>
            <w:tcW w:w="3040" w:type="dx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 xml:space="preserve">6. Bilan et soutenance finale</w:t>
            </w:r>
          </w:p>
        </w:tc>
        <w:tc>
          <w:tcPr>
            <w:tcW w:w="790" w:type="dxa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shd w:val="clear" w:color="auto" w:fill="2E75B6"/>
            <w:vAlign w:val="center"/>
          </w:tcPr>
          <w:p>
            <w:pPr>
              <w:spacing w:before="60" w:after="60"/>
            </w:pPr>
          </w:p>
        </w:tc>
        <w:tc>
          <w:tcPr>
            <w:tcW w:w="790" w:type="dxa"/>
            <w:shd w:val="clear" w:color="auto" w:fill="2E75B6"/>
            <w:vAlign w:val="center"/>
          </w:tcPr>
          <w:p>
            <w:pPr>
              <w:spacing w:before="60" w:after="60"/>
            </w:pPr>
          </w:p>
        </w:tc>
      </w:tr>
      <w:tr>
        <w:trPr>
          <w:trHeight w:val="400"/>
        </w:trPr>
        <w:tc>
          <w:tcPr>
            <w:tcW w:w="3040" w:type="dxa"/>
            <w:vAlign w:val="center"/>
          </w:tcPr>
          <w:p>
            <w:pPr>
              <w:spacing w:before="60" w:after="60"/>
            </w:pPr>
            <w:r>
              <w:rPr>
                <w:b/>
                <w:sz w:val="20"/>
              </w:rPr>
              <w:t xml:space="preserve">Jalons</w:t>
            </w:r>
          </w:p>
        </w:tc>
        <w:tc>
          <w:tcPr>
            <w:tcW w:w="790" w:type="dxa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 xml:space="preserve">◆ J1</w:t>
            </w:r>
          </w:p>
        </w:tc>
        <w:tc>
          <w:tcPr>
            <w:tcW w:w="790" w:type="dxa"/>
            <w:vAlign w:val="center"/>
          </w:tcPr>
          <w:p>
            <w:pPr>
              <w:spacing w:before="60" w:after="60"/>
              <w:jc w:val="center"/>
            </w:pPr>
          </w:p>
        </w:tc>
        <w:tc>
          <w:tcPr>
            <w:tcW w:w="790" w:type="dxa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 xml:space="preserve">◆ J2</w:t>
            </w:r>
          </w:p>
        </w:tc>
        <w:tc>
          <w:tcPr>
            <w:tcW w:w="790" w:type="dxa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 xml:space="preserve">◆ J3</w:t>
            </w:r>
          </w:p>
        </w:tc>
        <w:tc>
          <w:tcPr>
            <w:tcW w:w="790" w:type="dxa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 xml:space="preserve">◆ J4</w:t>
            </w:r>
          </w:p>
        </w:tc>
        <w:tc>
          <w:tcPr>
            <w:tcW w:w="790" w:type="dxa"/>
            <w:vAlign w:val="center"/>
          </w:tcPr>
          <w:p>
            <w:pPr>
              <w:spacing w:before="60" w:after="60"/>
              <w:jc w:val="center"/>
            </w:pPr>
          </w:p>
        </w:tc>
        <w:tc>
          <w:tcPr>
            <w:tcW w:w="790" w:type="dxa"/>
            <w:vAlign w:val="center"/>
          </w:tcPr>
          <w:p>
            <w:pPr>
              <w:spacing w:before="60" w:after="60"/>
              <w:jc w:val="center"/>
            </w:pPr>
          </w:p>
        </w:tc>
        <w:tc>
          <w:tcPr>
            <w:tcW w:w="790" w:type="dxa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 xml:space="preserve">◆ J5</w:t>
            </w:r>
          </w:p>
        </w:tc>
      </w:tr>
    </w:tbl>
    <w:p>
      <w:pPr>
        <w:spacing w:before="100" w:after="100"/>
      </w:pPr>
      <w:r>
        <w:rPr>
          <w:sz w:val="18"/>
        </w:rPr>
        <w:t xml:space="preserve">J1 matériel commandé · J2 les 4 cartes communiquent · J3 test réussi sur la maquette · J4 soutenance de janvier (rendu du 10 janvier) · J5 soutenance finale (10 avril)</w:t>
      </w:r>
    </w:p>
    <w:p>
      <w:pPr/>
      <w:r>
        <w:t xml:space="preserve">Les documents restent modifiables pendant tout le projet : on fait des points réguliers avec les partenaires plutôt qu'un seul recueil de besoins.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Note de pré-cadrage V1 — Projet 2A Bus CAN</dc:title>
  <dc:description>Claude Docs node/c81f85c8-b193@28 docx-w6</dc:description>
  <cp:revision>28</cp:revision>
</cp:coreProperties>
</file>