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spacing w:before="0" w:after="80" w:line="269" w:lineRule="auto"/>
        <w:jc w:val="center"/>
      </w:pPr>
      <w:r>
        <w:t>Dual PTEC Precision Material Processing</w:t>
      </w:r>
    </w:p>
    <w:p>
      <w:pPr>
        <w:pStyle w:val="SubCustom"/>
        <w:spacing w:before="0" w:after="360" w:line="269" w:lineRule="auto"/>
        <w:jc w:val="center"/>
      </w:pPr>
      <w:r>
        <w:t>Non-Operational White Paper PoC for Mining, Cutting, and Precision Material Ablation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5D0DB"/>
          <w:left w:val="single" w:sz="8" w:space="0" w:color="C5D0DB"/>
          <w:bottom w:val="single" w:sz="8" w:space="0" w:color="C5D0DB"/>
          <w:right w:val="single" w:sz="8" w:space="0" w:color="C5D0DB"/>
          <w:insideH w:val="single" w:sz="8" w:space="0" w:color="C5D0DB"/>
          <w:insideV w:val="single" w:sz="8" w:space="0" w:color="C5D0DB"/>
        </w:tblBorders>
      </w:tblPr>
      <w:tblGrid>
        <w:gridCol w:w="5040"/>
        <w:gridCol w:w="5040"/>
      </w:tblGrid>
      <w:tr>
        <w:trPr>
          <w:trHeight w:hRule="atLeast"/>
        </w:trP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3F8"/>
          </w:tcPr>
          <w:p>
            <w:pPr>
              <w:spacing w:before="0" w:after="0" w:line="259" w:lineRule="auto"/>
            </w:pPr>
            <w:r>
              <w:t>Document Type</w:t>
            </w:r>
          </w:p>
        </w:tc>
        <w:tc>
          <w:tcPr>
            <w:tcW w:type="dxa" w:w="64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59" w:lineRule="auto"/>
            </w:pPr>
            <w:r>
              <w:t>Non-operational industrial materials-processing proof-of-concept white paper</w:t>
            </w:r>
          </w:p>
        </w:tc>
      </w:tr>
      <w:tr>
        <w:trPr>
          <w:trHeight w:hRule="atLeast"/>
        </w:trP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3F8"/>
          </w:tcPr>
          <w:p>
            <w:pPr>
              <w:spacing w:before="0" w:after="0" w:line="259" w:lineRule="auto"/>
            </w:pPr>
            <w:r>
              <w:t>Concept Thesis</w:t>
            </w:r>
          </w:p>
        </w:tc>
        <w:tc>
          <w:tcPr>
            <w:tcW w:type="dxa" w:w="64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59" w:lineRule="auto"/>
            </w:pPr>
            <w:r>
              <w:t>Use dual spinning PTECs as a resonance core and shared corridor-forming system for a precision material-processing beam, with CPSS acting as the conditioning backbone.</w:t>
            </w:r>
          </w:p>
        </w:tc>
      </w:tr>
      <w:tr>
        <w:trPr>
          <w:trHeight w:hRule="atLeast"/>
        </w:trP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3F8"/>
          </w:tcPr>
          <w:p>
            <w:pPr>
              <w:spacing w:before="0" w:after="0" w:line="259" w:lineRule="auto"/>
            </w:pPr>
            <w:r>
              <w:t>Primary Use</w:t>
            </w:r>
          </w:p>
        </w:tc>
        <w:tc>
          <w:tcPr>
            <w:tcW w:type="dxa" w:w="64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59" w:lineRule="auto"/>
            </w:pPr>
            <w:r>
              <w:t>Mining, cutting, boring, precision ablation, and non-contact industrial material weakening</w:t>
            </w:r>
          </w:p>
        </w:tc>
      </w:tr>
      <w:tr>
        <w:trPr>
          <w:trHeight w:hRule="atLeast"/>
        </w:trPr>
        <w:tc>
          <w:tcPr>
            <w:tcW w:type="dxa" w:w="309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3F8"/>
          </w:tcPr>
          <w:p>
            <w:pPr>
              <w:spacing w:before="0" w:after="0" w:line="259" w:lineRule="auto"/>
            </w:pPr>
            <w:r>
              <w:t>Status</w:t>
            </w:r>
          </w:p>
        </w:tc>
        <w:tc>
          <w:tcPr>
            <w:tcW w:type="dxa" w:w="640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59" w:lineRule="auto"/>
            </w:pPr>
            <w:r>
              <w:t>Concept architecture draft; non-operational and non-buildable framing</w:t>
            </w:r>
          </w:p>
        </w:tc>
      </w:tr>
    </w:tbl>
    <w:p>
      <w:pPr>
        <w:spacing w:before="160" w:after="60" w:line="269" w:lineRule="auto"/>
        <w:jc w:val="center"/>
      </w:pPr>
      <w:r>
        <w:rPr>
          <w:b/>
          <w:color w:val="213555"/>
          <w:sz w:val="26"/>
        </w:rPr>
        <w:t>Abstract</w:t>
      </w:r>
    </w:p>
    <w:p>
      <w:pPr>
        <w:spacing w:before="0" w:after="140" w:line="278" w:lineRule="auto"/>
      </w:pPr>
      <w:r>
        <w:t>This proof of concept frames a dual-PTEC system as the resonance core of an industrial beam tool rather than as a conventional optical laser. Two spinning or counter-oscillating PTECs define a stabilized energy corridor, a CPSS layer conditions and smooths the power environment behind the system, and a shared beam path feeds an aperture or lens stage that turns the corridor into a controllable material-processing output. The strongest use cases are precision mining, cutting, boring, and non-contact ablation in difficult environments. This document is intentionally non-operational: it describes architectural roles, boundaries, and testable conceptual interfaces without providing construction instructions or actionable hazardous-device detail.</w:t>
      </w:r>
    </w:p>
    <w:p>
      <w:r>
        <w:drawing>
          <wp:inline xmlns:a="http://schemas.openxmlformats.org/drawingml/2006/main" xmlns:pic="http://schemas.openxmlformats.org/drawingml/2006/picture">
            <wp:extent cx="6217920" cy="3730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al_ptec_precision_material_processing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40" w:line="269" w:lineRule="auto"/>
        <w:jc w:val="center"/>
      </w:pPr>
      <w:r>
        <w:rPr>
          <w:color w:val="606874"/>
          <w:sz w:val="18"/>
        </w:rPr>
        <w:t>Figure 1. High-level dual-PTEC materials-processing architecture with resonance core, shared beam corridor, CPSS conditioning, and precision beam head.</w:t>
      </w:r>
    </w:p>
    <w:p>
      <w:pPr>
        <w:pStyle w:val="H1"/>
        <w:spacing w:before="160" w:after="80" w:line="269" w:lineRule="auto"/>
      </w:pPr>
      <w:r>
        <w:t>1. Concept Thesis</w:t>
      </w:r>
    </w:p>
    <w:p>
      <w:pPr>
        <w:spacing w:before="0" w:after="140" w:line="278" w:lineRule="auto"/>
      </w:pPr>
      <w:r>
        <w:t>The central idea is to reinterpret dual spinning PTECs as a controlled resonance and corridor-forming system for industrial energy delivery. A single energetic source tends to create a contained or recirculating field. A paired source architecture can instead bias a shared axis, creating a more useful corridor for shaping, collimating, and directing energy into a target-facing beam head.</w:t>
      </w:r>
    </w:p>
    <w:p>
      <w:pPr>
        <w:spacing w:before="0" w:after="140" w:line="278" w:lineRule="auto"/>
      </w:pPr>
      <w:r>
        <w:t>That makes the concept more coherent as a precision beam tool than as a simple 'laser' claim. The system is better understood as a field-collimated materials-processing emitter.</w:t>
      </w:r>
    </w:p>
    <w:p>
      <w:pPr>
        <w:pStyle w:val="H1"/>
        <w:spacing w:before="160" w:after="80" w:line="269" w:lineRule="auto"/>
      </w:pPr>
      <w:r>
        <w:t>2. Why the Source Concepts Fit Together</w:t>
      </w:r>
    </w:p>
    <w:p>
      <w:pPr>
        <w:spacing w:before="0" w:after="140" w:line="278" w:lineRule="auto"/>
      </w:pPr>
      <w:r>
        <w:t>The LEVITATION-X mining concept already frames dual PTECs as the heart of a non-contact mining and material-disintegration platform, using a shared energy path, plasma support, and directional release idea.</w:t>
      </w:r>
    </w:p>
    <w:p>
      <w:pPr>
        <w:spacing w:before="0" w:after="140" w:line="278" w:lineRule="auto"/>
      </w:pPr>
      <w:r>
        <w:t>The Dual Resonant Launch Chamber note supports the corridor logic behind that claim: two PTECs can form a shared guided axis whose job is to produce directional rather than purely contained behavior.</w:t>
      </w:r>
    </w:p>
    <w:p>
      <w:pPr>
        <w:spacing w:before="0" w:after="140" w:line="278" w:lineRule="auto"/>
      </w:pPr>
      <w:r>
        <w:t>The CPSS brief adds the most credible support layer for power smoothing, transient handling, and adaptive delivery behind the resonant core.</w:t>
      </w:r>
    </w:p>
    <w:p>
      <w:pPr>
        <w:pStyle w:val="H1"/>
        <w:spacing w:before="160" w:after="80" w:line="269" w:lineRule="auto"/>
      </w:pPr>
      <w:r>
        <w:t>3. System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4D3"/>
          <w:left w:val="single" w:sz="8" w:space="0" w:color="B7C4D3"/>
          <w:bottom w:val="single" w:sz="8" w:space="0" w:color="B7C4D3"/>
          <w:right w:val="single" w:sz="8" w:space="0" w:color="B7C4D3"/>
          <w:insideH w:val="single" w:sz="8" w:space="0" w:color="B7C4D3"/>
          <w:insideV w:val="single" w:sz="8" w:space="0" w:color="B7C4D3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296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</w:rPr>
              <w:t>Layer</w:t>
            </w:r>
          </w:p>
        </w:tc>
        <w:tc>
          <w:tcPr>
            <w:tcW w:type="dxa" w:w="2592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</w:rPr>
              <w:t>Subsystem</w:t>
            </w:r>
          </w:p>
        </w:tc>
        <w:tc>
          <w:tcPr>
            <w:tcW w:type="dxa" w:w="3384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</w:rPr>
              <w:t>Primary Function</w:t>
            </w:r>
          </w:p>
        </w:tc>
        <w:tc>
          <w:tcPr>
            <w:tcW w:type="dxa" w:w="2376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</w:rPr>
              <w:t>Role</w:t>
            </w:r>
          </w:p>
        </w:tc>
      </w:tr>
      <w:tr>
        <w:tc>
          <w:tcPr>
            <w:tcW w:type="dxa" w:w="1296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L1</w:t>
            </w:r>
          </w:p>
        </w:tc>
        <w:tc>
          <w:tcPr>
            <w:tcW w:type="dxa" w:w="2592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t>Dual PTEC Pair</w:t>
            </w:r>
          </w:p>
        </w:tc>
        <w:tc>
          <w:tcPr>
            <w:tcW w:type="dxa" w:w="3384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t>Create the resonance core and directional bias around a shared axis.</w:t>
            </w:r>
          </w:p>
        </w:tc>
        <w:tc>
          <w:tcPr>
            <w:tcW w:type="dxa" w:w="2376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Corridor-forming source</w:t>
            </w:r>
          </w:p>
        </w:tc>
      </w:tr>
      <w:tr>
        <w:tc>
          <w:tcPr>
            <w:tcW w:type="dxa" w:w="1296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L2</w:t>
            </w:r>
          </w:p>
        </w:tc>
        <w:tc>
          <w:tcPr>
            <w:tcW w:type="dxa" w:w="2592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t>Shared Beam Corridor</w:t>
            </w:r>
          </w:p>
        </w:tc>
        <w:tc>
          <w:tcPr>
            <w:tcW w:type="dxa" w:w="3384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t>Carry stabilized energy through a guided path between source and output stage.</w:t>
            </w:r>
          </w:p>
        </w:tc>
        <w:tc>
          <w:tcPr>
            <w:tcW w:type="dxa" w:w="2376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Controlled channel</w:t>
            </w:r>
          </w:p>
        </w:tc>
      </w:tr>
      <w:tr>
        <w:tc>
          <w:tcPr>
            <w:tcW w:type="dxa" w:w="1296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L3</w:t>
            </w:r>
          </w:p>
        </w:tc>
        <w:tc>
          <w:tcPr>
            <w:tcW w:type="dxa" w:w="2592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t>CPSS Conditioning Layer</w:t>
            </w:r>
          </w:p>
        </w:tc>
        <w:tc>
          <w:tcPr>
            <w:tcW w:type="dxa" w:w="3384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t>Buffer, smooth, and discipline power delivery behind the beam system.</w:t>
            </w:r>
          </w:p>
        </w:tc>
        <w:tc>
          <w:tcPr>
            <w:tcW w:type="dxa" w:w="2376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Stability backbone</w:t>
            </w:r>
          </w:p>
        </w:tc>
      </w:tr>
      <w:tr>
        <w:tc>
          <w:tcPr>
            <w:tcW w:type="dxa" w:w="1296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L4</w:t>
            </w:r>
          </w:p>
        </w:tc>
        <w:tc>
          <w:tcPr>
            <w:tcW w:type="dxa" w:w="2592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t>Aperture / Lens Stage</w:t>
            </w:r>
          </w:p>
        </w:tc>
        <w:tc>
          <w:tcPr>
            <w:tcW w:type="dxa" w:w="3384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t>Collimate and tune the output for target-facing processing.</w:t>
            </w:r>
          </w:p>
        </w:tc>
        <w:tc>
          <w:tcPr>
            <w:tcW w:type="dxa" w:w="2376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Precision shaping</w:t>
            </w:r>
          </w:p>
        </w:tc>
      </w:tr>
      <w:tr>
        <w:tc>
          <w:tcPr>
            <w:tcW w:type="dxa" w:w="1296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L5</w:t>
            </w:r>
          </w:p>
        </w:tc>
        <w:tc>
          <w:tcPr>
            <w:tcW w:type="dxa" w:w="2592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t>Industrial Target Interface</w:t>
            </w:r>
          </w:p>
        </w:tc>
        <w:tc>
          <w:tcPr>
            <w:tcW w:type="dxa" w:w="3384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t>Apply energy to rock, ore, crust, or material stock in a controlled way.</w:t>
            </w:r>
          </w:p>
        </w:tc>
        <w:tc>
          <w:tcPr>
            <w:tcW w:type="dxa" w:w="2376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Work surface</w:t>
            </w:r>
          </w:p>
        </w:tc>
      </w:tr>
    </w:tbl>
    <w:p/>
    <w:p>
      <w:pPr>
        <w:pStyle w:val="H2"/>
        <w:spacing w:before="100" w:after="40" w:line="269" w:lineRule="auto"/>
      </w:pPr>
      <w:r>
        <w:t>3.1 Dual Resonance Core</w:t>
      </w:r>
    </w:p>
    <w:p>
      <w:pPr>
        <w:spacing w:before="0" w:after="140" w:line="278" w:lineRule="auto"/>
      </w:pPr>
      <w:r>
        <w:t>The paired PTECs are most useful when treated as a resonance core rather than as two independent emitters. Their job is to create a controllable shared zone that can be biased, stabilized, and routed into a useful axis for materials processing.</w:t>
      </w:r>
    </w:p>
    <w:p>
      <w:pPr>
        <w:pStyle w:val="H2"/>
        <w:spacing w:before="100" w:after="40" w:line="269" w:lineRule="auto"/>
      </w:pPr>
      <w:r>
        <w:t>3.2 Shared Corridor</w:t>
      </w:r>
    </w:p>
    <w:p>
      <w:pPr>
        <w:spacing w:before="0" w:after="140" w:line="278" w:lineRule="auto"/>
      </w:pPr>
      <w:r>
        <w:t>The corridor is the architectural upgrade. Instead of allowing the energetic state to remain diffuse or purely internal, the system feeds a common path that becomes the basis for shaping a processing beam. This is consistent with the earlier corridor logic used in the launch-chamber concept.</w:t>
      </w:r>
    </w:p>
    <w:p>
      <w:pPr>
        <w:pStyle w:val="H2"/>
        <w:spacing w:before="100" w:after="40" w:line="269" w:lineRule="auto"/>
      </w:pPr>
      <w:r>
        <w:t>3.3 CPSS Backing Layer</w:t>
      </w:r>
    </w:p>
    <w:p>
      <w:pPr>
        <w:spacing w:before="0" w:after="140" w:line="278" w:lineRule="auto"/>
      </w:pPr>
      <w:r>
        <w:t>CPSS is strongest here as a conditioning and reserve layer. Its conceptual value is in smoothing transient delivery, buffering irregular input, and helping the overall beam system behave like a disciplined industrial tool rather than an unstable burst source.</w:t>
      </w:r>
    </w:p>
    <w:p>
      <w:pPr>
        <w:pStyle w:val="H1"/>
        <w:spacing w:before="160" w:after="80" w:line="269" w:lineRule="auto"/>
      </w:pPr>
      <w:r>
        <w:t>4. Most Credible Use Cases</w:t>
      </w:r>
    </w:p>
    <w:p>
      <w:pPr>
        <w:spacing w:before="0" w:after="40" w:line="269" w:lineRule="auto"/>
        <w:ind w:left="360" w:hanging="230"/>
      </w:pPr>
      <w:r>
        <w:rPr>
          <w:b/>
        </w:rPr>
        <w:t xml:space="preserve">• </w:t>
      </w:r>
      <w:r>
        <w:t>Orbital or remote mining in environments where physical contact is difficult.</w:t>
      </w:r>
    </w:p>
    <w:p>
      <w:pPr>
        <w:spacing w:before="0" w:after="40" w:line="269" w:lineRule="auto"/>
        <w:ind w:left="360" w:hanging="230"/>
      </w:pPr>
      <w:r>
        <w:rPr>
          <w:b/>
        </w:rPr>
        <w:t xml:space="preserve">• </w:t>
      </w:r>
      <w:r>
        <w:t>Precision boring, trenching, or localized crust weakening.</w:t>
      </w:r>
    </w:p>
    <w:p>
      <w:pPr>
        <w:spacing w:before="0" w:after="40" w:line="269" w:lineRule="auto"/>
        <w:ind w:left="360" w:hanging="230"/>
      </w:pPr>
      <w:r>
        <w:rPr>
          <w:b/>
        </w:rPr>
        <w:t xml:space="preserve">• </w:t>
      </w:r>
      <w:r>
        <w:t>Non-contact cutting or ablation of engineered materials.</w:t>
      </w:r>
    </w:p>
    <w:p>
      <w:pPr>
        <w:spacing w:before="0" w:after="40" w:line="269" w:lineRule="auto"/>
        <w:ind w:left="360" w:hanging="230"/>
      </w:pPr>
      <w:r>
        <w:rPr>
          <w:b/>
        </w:rPr>
        <w:t xml:space="preserve">• </w:t>
      </w:r>
      <w:r>
        <w:t>Material surface conditioning where minimal kinetic debris is preferred.</w:t>
      </w:r>
    </w:p>
    <w:p>
      <w:pPr>
        <w:spacing w:before="0" w:after="40" w:line="269" w:lineRule="auto"/>
        <w:ind w:left="360" w:hanging="230"/>
      </w:pPr>
      <w:r>
        <w:rPr>
          <w:b/>
        </w:rPr>
        <w:t xml:space="preserve">• </w:t>
      </w:r>
      <w:r>
        <w:t>Drone-mounted or fixed industrial processing heads for harsh environments.</w:t>
      </w:r>
    </w:p>
    <w:p>
      <w:pPr>
        <w:pStyle w:val="H1"/>
        <w:spacing w:before="160" w:after="80" w:line="269" w:lineRule="auto"/>
      </w:pPr>
      <w:r>
        <w:t>5. Why This Is Better Than Calling It 'Just a Laser'</w:t>
      </w:r>
    </w:p>
    <w:p>
      <w:pPr>
        <w:spacing w:before="0" w:after="40" w:line="269" w:lineRule="auto"/>
        <w:ind w:left="360" w:hanging="230"/>
      </w:pPr>
      <w:r>
        <w:rPr>
          <w:b/>
        </w:rPr>
        <w:t xml:space="preserve">• </w:t>
      </w:r>
      <w:r>
        <w:t>The architecture depends on paired field sources and a corridor, not only an optical emitter.</w:t>
      </w:r>
    </w:p>
    <w:p>
      <w:pPr>
        <w:spacing w:before="0" w:after="40" w:line="269" w:lineRule="auto"/>
        <w:ind w:left="360" w:hanging="230"/>
      </w:pPr>
      <w:r>
        <w:rPr>
          <w:b/>
        </w:rPr>
        <w:t xml:space="preserve">• </w:t>
      </w:r>
      <w:r>
        <w:t>CPSS contributes as a systems-level stability layer rather than as the beam itself.</w:t>
      </w:r>
    </w:p>
    <w:p>
      <w:pPr>
        <w:spacing w:before="0" w:after="40" w:line="269" w:lineRule="auto"/>
        <w:ind w:left="360" w:hanging="230"/>
      </w:pPr>
      <w:r>
        <w:rPr>
          <w:b/>
        </w:rPr>
        <w:t xml:space="preserve">• </w:t>
      </w:r>
      <w:r>
        <w:t>The concept is strongest in industrial processing roles, not in simple handheld-laser metaphors.</w:t>
      </w:r>
    </w:p>
    <w:p>
      <w:pPr>
        <w:spacing w:before="0" w:after="40" w:line="269" w:lineRule="auto"/>
        <w:ind w:left="360" w:hanging="230"/>
      </w:pPr>
      <w:r>
        <w:rPr>
          <w:b/>
        </w:rPr>
        <w:t xml:space="preserve">• </w:t>
      </w:r>
      <w:r>
        <w:t>The beam head can be framed as a target-coupled machining interface instead of a generic light source.</w:t>
      </w:r>
    </w:p>
    <w:p>
      <w:pPr>
        <w:pStyle w:val="H1"/>
        <w:spacing w:before="160" w:after="80" w:line="269" w:lineRule="auto"/>
      </w:pPr>
      <w:r>
        <w:t>6. Boundaries and Realism</w:t>
      </w:r>
    </w:p>
    <w:p>
      <w:pPr>
        <w:spacing w:before="0" w:after="140" w:line="278" w:lineRule="auto"/>
      </w:pPr>
      <w:r>
        <w:t>This paper intentionally avoids operational or buildable device detail. The concept should not be oversold as a complete working laser design, a deployable weapon, or an immediately practical hazardous machine. Its strongest value is as a non-operational systems concept for how dual resonant sources, a conditioned corridor, and a precision output stage might be packaged into an industrial materials-processing framework.</w:t>
      </w:r>
    </w:p>
    <w:p>
      <w:pPr>
        <w:spacing w:before="0" w:after="40" w:line="269" w:lineRule="auto"/>
        <w:ind w:left="360" w:hanging="230"/>
      </w:pPr>
      <w:r>
        <w:rPr>
          <w:b/>
        </w:rPr>
        <w:t xml:space="preserve">• </w:t>
      </w:r>
      <w:r>
        <w:t>Best understood as a non-operational industrial PoC, not as a build guide.</w:t>
      </w:r>
    </w:p>
    <w:p>
      <w:pPr>
        <w:spacing w:before="0" w:after="40" w:line="269" w:lineRule="auto"/>
        <w:ind w:left="360" w:hanging="230"/>
      </w:pPr>
      <w:r>
        <w:rPr>
          <w:b/>
        </w:rPr>
        <w:t xml:space="preserve">• </w:t>
      </w:r>
      <w:r>
        <w:t>Most coherent for mining, cutting, and ablation framing rather than weapon framing.</w:t>
      </w:r>
    </w:p>
    <w:p>
      <w:pPr>
        <w:spacing w:before="0" w:after="40" w:line="269" w:lineRule="auto"/>
        <w:ind w:left="360" w:hanging="230"/>
      </w:pPr>
      <w:r>
        <w:rPr>
          <w:b/>
        </w:rPr>
        <w:t xml:space="preserve">• </w:t>
      </w:r>
      <w:r>
        <w:t>Real performance would still depend on corridor stability, thermal limits, and target coupling.</w:t>
      </w:r>
    </w:p>
    <w:p>
      <w:pPr>
        <w:spacing w:before="0" w:after="40" w:line="269" w:lineRule="auto"/>
        <w:ind w:left="360" w:hanging="230"/>
      </w:pPr>
      <w:r>
        <w:rPr>
          <w:b/>
        </w:rPr>
        <w:t xml:space="preserve">• </w:t>
      </w:r>
      <w:r>
        <w:t>The paired source architecture is the key conceptual contribution, not any one standalone emitter claim.</w:t>
      </w:r>
    </w:p>
    <w:p>
      <w:pPr>
        <w:pStyle w:val="H1"/>
        <w:spacing w:before="160" w:after="80" w:line="269" w:lineRule="auto"/>
      </w:pPr>
      <w:r>
        <w:t>7. Proof-of-Concept Build Path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B7C4D3"/>
          <w:left w:val="single" w:sz="8" w:space="0" w:color="B7C4D3"/>
          <w:bottom w:val="single" w:sz="8" w:space="0" w:color="B7C4D3"/>
          <w:right w:val="single" w:sz="8" w:space="0" w:color="B7C4D3"/>
          <w:insideH w:val="single" w:sz="8" w:space="0" w:color="B7C4D3"/>
          <w:insideV w:val="single" w:sz="8" w:space="0" w:color="B7C4D3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224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</w:rPr>
              <w:t>Phase</w:t>
            </w:r>
          </w:p>
        </w:tc>
        <w:tc>
          <w:tcPr>
            <w:tcW w:type="dxa" w:w="2232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</w:rPr>
              <w:t>Goal</w:t>
            </w:r>
          </w:p>
        </w:tc>
        <w:tc>
          <w:tcPr>
            <w:tcW w:type="dxa" w:w="4032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</w:rPr>
              <w:t>Bench / Program Activity</w:t>
            </w:r>
          </w:p>
        </w:tc>
        <w:tc>
          <w:tcPr>
            <w:tcW w:type="dxa" w:w="2088"/>
            <w:vAlign w:val="center"/>
            <w:shd w:fill="EAF1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b/>
              </w:rPr>
              <w:t>Success Signal</w:t>
            </w:r>
          </w:p>
        </w:tc>
      </w:tr>
      <w:tr>
        <w:tc>
          <w:tcPr>
            <w:tcW w:type="dxa" w:w="1224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P1</w:t>
            </w:r>
          </w:p>
        </w:tc>
        <w:tc>
          <w:tcPr>
            <w:tcW w:type="dxa" w:w="2232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Resonance baseline</w:t>
            </w:r>
          </w:p>
        </w:tc>
        <w:tc>
          <w:tcPr>
            <w:tcW w:type="dxa" w:w="4032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t>Demonstrate a stable paired-source zone and repeatable corridor behavior in a safe surrogate setup.</w:t>
            </w:r>
          </w:p>
        </w:tc>
        <w:tc>
          <w:tcPr>
            <w:tcW w:type="dxa" w:w="2088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Repeatable corridor state</w:t>
            </w:r>
          </w:p>
        </w:tc>
      </w:tr>
      <w:tr>
        <w:tc>
          <w:tcPr>
            <w:tcW w:type="dxa" w:w="1224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P2</w:t>
            </w:r>
          </w:p>
        </w:tc>
        <w:tc>
          <w:tcPr>
            <w:tcW w:type="dxa" w:w="2232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Conditioning integration</w:t>
            </w:r>
          </w:p>
        </w:tc>
        <w:tc>
          <w:tcPr>
            <w:tcW w:type="dxa" w:w="4032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t>Add CPSS-like smoothing and compare stability against an unconditioned baseline.</w:t>
            </w:r>
          </w:p>
        </w:tc>
        <w:tc>
          <w:tcPr>
            <w:tcW w:type="dxa" w:w="2088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Cleaner delivery behavior</w:t>
            </w:r>
          </w:p>
        </w:tc>
      </w:tr>
      <w:tr>
        <w:tc>
          <w:tcPr>
            <w:tcW w:type="dxa" w:w="1224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P3</w:t>
            </w:r>
          </w:p>
        </w:tc>
        <w:tc>
          <w:tcPr>
            <w:tcW w:type="dxa" w:w="2232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Output shaping demo</w:t>
            </w:r>
          </w:p>
        </w:tc>
        <w:tc>
          <w:tcPr>
            <w:tcW w:type="dxa" w:w="4032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t>Test a non-hazardous aperture or lens surrogate for spot control and corridor-fed alignment.</w:t>
            </w:r>
          </w:p>
        </w:tc>
        <w:tc>
          <w:tcPr>
            <w:tcW w:type="dxa" w:w="2088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Improved shaping</w:t>
            </w:r>
          </w:p>
        </w:tc>
      </w:tr>
      <w:tr>
        <w:tc>
          <w:tcPr>
            <w:tcW w:type="dxa" w:w="1224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P4</w:t>
            </w:r>
          </w:p>
        </w:tc>
        <w:tc>
          <w:tcPr>
            <w:tcW w:type="dxa" w:w="2232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Material-coupling study</w:t>
            </w:r>
          </w:p>
        </w:tc>
        <w:tc>
          <w:tcPr>
            <w:tcW w:type="dxa" w:w="4032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t>Use inert or simulated targets to evaluate localized energy application at a concept level.</w:t>
            </w:r>
          </w:p>
        </w:tc>
        <w:tc>
          <w:tcPr>
            <w:tcW w:type="dxa" w:w="2088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Controlled target response</w:t>
            </w:r>
          </w:p>
        </w:tc>
      </w:tr>
      <w:tr>
        <w:tc>
          <w:tcPr>
            <w:tcW w:type="dxa" w:w="1224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P5</w:t>
            </w:r>
          </w:p>
        </w:tc>
        <w:tc>
          <w:tcPr>
            <w:tcW w:type="dxa" w:w="2232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Industrial packaging review</w:t>
            </w:r>
          </w:p>
        </w:tc>
        <w:tc>
          <w:tcPr>
            <w:tcW w:type="dxa" w:w="4032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left"/>
            </w:pPr>
            <w:r>
              <w:t>Evaluate corridor source, conditioning, and output head as one systems package.</w:t>
            </w:r>
          </w:p>
        </w:tc>
        <w:tc>
          <w:tcPr>
            <w:tcW w:type="dxa" w:w="2088"/>
            <w:vAlign w:val="center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t>Coherent tool architecture</w:t>
            </w:r>
          </w:p>
        </w:tc>
      </w:tr>
    </w:tbl>
    <w:p/>
    <w:p>
      <w:pPr>
        <w:pStyle w:val="H1"/>
        <w:spacing w:before="160" w:after="80" w:line="269" w:lineRule="auto"/>
      </w:pPr>
      <w:r>
        <w:t>8. Conclusion</w:t>
      </w:r>
    </w:p>
    <w:p>
      <w:pPr>
        <w:spacing w:before="0" w:after="140" w:line="278" w:lineRule="auto"/>
      </w:pPr>
      <w:r>
        <w:t>Dual PTEC Precision Material Processing is most coherent when treated as a non-operational industrial systems concept. Dual spinning PTECs define the resonance core, the shared corridor turns that energy into a usable directed path, CPSS stabilizes the environment behind the system, and the output head applies the result to controlled material processing.</w:t>
      </w:r>
    </w:p>
    <w:p>
      <w:pPr>
        <w:spacing w:before="0" w:after="140" w:line="278" w:lineRule="auto"/>
      </w:pPr>
      <w:r>
        <w:t>As a white paper PoC, the concept works best as a framework for precision mining, cutting, and ablation under harsh or remote conditions, while staying short of any operational build detail.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A8BACD"/>
          <w:left w:val="single" w:sz="10" w:space="0" w:color="A8BACD"/>
          <w:bottom w:val="single" w:sz="10" w:space="0" w:color="A8BACD"/>
          <w:right w:val="single" w:sz="10" w:space="0" w:color="A8BACD"/>
          <w:insideH w:val="single" w:sz="10" w:space="0" w:color="A8BACD"/>
          <w:insideV w:val="single" w:sz="10" w:space="0" w:color="A8BACD"/>
        </w:tblBorders>
      </w:tblPr>
      <w:tblGrid>
        <w:gridCol w:w="10080"/>
      </w:tblGrid>
      <w:tr>
        <w:tc>
          <w:tcPr>
            <w:tcW w:type="dxa" w:w="9648"/>
            <w:shd w:fill="F5F8FC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before="0" w:after="0" w:line="274" w:lineRule="auto"/>
            </w:pPr>
            <w:r>
              <w:rPr>
                <w:b/>
                <w:color w:val="213555"/>
              </w:rPr>
              <w:t xml:space="preserve">Working one-line doctrine: </w:t>
            </w:r>
            <w:r>
              <w:rPr>
                <w:color w:val="213555"/>
              </w:rPr>
              <w:t>Treat dual PTECs as the resonance core of a precision beam tool, not as a simple standalone laser claim.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rPr>
      <w:rFonts w:ascii="Aptos" w:hAnsi="Aptos"/>
      <w:b/>
      <w:color w:val="213555"/>
      <w:sz w:val="48"/>
    </w:rPr>
  </w:style>
  <w:style w:type="paragraph" w:customStyle="1" w:styleId="SubCustom">
    <w:name w:val="SubCustom"/>
    <w:basedOn w:val="Normal"/>
    <w:rPr>
      <w:rFonts w:ascii="Aptos" w:hAnsi="Aptos"/>
      <w:b w:val="0"/>
      <w:color w:val="606874"/>
      <w:sz w:val="24"/>
    </w:rPr>
  </w:style>
  <w:style w:type="paragraph" w:customStyle="1" w:styleId="H1">
    <w:name w:val="H1"/>
    <w:basedOn w:val="Normal"/>
    <w:rPr>
      <w:rFonts w:ascii="Aptos" w:hAnsi="Aptos"/>
      <w:b/>
      <w:color w:val="213555"/>
      <w:sz w:val="28"/>
    </w:rPr>
  </w:style>
  <w:style w:type="paragraph" w:customStyle="1" w:styleId="H2">
    <w:name w:val="H2"/>
    <w:basedOn w:val="Normal"/>
    <w:rPr>
      <w:rFonts w:ascii="Aptos" w:hAnsi="Aptos"/>
      <w:b/>
      <w:color w:val="3C526E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