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Prism Lung</w:t>
      </w:r>
    </w:p>
    <w:p>
      <w:pPr>
        <w:pStyle w:val="Subtitle"/>
        <w:jc w:val="center"/>
      </w:pPr>
      <w:r>
        <w:t>Lattice-Wrapped Oxygen Regeneration Core</w:t>
        <w:br/>
      </w:r>
      <w:r>
        <w:rPr>
          <w:b/>
        </w:rPr>
        <w:t>Proof-of-Concept White Paper</w:t>
      </w:r>
    </w:p>
    <w:p/>
    <w:p>
      <w:pPr>
        <w:jc w:val="center"/>
      </w:pPr>
      <w:r>
        <w:rPr>
          <w:i/>
        </w:rPr>
        <w:t>A speculative life-support architecture pairing a prism-centered photonic conversion core with a programmable crystal-lattice wrap for sustained oxygen regeneration, thermal regulation, and adaptive atmospheric recycling in autonomous suits and sealed habitats.</w:t>
      </w:r>
    </w:p>
    <w:tbl>
      <w:tblPr>
        <w:tblStyle w:val="TableGrid"/>
        <w:tblW w:type="auto" w:w="0"/>
        <w:jc w:val="center"/>
        <w:tblLook w:firstColumn="1" w:firstRow="1" w:lastColumn="0" w:lastRow="0" w:noHBand="0" w:noVBand="1" w:val="04A0"/>
      </w:tblPr>
      <w:tblGrid>
        <w:gridCol w:w="3024"/>
        <w:gridCol w:w="6912"/>
      </w:tblGrid>
      <w:tr>
        <w:tc>
          <w:tcPr>
            <w:tcW w:type="dxa" w:w="4968"/>
            <w:vAlign w:val="center"/>
            <w:tcMar>
              <w:top w:w="80" w:type="dxa"/>
              <w:start w:w="100" w:type="dxa"/>
              <w:bottom w:w="80" w:type="dxa"/>
              <w:end w:w="100" w:type="dxa"/>
            </w:tcMar>
            <w:shd w:fill="D9E7F7"/>
          </w:tcPr>
          <w:p>
            <w:r>
              <w:rPr>
                <w:b/>
              </w:rPr>
              <w:t>System Name</w:t>
            </w:r>
          </w:p>
        </w:tc>
        <w:tc>
          <w:tcPr>
            <w:tcW w:type="dxa" w:w="4968"/>
            <w:vAlign w:val="center"/>
            <w:tcMar>
              <w:top w:w="80" w:type="dxa"/>
              <w:start w:w="100" w:type="dxa"/>
              <w:bottom w:w="80" w:type="dxa"/>
              <w:end w:w="100" w:type="dxa"/>
            </w:tcMar>
          </w:tcPr>
          <w:p>
            <w:r>
              <w:t>Prism Lung: Lattice-Wrapped Oxygen Regeneration Core</w:t>
            </w:r>
          </w:p>
        </w:tc>
      </w:tr>
      <w:tr>
        <w:tc>
          <w:tcPr>
            <w:tcW w:type="dxa" w:w="4968"/>
            <w:vAlign w:val="center"/>
            <w:tcMar>
              <w:top w:w="80" w:type="dxa"/>
              <w:start w:w="100" w:type="dxa"/>
              <w:bottom w:w="80" w:type="dxa"/>
              <w:end w:w="100" w:type="dxa"/>
            </w:tcMar>
            <w:shd w:fill="D9E7F7"/>
          </w:tcPr>
          <w:p>
            <w:r>
              <w:rPr>
                <w:b/>
              </w:rPr>
              <w:t>Primary Use</w:t>
            </w:r>
          </w:p>
        </w:tc>
        <w:tc>
          <w:tcPr>
            <w:tcW w:type="dxa" w:w="4968"/>
            <w:vAlign w:val="center"/>
            <w:tcMar>
              <w:top w:w="80" w:type="dxa"/>
              <w:start w:w="100" w:type="dxa"/>
              <w:bottom w:w="80" w:type="dxa"/>
              <w:end w:w="100" w:type="dxa"/>
            </w:tcMar>
          </w:tcPr>
          <w:p>
            <w:r>
              <w:t>Closed-loop oxygen regeneration for biosuits, emergency shelters, and sealed work cells</w:t>
            </w:r>
          </w:p>
        </w:tc>
      </w:tr>
      <w:tr>
        <w:tc>
          <w:tcPr>
            <w:tcW w:type="dxa" w:w="4968"/>
            <w:vAlign w:val="center"/>
            <w:tcMar>
              <w:top w:w="80" w:type="dxa"/>
              <w:start w:w="100" w:type="dxa"/>
              <w:bottom w:w="80" w:type="dxa"/>
              <w:end w:w="100" w:type="dxa"/>
            </w:tcMar>
            <w:shd w:fill="D9E7F7"/>
          </w:tcPr>
          <w:p>
            <w:r>
              <w:rPr>
                <w:b/>
              </w:rPr>
              <w:t>Core Inputs</w:t>
            </w:r>
          </w:p>
        </w:tc>
        <w:tc>
          <w:tcPr>
            <w:tcW w:type="dxa" w:w="4968"/>
            <w:vAlign w:val="center"/>
            <w:tcMar>
              <w:top w:w="80" w:type="dxa"/>
              <w:start w:w="100" w:type="dxa"/>
              <w:bottom w:w="80" w:type="dxa"/>
              <w:end w:w="100" w:type="dxa"/>
            </w:tcMar>
          </w:tcPr>
          <w:p>
            <w:r>
              <w:t>Exhaled CO₂, reclaimed water, electrical/photonic power</w:t>
            </w:r>
          </w:p>
        </w:tc>
      </w:tr>
      <w:tr>
        <w:tc>
          <w:tcPr>
            <w:tcW w:type="dxa" w:w="4968"/>
            <w:vAlign w:val="center"/>
            <w:tcMar>
              <w:top w:w="80" w:type="dxa"/>
              <w:start w:w="100" w:type="dxa"/>
              <w:bottom w:w="80" w:type="dxa"/>
              <w:end w:w="100" w:type="dxa"/>
            </w:tcMar>
            <w:shd w:fill="D9E7F7"/>
          </w:tcPr>
          <w:p>
            <w:r>
              <w:rPr>
                <w:b/>
              </w:rPr>
              <w:t>Key Layers</w:t>
            </w:r>
          </w:p>
        </w:tc>
        <w:tc>
          <w:tcPr>
            <w:tcW w:type="dxa" w:w="4968"/>
            <w:vAlign w:val="center"/>
            <w:tcMar>
              <w:top w:w="80" w:type="dxa"/>
              <w:start w:w="100" w:type="dxa"/>
              <w:bottom w:w="80" w:type="dxa"/>
              <w:end w:w="100" w:type="dxa"/>
            </w:tcMar>
          </w:tcPr>
          <w:p>
            <w:r>
              <w:t>Prism reactor, lattice coil, gas conversion chamber, electrolysis assist, thermal routing shell</w:t>
            </w:r>
          </w:p>
        </w:tc>
      </w:tr>
    </w:tbl>
    <w:p/>
    <w:p>
      <w:pPr>
        <w:jc w:val="center"/>
      </w:pPr>
      <w:r>
        <w:drawing>
          <wp:inline xmlns:a="http://schemas.openxmlformats.org/drawingml/2006/main" xmlns:pic="http://schemas.openxmlformats.org/drawingml/2006/picture">
            <wp:extent cx="4389120" cy="3376246"/>
            <wp:docPr id="1" name="Picture 1"/>
            <wp:cNvGraphicFramePr>
              <a:graphicFrameLocks noChangeAspect="1"/>
            </wp:cNvGraphicFramePr>
            <a:graphic>
              <a:graphicData uri="http://schemas.openxmlformats.org/drawingml/2006/picture">
                <pic:pic>
                  <pic:nvPicPr>
                    <pic:cNvPr id="0" name="301fc1f0-8d7c-4d4c-b6ed-1b0c05e531ea.png"/>
                    <pic:cNvPicPr/>
                  </pic:nvPicPr>
                  <pic:blipFill>
                    <a:blip r:embed="rId9"/>
                    <a:stretch>
                      <a:fillRect/>
                    </a:stretch>
                  </pic:blipFill>
                  <pic:spPr>
                    <a:xfrm>
                      <a:off x="0" y="0"/>
                      <a:ext cx="4389120" cy="3376246"/>
                    </a:xfrm>
                    <a:prstGeom prst="rect"/>
                  </pic:spPr>
                </pic:pic>
              </a:graphicData>
            </a:graphic>
          </wp:inline>
        </w:drawing>
      </w:r>
    </w:p>
    <w:p>
      <w:pPr>
        <w:jc w:val="center"/>
      </w:pPr>
      <w:r>
        <w:rPr>
          <w:i/>
        </w:rPr>
        <w:t>Figure 1. Concept sketch of a prism-centered core with a wrapped lattice mantle.</w:t>
      </w:r>
    </w:p>
    <w:p>
      <w:r>
        <w:br w:type="page"/>
      </w:r>
    </w:p>
    <w:p>
      <w:pPr>
        <w:pStyle w:val="Heading1"/>
      </w:pPr>
      <w:r>
        <w:t>Abstract</w:t>
      </w:r>
    </w:p>
    <w:p>
      <w:r>
        <w:t>Prism Lung is a proof-of-concept concept for a compact oxygen-regeneration module that uses a photonic prism core as the conversion heart and a programmable crystal-lattice wrap as the regulation mantle. The prism concentrates and routes light and electrical energy into a gas-conversion chamber, while the lattice shell manages thermal load, redistributes energy, and stabilizes the conversion envelope under changing metabolic demand. The result is a layered architecture intended for sustained atmospheric recycling in biosuits or sealed compartments, with electrolysis serving as a supplemental oxygen path when carbon-dioxide conversion alone is insufficient.</w:t>
      </w:r>
    </w:p>
    <w:p>
      <w:pPr>
        <w:pStyle w:val="Heading1"/>
      </w:pPr>
      <w:r>
        <w:t>Concept Thesis</w:t>
      </w:r>
    </w:p>
    <w:p>
      <w:r>
        <w:t>The central claim of Prism Lung is not that the lattice creates oxygen by itself. Rather, the prism and lattice divide responsibilities. The prism acts as the resonant conversion nucleus, focusing photonic and electrical input into a compact reaction volume. The lattice wrap behaves like a helical routing mantle around that nucleus, extending interaction path length, smoothing thermal spikes, and adaptively steering energy toward the portions of the chamber under the greatest conversion demand. In this arrangement, oxygen regeneration becomes a controlled systems problem rather than a single-device trick.</w:t>
      </w:r>
    </w:p>
    <w:p>
      <w:pPr>
        <w:pStyle w:val="Heading1"/>
      </w:pPr>
      <w:r>
        <w:t>System Architecture</w:t>
      </w:r>
    </w:p>
    <w:p>
      <w:r>
        <w:t>The architecture is best understood as a nested loop: gas enters, energy is focused, conversion occurs, excess heat is redistributed, and the output atmosphere is trimmed before re-entry into the breathing loop.</w:t>
      </w:r>
    </w:p>
    <w:tbl>
      <w:tblPr>
        <w:tblStyle w:val="TableGrid"/>
        <w:tblW w:type="auto" w:w="0"/>
        <w:jc w:val="center"/>
        <w:tblLook w:firstColumn="1" w:firstRow="1" w:lastColumn="0" w:lastRow="0" w:noHBand="0" w:noVBand="1" w:val="04A0"/>
      </w:tblPr>
      <w:tblGrid>
        <w:gridCol w:w="1728"/>
        <w:gridCol w:w="3168"/>
        <w:gridCol w:w="2160"/>
        <w:gridCol w:w="2448"/>
      </w:tblGrid>
      <w:tr>
        <w:tc>
          <w:tcPr>
            <w:tcW w:type="dxa" w:w="2484"/>
            <w:vAlign w:val="center"/>
            <w:tcMar>
              <w:top w:w="80" w:type="dxa"/>
              <w:start w:w="100" w:type="dxa"/>
              <w:bottom w:w="80" w:type="dxa"/>
              <w:end w:w="100" w:type="dxa"/>
            </w:tcMar>
            <w:shd w:fill="1F4E79"/>
          </w:tcPr>
          <w:p>
            <w:r>
              <w:rPr>
                <w:b/>
                <w:color w:val="FFFFFF"/>
              </w:rPr>
              <w:t>Layer</w:t>
            </w:r>
          </w:p>
        </w:tc>
        <w:tc>
          <w:tcPr>
            <w:tcW w:type="dxa" w:w="2484"/>
            <w:vAlign w:val="center"/>
            <w:tcMar>
              <w:top w:w="80" w:type="dxa"/>
              <w:start w:w="100" w:type="dxa"/>
              <w:bottom w:w="80" w:type="dxa"/>
              <w:end w:w="100" w:type="dxa"/>
            </w:tcMar>
            <w:shd w:fill="1F4E79"/>
          </w:tcPr>
          <w:p>
            <w:r>
              <w:rPr>
                <w:b/>
                <w:color w:val="FFFFFF"/>
              </w:rPr>
              <w:t>Function</w:t>
            </w:r>
          </w:p>
        </w:tc>
        <w:tc>
          <w:tcPr>
            <w:tcW w:type="dxa" w:w="2484"/>
            <w:vAlign w:val="center"/>
            <w:tcMar>
              <w:top w:w="80" w:type="dxa"/>
              <w:start w:w="100" w:type="dxa"/>
              <w:bottom w:w="80" w:type="dxa"/>
              <w:end w:w="100" w:type="dxa"/>
            </w:tcMar>
            <w:shd w:fill="1F4E79"/>
          </w:tcPr>
          <w:p>
            <w:r>
              <w:rPr>
                <w:b/>
                <w:color w:val="FFFFFF"/>
              </w:rPr>
              <w:t>Primary Inputs</w:t>
            </w:r>
          </w:p>
        </w:tc>
        <w:tc>
          <w:tcPr>
            <w:tcW w:type="dxa" w:w="2484"/>
            <w:vAlign w:val="center"/>
            <w:tcMar>
              <w:top w:w="80" w:type="dxa"/>
              <w:start w:w="100" w:type="dxa"/>
              <w:bottom w:w="80" w:type="dxa"/>
              <w:end w:w="100" w:type="dxa"/>
            </w:tcMar>
            <w:shd w:fill="1F4E79"/>
          </w:tcPr>
          <w:p>
            <w:r>
              <w:rPr>
                <w:b/>
                <w:color w:val="FFFFFF"/>
              </w:rPr>
              <w:t>Primary Outputs</w:t>
            </w:r>
          </w:p>
        </w:tc>
      </w:tr>
      <w:tr>
        <w:tc>
          <w:tcPr>
            <w:tcW w:type="dxa" w:w="1728"/>
            <w:shd w:fill="EAF2FB"/>
          </w:tcPr>
          <w:p>
            <w:r>
              <w:t>Prism Core</w:t>
            </w:r>
          </w:p>
        </w:tc>
        <w:tc>
          <w:tcPr>
            <w:tcW w:type="dxa" w:w="3168"/>
          </w:tcPr>
          <w:p>
            <w:r>
              <w:t>Concentrates photonic/electrical energy in the conversion chamber</w:t>
            </w:r>
          </w:p>
        </w:tc>
        <w:tc>
          <w:tcPr>
            <w:tcW w:type="dxa" w:w="2160"/>
          </w:tcPr>
          <w:p>
            <w:r>
              <w:t>Power, light, control pulses</w:t>
            </w:r>
          </w:p>
        </w:tc>
        <w:tc>
          <w:tcPr>
            <w:tcW w:type="dxa" w:w="2448"/>
          </w:tcPr>
          <w:p>
            <w:r>
              <w:t>Localized reaction energy</w:t>
            </w:r>
          </w:p>
        </w:tc>
      </w:tr>
      <w:tr>
        <w:tc>
          <w:tcPr>
            <w:tcW w:type="dxa" w:w="1728"/>
            <w:shd w:fill="EAF2FB"/>
          </w:tcPr>
          <w:p>
            <w:r>
              <w:t>Lattice Wrap</w:t>
            </w:r>
          </w:p>
        </w:tc>
        <w:tc>
          <w:tcPr>
            <w:tcW w:type="dxa" w:w="3168"/>
          </w:tcPr>
          <w:p>
            <w:r>
              <w:t>Routes energy, damps heat spikes, stabilizes the chamber boundary</w:t>
            </w:r>
          </w:p>
        </w:tc>
        <w:tc>
          <w:tcPr>
            <w:tcW w:type="dxa" w:w="2160"/>
          </w:tcPr>
          <w:p>
            <w:r>
              <w:t>Prism output, thermal load</w:t>
            </w:r>
          </w:p>
        </w:tc>
        <w:tc>
          <w:tcPr>
            <w:tcW w:type="dxa" w:w="2448"/>
          </w:tcPr>
          <w:p>
            <w:r>
              <w:t>Managed heat flow, adaptive conduction</w:t>
            </w:r>
          </w:p>
        </w:tc>
      </w:tr>
      <w:tr>
        <w:tc>
          <w:tcPr>
            <w:tcW w:type="dxa" w:w="1728"/>
            <w:shd w:fill="EAF2FB"/>
          </w:tcPr>
          <w:p>
            <w:r>
              <w:t>Gas Conversion Chamber</w:t>
            </w:r>
          </w:p>
        </w:tc>
        <w:tc>
          <w:tcPr>
            <w:tcW w:type="dxa" w:w="3168"/>
          </w:tcPr>
          <w:p>
            <w:r>
              <w:t>Processes exhaled CO₂ in a synthetic photosynthesis-like loop</w:t>
            </w:r>
          </w:p>
        </w:tc>
        <w:tc>
          <w:tcPr>
            <w:tcW w:type="dxa" w:w="2160"/>
          </w:tcPr>
          <w:p>
            <w:r>
              <w:t>CO₂, water vapor, prism energy</w:t>
            </w:r>
          </w:p>
        </w:tc>
        <w:tc>
          <w:tcPr>
            <w:tcW w:type="dxa" w:w="2448"/>
          </w:tcPr>
          <w:p>
            <w:r>
              <w:t>O₂-enriched stream, residual CO₂</w:t>
            </w:r>
          </w:p>
        </w:tc>
      </w:tr>
      <w:tr>
        <w:tc>
          <w:tcPr>
            <w:tcW w:type="dxa" w:w="1728"/>
            <w:shd w:fill="EAF2FB"/>
          </w:tcPr>
          <w:p>
            <w:r>
              <w:t>Electrolysis Assist</w:t>
            </w:r>
          </w:p>
        </w:tc>
        <w:tc>
          <w:tcPr>
            <w:tcW w:type="dxa" w:w="3168"/>
          </w:tcPr>
          <w:p>
            <w:r>
              <w:t>Provides supplemental oxygen when demand exceeds conversion rate</w:t>
            </w:r>
          </w:p>
        </w:tc>
        <w:tc>
          <w:tcPr>
            <w:tcW w:type="dxa" w:w="2160"/>
          </w:tcPr>
          <w:p>
            <w:r>
              <w:t>Reclaimed water, electrical power</w:t>
            </w:r>
          </w:p>
        </w:tc>
        <w:tc>
          <w:tcPr>
            <w:tcW w:type="dxa" w:w="2448"/>
          </w:tcPr>
          <w:p>
            <w:r>
              <w:t>O₂, hydrogen byproduct</w:t>
            </w:r>
          </w:p>
        </w:tc>
      </w:tr>
      <w:tr>
        <w:tc>
          <w:tcPr>
            <w:tcW w:type="dxa" w:w="1728"/>
            <w:shd w:fill="EAF2FB"/>
          </w:tcPr>
          <w:p>
            <w:r>
              <w:t>Breathing Loop Interface</w:t>
            </w:r>
          </w:p>
        </w:tc>
        <w:tc>
          <w:tcPr>
            <w:tcW w:type="dxa" w:w="3168"/>
          </w:tcPr>
          <w:p>
            <w:r>
              <w:t>Balances pressure, humidity, and composition before recirculation</w:t>
            </w:r>
          </w:p>
        </w:tc>
        <w:tc>
          <w:tcPr>
            <w:tcW w:type="dxa" w:w="2160"/>
          </w:tcPr>
          <w:p>
            <w:r>
              <w:t>Regenerated gas mix</w:t>
            </w:r>
          </w:p>
        </w:tc>
        <w:tc>
          <w:tcPr>
            <w:tcW w:type="dxa" w:w="2448"/>
          </w:tcPr>
          <w:p>
            <w:r>
              <w:t>Suit-safe breathing atmosphere</w:t>
            </w:r>
          </w:p>
        </w:tc>
      </w:tr>
    </w:tbl>
    <w:p/>
    <w:p>
      <w:pPr>
        <w:pStyle w:val="Heading1"/>
      </w:pPr>
      <w:r>
        <w:t>Operating Principle</w:t>
      </w:r>
    </w:p>
    <w:p>
      <w:pPr>
        <w:pStyle w:val="ListBullet"/>
      </w:pPr>
      <w:r>
        <w:rPr>
          <w:b/>
        </w:rPr>
        <w:t xml:space="preserve">1. Intake and sensing: </w:t>
      </w:r>
      <w:r>
        <w:t>Exhaled gas and reclaimed moisture enter the module. Control logic reads CO₂ concentration, humidity, pressure, and power reserve.</w:t>
      </w:r>
    </w:p>
    <w:p>
      <w:pPr>
        <w:pStyle w:val="ListBullet"/>
      </w:pPr>
      <w:r>
        <w:rPr>
          <w:b/>
        </w:rPr>
        <w:t xml:space="preserve">2. Prism excitation: </w:t>
      </w:r>
      <w:r>
        <w:t>The prism core is driven with tuned photonic and electrical input so that energy is concentrated into the active conversion volume rather than spread wastefully across the housing.</w:t>
      </w:r>
    </w:p>
    <w:p>
      <w:pPr>
        <w:pStyle w:val="ListBullet"/>
      </w:pPr>
      <w:r>
        <w:rPr>
          <w:b/>
        </w:rPr>
        <w:t xml:space="preserve">3. Lattice-wrapped regulation: </w:t>
      </w:r>
      <w:r>
        <w:t>The crystal lattice acts as a dynamic shell around the prism, redistributing thermal stress and steering conduction paths as breathing demand rises or falls.</w:t>
      </w:r>
    </w:p>
    <w:p>
      <w:pPr>
        <w:pStyle w:val="ListBullet"/>
      </w:pPr>
      <w:r>
        <w:rPr>
          <w:b/>
        </w:rPr>
        <w:t xml:space="preserve">4. Gas conversion: </w:t>
      </w:r>
      <w:r>
        <w:t>The reaction chamber attempts primary oxygen recovery from carbon dioxide first. If recovery falls below target, the module blends in oxygen from electrolysis-assisted production.</w:t>
      </w:r>
    </w:p>
    <w:p>
      <w:pPr>
        <w:pStyle w:val="ListBullet"/>
      </w:pPr>
      <w:r>
        <w:rPr>
          <w:b/>
        </w:rPr>
        <w:t xml:space="preserve">5. Output conditioning: </w:t>
      </w:r>
      <w:r>
        <w:t>The regenerated atmosphere is dried, temperature-trimmed, and pressure-balanced before returning to the wearer or compartment.</w:t>
      </w:r>
    </w:p>
    <w:p>
      <w:pPr>
        <w:pStyle w:val="Heading1"/>
      </w:pPr>
      <w:r>
        <w:t>Why the Lattice Wrap Matters</w:t>
      </w:r>
    </w:p>
    <w:p>
      <w:r>
        <w:t>Without the lattice mantle, the prism behaves like a bright but fragile core: efficient at concentration, poor at surviving uneven load. The wrapped lattice adds four specific advantages. First, it increases the effective routing path around the core, improving energy distribution. Second, it spreads thermal deposition before hotspots reach structural limits. Third, it allows adaptive conduction behavior under changing metabolic cycles. Fourth, it provides a useful interface between the energized core and the suit shell, reducing the chance that oxygen-production efficiency is lost to uncontrolled heat or electrical spillover.</w:t>
      </w:r>
    </w:p>
    <w:p>
      <w:pPr>
        <w:pStyle w:val="Heading1"/>
      </w:pPr>
      <w:r>
        <w:t>Use Cases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100" w:type="dxa"/>
              <w:bottom w:w="80" w:type="dxa"/>
              <w:end w:w="100" w:type="dxa"/>
            </w:tcMar>
            <w:shd w:fill="1F4E79"/>
          </w:tcPr>
          <w:p>
            <w:r>
              <w:rPr>
                <w:b/>
                <w:color w:val="FFFFFF"/>
              </w:rPr>
              <w:t>Scenario</w:t>
            </w:r>
          </w:p>
        </w:tc>
        <w:tc>
          <w:tcPr>
            <w:tcW w:type="dxa" w:w="3312"/>
            <w:vAlign w:val="center"/>
            <w:tcMar>
              <w:top w:w="80" w:type="dxa"/>
              <w:start w:w="100" w:type="dxa"/>
              <w:bottom w:w="80" w:type="dxa"/>
              <w:end w:w="100" w:type="dxa"/>
            </w:tcMar>
            <w:shd w:fill="1F4E79"/>
          </w:tcPr>
          <w:p>
            <w:r>
              <w:rPr>
                <w:b/>
                <w:color w:val="FFFFFF"/>
              </w:rPr>
              <w:t>Why Prism Lung Fits</w:t>
            </w:r>
          </w:p>
        </w:tc>
        <w:tc>
          <w:tcPr>
            <w:tcW w:type="dxa" w:w="3312"/>
            <w:vAlign w:val="center"/>
            <w:tcMar>
              <w:top w:w="80" w:type="dxa"/>
              <w:start w:w="100" w:type="dxa"/>
              <w:bottom w:w="80" w:type="dxa"/>
              <w:end w:w="100" w:type="dxa"/>
            </w:tcMar>
            <w:shd w:fill="1F4E79"/>
          </w:tcPr>
          <w:p>
            <w:r>
              <w:rPr>
                <w:b/>
                <w:color w:val="FFFFFF"/>
              </w:rPr>
              <w:t>Primary Constraint</w:t>
            </w:r>
          </w:p>
        </w:tc>
      </w:tr>
      <w:tr>
        <w:tc>
          <w:tcPr>
            <w:tcW w:type="dxa" w:w="3312"/>
          </w:tcPr>
          <w:p>
            <w:r>
              <w:t>Autonomous biosuit</w:t>
            </w:r>
          </w:p>
        </w:tc>
        <w:tc>
          <w:tcPr>
            <w:tcW w:type="dxa" w:w="3312"/>
          </w:tcPr>
          <w:p>
            <w:r>
              <w:t>Closed-loop atmosphere recycling for long-duration wear in dust, smoke, or low-atmosphere conditions</w:t>
            </w:r>
          </w:p>
        </w:tc>
        <w:tc>
          <w:tcPr>
            <w:tcW w:type="dxa" w:w="3312"/>
          </w:tcPr>
          <w:p>
            <w:r>
              <w:t>Power and thermal budget must remain compact</w:t>
            </w:r>
          </w:p>
        </w:tc>
      </w:tr>
      <w:tr>
        <w:tc>
          <w:tcPr>
            <w:tcW w:type="dxa" w:w="3312"/>
          </w:tcPr>
          <w:p>
            <w:r>
              <w:t>Emergency shelter pod</w:t>
            </w:r>
          </w:p>
        </w:tc>
        <w:tc>
          <w:tcPr>
            <w:tcW w:type="dxa" w:w="3312"/>
          </w:tcPr>
          <w:p>
            <w:r>
              <w:t>High-efficiency oxygen reclamation in a sealed compartment with limited consumables</w:t>
            </w:r>
          </w:p>
        </w:tc>
        <w:tc>
          <w:tcPr>
            <w:tcW w:type="dxa" w:w="3312"/>
          </w:tcPr>
          <w:p>
            <w:r>
              <w:t>Requires robust humidity control</w:t>
            </w:r>
          </w:p>
        </w:tc>
      </w:tr>
      <w:tr>
        <w:tc>
          <w:tcPr>
            <w:tcW w:type="dxa" w:w="3312"/>
          </w:tcPr>
          <w:p>
            <w:r>
              <w:t>Industrial hazard suit</w:t>
            </w:r>
          </w:p>
        </w:tc>
        <w:tc>
          <w:tcPr>
            <w:tcW w:type="dxa" w:w="3312"/>
          </w:tcPr>
          <w:p>
            <w:r>
              <w:t>Useful where cartridges alone are insufficient and work periods are extended</w:t>
            </w:r>
          </w:p>
        </w:tc>
        <w:tc>
          <w:tcPr>
            <w:tcW w:type="dxa" w:w="3312"/>
          </w:tcPr>
          <w:p>
            <w:r>
              <w:t>Must withstand shock and contamination</w:t>
            </w:r>
          </w:p>
        </w:tc>
      </w:tr>
      <w:tr>
        <w:tc>
          <w:tcPr>
            <w:tcW w:type="dxa" w:w="3312"/>
          </w:tcPr>
          <w:p>
            <w:r>
              <w:t>Medical transport cocoon</w:t>
            </w:r>
          </w:p>
        </w:tc>
        <w:tc>
          <w:tcPr>
            <w:tcW w:type="dxa" w:w="3312"/>
          </w:tcPr>
          <w:p>
            <w:r>
              <w:t>Can stabilize a patient breathing environment while reducing dependence on bulky gas reserves</w:t>
            </w:r>
          </w:p>
        </w:tc>
        <w:tc>
          <w:tcPr>
            <w:tcW w:type="dxa" w:w="3312"/>
          </w:tcPr>
          <w:p>
            <w:r>
              <w:t>Output gas composition needs careful control</w:t>
            </w:r>
          </w:p>
        </w:tc>
      </w:tr>
    </w:tbl>
    <w:p>
      <w:r>
        <w:br w:type="page"/>
      </w:r>
    </w:p>
    <w:p>
      <w:pPr>
        <w:pStyle w:val="Heading1"/>
      </w:pPr>
      <w:r>
        <w:t>Bench-Scale Proof-of-Concept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80" w:type="dxa"/>
              <w:start w:w="100" w:type="dxa"/>
              <w:bottom w:w="80" w:type="dxa"/>
              <w:end w:w="100" w:type="dxa"/>
            </w:tcMar>
            <w:shd w:fill="1F4E79"/>
          </w:tcPr>
          <w:p>
            <w:r>
              <w:rPr>
                <w:b/>
                <w:color w:val="FFFFFF"/>
              </w:rPr>
              <w:t>Phase</w:t>
            </w:r>
          </w:p>
        </w:tc>
        <w:tc>
          <w:tcPr>
            <w:tcW w:type="dxa" w:w="2484"/>
            <w:vAlign w:val="center"/>
            <w:tcMar>
              <w:top w:w="80" w:type="dxa"/>
              <w:start w:w="100" w:type="dxa"/>
              <w:bottom w:w="80" w:type="dxa"/>
              <w:end w:w="100" w:type="dxa"/>
            </w:tcMar>
            <w:shd w:fill="1F4E79"/>
          </w:tcPr>
          <w:p>
            <w:r>
              <w:rPr>
                <w:b/>
                <w:color w:val="FFFFFF"/>
              </w:rPr>
              <w:t>Goal</w:t>
            </w:r>
          </w:p>
        </w:tc>
        <w:tc>
          <w:tcPr>
            <w:tcW w:type="dxa" w:w="2484"/>
            <w:vAlign w:val="center"/>
            <w:tcMar>
              <w:top w:w="80" w:type="dxa"/>
              <w:start w:w="100" w:type="dxa"/>
              <w:bottom w:w="80" w:type="dxa"/>
              <w:end w:w="100" w:type="dxa"/>
            </w:tcMar>
            <w:shd w:fill="1F4E79"/>
          </w:tcPr>
          <w:p>
            <w:r>
              <w:rPr>
                <w:b/>
                <w:color w:val="FFFFFF"/>
              </w:rPr>
              <w:t>Test Method</w:t>
            </w:r>
          </w:p>
        </w:tc>
        <w:tc>
          <w:tcPr>
            <w:tcW w:type="dxa" w:w="2484"/>
            <w:vAlign w:val="center"/>
            <w:tcMar>
              <w:top w:w="80" w:type="dxa"/>
              <w:start w:w="100" w:type="dxa"/>
              <w:bottom w:w="80" w:type="dxa"/>
              <w:end w:w="100" w:type="dxa"/>
            </w:tcMar>
            <w:shd w:fill="1F4E79"/>
          </w:tcPr>
          <w:p>
            <w:r>
              <w:rPr>
                <w:b/>
                <w:color w:val="FFFFFF"/>
              </w:rPr>
              <w:t>Success Signal</w:t>
            </w:r>
          </w:p>
        </w:tc>
      </w:tr>
      <w:tr>
        <w:tc>
          <w:tcPr>
            <w:tcW w:type="dxa" w:w="2484"/>
          </w:tcPr>
          <w:p>
            <w:r>
              <w:t>Phase I</w:t>
            </w:r>
          </w:p>
        </w:tc>
        <w:tc>
          <w:tcPr>
            <w:tcW w:type="dxa" w:w="2484"/>
          </w:tcPr>
          <w:p>
            <w:r>
              <w:t>Static prism chamber validation</w:t>
            </w:r>
          </w:p>
        </w:tc>
        <w:tc>
          <w:tcPr>
            <w:tcW w:type="dxa" w:w="2484"/>
          </w:tcPr>
          <w:p>
            <w:r>
              <w:t>Drive a non-breathing test chamber with controlled photonic/electrical input</w:t>
            </w:r>
          </w:p>
        </w:tc>
        <w:tc>
          <w:tcPr>
            <w:tcW w:type="dxa" w:w="2484"/>
          </w:tcPr>
          <w:p>
            <w:r>
              <w:t>Stable thermal envelope and repeatable energy concentration</w:t>
            </w:r>
          </w:p>
        </w:tc>
      </w:tr>
      <w:tr>
        <w:tc>
          <w:tcPr>
            <w:tcW w:type="dxa" w:w="2484"/>
          </w:tcPr>
          <w:p>
            <w:r>
              <w:t>Phase II</w:t>
            </w:r>
          </w:p>
        </w:tc>
        <w:tc>
          <w:tcPr>
            <w:tcW w:type="dxa" w:w="2484"/>
          </w:tcPr>
          <w:p>
            <w:r>
              <w:t>Lattice-wrap thermal routing</w:t>
            </w:r>
          </w:p>
        </w:tc>
        <w:tc>
          <w:tcPr>
            <w:tcW w:type="dxa" w:w="2484"/>
          </w:tcPr>
          <w:p>
            <w:r>
              <w:t>Wrap the core in a programmable or proxy lattice shell and map heat dispersion</w:t>
            </w:r>
          </w:p>
        </w:tc>
        <w:tc>
          <w:tcPr>
            <w:tcW w:type="dxa" w:w="2484"/>
          </w:tcPr>
          <w:p>
            <w:r>
              <w:t>Lower hotspot intensity and smoother thermal gradients</w:t>
            </w:r>
          </w:p>
        </w:tc>
      </w:tr>
      <w:tr>
        <w:tc>
          <w:tcPr>
            <w:tcW w:type="dxa" w:w="2484"/>
          </w:tcPr>
          <w:p>
            <w:r>
              <w:t>Phase III</w:t>
            </w:r>
          </w:p>
        </w:tc>
        <w:tc>
          <w:tcPr>
            <w:tcW w:type="dxa" w:w="2484"/>
          </w:tcPr>
          <w:p>
            <w:r>
              <w:t>Gas-loop integration</w:t>
            </w:r>
          </w:p>
        </w:tc>
        <w:tc>
          <w:tcPr>
            <w:tcW w:type="dxa" w:w="2484"/>
          </w:tcPr>
          <w:p>
            <w:r>
              <w:t>Introduce CO₂-rich gas and moisture into a recirculating bench loop</w:t>
            </w:r>
          </w:p>
        </w:tc>
        <w:tc>
          <w:tcPr>
            <w:tcW w:type="dxa" w:w="2484"/>
          </w:tcPr>
          <w:p>
            <w:r>
              <w:t>Improved oxygen yield or reduced CO₂ load versus control</w:t>
            </w:r>
          </w:p>
        </w:tc>
      </w:tr>
      <w:tr>
        <w:tc>
          <w:tcPr>
            <w:tcW w:type="dxa" w:w="2484"/>
          </w:tcPr>
          <w:p>
            <w:r>
              <w:t>Phase IV</w:t>
            </w:r>
          </w:p>
        </w:tc>
        <w:tc>
          <w:tcPr>
            <w:tcW w:type="dxa" w:w="2484"/>
          </w:tcPr>
          <w:p>
            <w:r>
              <w:t>Electrolysis assist blending</w:t>
            </w:r>
          </w:p>
        </w:tc>
        <w:tc>
          <w:tcPr>
            <w:tcW w:type="dxa" w:w="2484"/>
          </w:tcPr>
          <w:p>
            <w:r>
              <w:t>Add supplemental O₂ generation during peak-load simulations</w:t>
            </w:r>
          </w:p>
        </w:tc>
        <w:tc>
          <w:tcPr>
            <w:tcW w:type="dxa" w:w="2484"/>
          </w:tcPr>
          <w:p>
            <w:r>
              <w:t>Output atmosphere remains within target band during demand spikes</w:t>
            </w:r>
          </w:p>
        </w:tc>
      </w:tr>
      <w:tr>
        <w:tc>
          <w:tcPr>
            <w:tcW w:type="dxa" w:w="2484"/>
          </w:tcPr>
          <w:p>
            <w:r>
              <w:t>Phase V</w:t>
            </w:r>
          </w:p>
        </w:tc>
        <w:tc>
          <w:tcPr>
            <w:tcW w:type="dxa" w:w="2484"/>
          </w:tcPr>
          <w:p>
            <w:r>
              <w:t>Wearable mock-up</w:t>
            </w:r>
          </w:p>
        </w:tc>
        <w:tc>
          <w:tcPr>
            <w:tcW w:type="dxa" w:w="2484"/>
          </w:tcPr>
          <w:p>
            <w:r>
              <w:t>Install the module in a torso-rig or sealed backpack shell</w:t>
            </w:r>
          </w:p>
        </w:tc>
        <w:tc>
          <w:tcPr>
            <w:tcW w:type="dxa" w:w="2484"/>
          </w:tcPr>
          <w:p>
            <w:r>
              <w:t>Sustained loop stability under motion, vibration, and variable breathing profiles</w:t>
            </w:r>
          </w:p>
        </w:tc>
      </w:tr>
    </w:tbl>
    <w:p/>
    <w:p>
      <w:pPr>
        <w:pStyle w:val="Heading1"/>
      </w:pPr>
      <w:r>
        <w:t>Target Measurements</w:t>
      </w:r>
    </w:p>
    <w:p>
      <w:pPr>
        <w:pStyle w:val="ListBullet"/>
      </w:pPr>
      <w:r>
        <w:t>Net oxygen output rate under simulated human breathing loads.</w:t>
      </w:r>
    </w:p>
    <w:p>
      <w:pPr>
        <w:pStyle w:val="ListBullet"/>
      </w:pPr>
      <w:r>
        <w:t>CO₂ reduction efficiency across steady-state and burst-exertion conditions.</w:t>
      </w:r>
    </w:p>
    <w:p>
      <w:pPr>
        <w:pStyle w:val="ListBullet"/>
      </w:pPr>
      <w:r>
        <w:t>Thermal stability of the prism-lattice assembly over time.</w:t>
      </w:r>
    </w:p>
    <w:p>
      <w:pPr>
        <w:pStyle w:val="ListBullet"/>
      </w:pPr>
      <w:r>
        <w:t>Electrical efficiency per liter of regenerated breathable output.</w:t>
      </w:r>
    </w:p>
    <w:p>
      <w:pPr>
        <w:pStyle w:val="ListBullet"/>
      </w:pPr>
      <w:r>
        <w:t>Failure response behavior when power or moisture availability drops.</w:t>
      </w:r>
    </w:p>
    <w:p>
      <w:pPr>
        <w:pStyle w:val="Heading1"/>
      </w:pPr>
      <w:r>
        <w:t>Physics Boundary</w:t>
      </w:r>
    </w:p>
    <w:p>
      <w:r>
        <w:t>Prism Lung is presented as a speculative but structured life-support concept. It should not be read as proof that a crystal lattice alone can transmute gases or that photonic resonance by itself solves oxygen regeneration. Any realistic implementation would still depend on known processes such as carbon-dioxide processing, catalytic conversion, electrolysis, humidity management, and careful thermal control. The value of the concept is in the proposed integration: the prism as the concentration core, the lattice as the adaptive regulation mantle, and the assist loops as the reliability backstop.</w:t>
      </w:r>
    </w:p>
    <w:p>
      <w:pPr>
        <w:pStyle w:val="Heading1"/>
      </w:pPr>
      <w:r>
        <w:t>Risks and Failure Modes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100" w:type="dxa"/>
              <w:bottom w:w="80" w:type="dxa"/>
              <w:end w:w="100" w:type="dxa"/>
            </w:tcMar>
            <w:shd w:fill="1F4E79"/>
          </w:tcPr>
          <w:p>
            <w:r>
              <w:rPr>
                <w:b/>
                <w:color w:val="FFFFFF"/>
              </w:rPr>
              <w:t>Risk</w:t>
            </w:r>
          </w:p>
        </w:tc>
        <w:tc>
          <w:tcPr>
            <w:tcW w:type="dxa" w:w="4968"/>
            <w:vAlign w:val="center"/>
            <w:tcMar>
              <w:top w:w="80" w:type="dxa"/>
              <w:start w:w="100" w:type="dxa"/>
              <w:bottom w:w="80" w:type="dxa"/>
              <w:end w:w="100" w:type="dxa"/>
            </w:tcMar>
            <w:shd w:fill="1F4E79"/>
          </w:tcPr>
          <w:p>
            <w:r>
              <w:rPr>
                <w:b/>
                <w:color w:val="FFFFFF"/>
              </w:rPr>
              <w:t>Mitigation Focus</w:t>
            </w:r>
          </w:p>
        </w:tc>
      </w:tr>
      <w:tr>
        <w:tc>
          <w:tcPr>
            <w:tcW w:type="dxa" w:w="4968"/>
            <w:shd w:fill="EAF2FB"/>
          </w:tcPr>
          <w:p>
            <w:r>
              <w:t>Thermal runaway</w:t>
            </w:r>
          </w:p>
        </w:tc>
        <w:tc>
          <w:tcPr>
            <w:tcW w:type="dxa" w:w="4968"/>
          </w:tcPr>
          <w:p>
            <w:r>
              <w:t>Uneven concentration at the prism core could overheat surrounding materials if the lattice fails to redistribute load.</w:t>
            </w:r>
          </w:p>
        </w:tc>
      </w:tr>
      <w:tr>
        <w:tc>
          <w:tcPr>
            <w:tcW w:type="dxa" w:w="4968"/>
            <w:shd w:fill="EAF2FB"/>
          </w:tcPr>
          <w:p>
            <w:r>
              <w:t>Gas imbalance</w:t>
            </w:r>
          </w:p>
        </w:tc>
        <w:tc>
          <w:tcPr>
            <w:tcW w:type="dxa" w:w="4968"/>
          </w:tcPr>
          <w:p>
            <w:r>
              <w:t>Poor control authority could lead to oxygen overshoot, carbon-dioxide retention, or dangerous humidity drift.</w:t>
            </w:r>
          </w:p>
        </w:tc>
      </w:tr>
      <w:tr>
        <w:tc>
          <w:tcPr>
            <w:tcW w:type="dxa" w:w="4968"/>
            <w:shd w:fill="EAF2FB"/>
          </w:tcPr>
          <w:p>
            <w:r>
              <w:t>Power starvation</w:t>
            </w:r>
          </w:p>
        </w:tc>
        <w:tc>
          <w:tcPr>
            <w:tcW w:type="dxa" w:w="4968"/>
          </w:tcPr>
          <w:p>
            <w:r>
              <w:t>If input power collapses, the system must fail gracefully and fall back to stored oxygen or a reduced-demand mode.</w:t>
            </w:r>
          </w:p>
        </w:tc>
      </w:tr>
      <w:tr>
        <w:tc>
          <w:tcPr>
            <w:tcW w:type="dxa" w:w="4968"/>
            <w:shd w:fill="EAF2FB"/>
          </w:tcPr>
          <w:p>
            <w:r>
              <w:t>Lattice fatigue</w:t>
            </w:r>
          </w:p>
        </w:tc>
        <w:tc>
          <w:tcPr>
            <w:tcW w:type="dxa" w:w="4968"/>
          </w:tcPr>
          <w:p>
            <w:r>
              <w:t>Repeated load cycling may degrade the shell’s routing behavior or structural integrity.</w:t>
            </w:r>
          </w:p>
        </w:tc>
      </w:tr>
    </w:tbl>
    <w:p>
      <w:pPr>
        <w:pStyle w:val="Heading1"/>
      </w:pPr>
      <w:r>
        <w:t>Conclusion</w:t>
      </w:r>
    </w:p>
    <w:p>
      <w:r>
        <w:t>Prism Lung proposes a coherent next-step architecture for closed-loop atmospheric support: a prism-centered conversion heart wrapped in a programmable crystal lattice that behaves less like passive structure and more like a regulation organ. As a PoC, its purpose is not to claim finished technology, but to define a testable path. If the prism can improve localized conversion efficiency and the lattice can keep that efficiency alive under stress, then Prism Lung becomes a useful foundation for compact life-support systems in biosuits, emergency shelters, and sealed mobile platforms.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E3C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3C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3C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92D5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