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65D"/>
          <w:sz w:val="48"/>
        </w:rPr>
        <w:t>Halo Transit Spine v2</w:t>
      </w:r>
    </w:p>
    <w:p>
      <w:pPr>
        <w:jc w:val="center"/>
      </w:pPr>
      <w:r>
        <w:rPr>
          <w:i/>
          <w:color w:val="404040"/>
          <w:sz w:val="26"/>
        </w:rPr>
        <w:t>Proof-of-Concept White Paper</w:t>
        <w:br/>
        <w:t>Superconducting Internal Transit Architecture with Tandem Spectral Pulse Rail Assist</w:t>
      </w:r>
    </w:p>
    <w:p>
      <w:pPr>
        <w:jc w:val="center"/>
      </w:pPr>
      <w:r>
        <w:rPr>
          <w:color w:val="5A5A5A"/>
          <w:sz w:val="22"/>
        </w:rPr>
        <w:t>GhostCore Systems Archive Draft</w:t>
      </w:r>
    </w:p>
    <w:p/>
    <w:tbl>
      <w:tblPr>
        <w:tblW w:type="auto" w:w="0"/>
        <w:jc w:val="center"/>
        <w:tblLook w:firstColumn="1" w:firstRow="1" w:lastColumn="0" w:lastRow="0" w:noHBand="0" w:noVBand="1" w:val="04A0"/>
      </w:tblPr>
      <w:tblGrid>
        <w:gridCol w:w="9972"/>
      </w:tblGrid>
      <w:tr>
        <w:tc>
          <w:tcPr>
            <w:tcW w:type="dxa" w:w="9071"/>
            <w:shd w:fill="EAF2FF"/>
            <w:tcMar>
              <w:top w:w="140" w:type="dxa"/>
              <w:start w:w="140" w:type="dxa"/>
              <w:bottom w:w="140" w:type="dxa"/>
              <w:end w:w="140" w:type="dxa"/>
            </w:tcMar>
            <w:vAlign w:val="center"/>
          </w:tcPr>
          <w:p>
            <w:r>
              <w:rPr>
                <w:b/>
              </w:rPr>
              <w:t xml:space="preserve">Executive premise. </w:t>
            </w:r>
            <w:r>
              <w:t>Halo Transit Spine v2 extends the original superconducting internal rail concept by adding paired Spectral Overdrive Pulse Drives as synchronized impulse-assist modules. The guideway remains the safe primary mobility layer; the tandem pulse nodes provide extra authority during launch, braking, junction crossing, vertical transfer, and high-priority transit without turning the system into a free-floating propulsion fantasy.</w:t>
            </w:r>
          </w:p>
        </w:tc>
      </w:tr>
    </w:tbl>
    <w:p/>
    <w:p>
      <w:pPr>
        <w:pStyle w:val="Heading1"/>
      </w:pPr>
      <w:r>
        <w:rPr>
          <w:color w:val="1A365D"/>
        </w:rPr>
        <w:t>1. Background and rationale</w:t>
      </w:r>
    </w:p>
    <w:p>
      <w:pPr>
        <w:spacing w:after="120"/>
      </w:pPr>
      <w:r>
        <w:t>The original Halo Transit Spine concept framed a starship as a managed mobility volume rather than a set of disconnected corridors and decks. That framing remains valid. As ships grow larger, pure walking, ladders, carts, and elevators scale poorly for crew movement, emergency response, medevac, freight, and maintenance.</w:t>
      </w:r>
    </w:p>
    <w:p>
      <w:pPr>
        <w:spacing w:after="120"/>
      </w:pPr>
      <w:r>
        <w:t>Version 2 adds a selective performance layer: tandem Spectral Overdrive Pulse Drives mounted on pods or installed at specialized track sections. These modules are not intended to replace guideway control. They exist to inject tightly timed impulse assistance where standard levitation and linear motor sections would otherwise be conservative, slow, or mechanically awkward.</w:t>
      </w:r>
    </w:p>
    <w:p>
      <w:pPr>
        <w:pStyle w:val="Heading1"/>
      </w:pPr>
      <w:r>
        <w:rPr>
          <w:color w:val="1A365D"/>
        </w:rPr>
        <w:t>2. Design thesis</w:t>
      </w:r>
    </w:p>
    <w:p>
      <w:pPr>
        <w:spacing w:after="120"/>
      </w:pPr>
      <w:r>
        <w:t>Halo Transit Spine v2 proposes a four-layer transit stack. First, a superconducting guideway levitates, centers, and routes the pod. Second, segmented synchronous motor sections provide predictable cruise acceleration and braking. Third, a Mercy-derived synchronization controller coordinates segment handoff, pod authentication, and docking behavior. Fourth, twin Spectral Pulse Nodes provide optional burst authority for heavy loads, vertical shafts, complex junctions, and emergency movement.</w:t>
      </w:r>
    </w:p>
    <w:p>
      <w:pPr>
        <w:spacing w:after="120"/>
      </w:pPr>
      <w:r>
        <w:t>The key engineering claim is modest: tandem pulse assist can improve dynamic performance inside a controlled rail environment because the rail, segment controller, and pod chassis give the pulse system something stable to work with. The claim is not that two internal field devices magically propel a carriage without momentum exchange or structure-aware interaction.</w:t>
      </w:r>
    </w:p>
    <w:p>
      <w:pPr>
        <w:pStyle w:val="Heading1"/>
      </w:pPr>
      <w:r>
        <w:rPr>
          <w:color w:val="1A365D"/>
        </w:rPr>
        <w:t>3. System architecture</w:t>
      </w:r>
    </w:p>
    <w:p>
      <w:pPr>
        <w:pStyle w:val="Heading2"/>
      </w:pPr>
      <w:r>
        <w:rPr>
          <w:color w:val="345378"/>
        </w:rPr>
        <w:t>3.1 Core guideway</w:t>
      </w:r>
    </w:p>
    <w:p>
      <w:pPr>
        <w:spacing w:after="120"/>
      </w:pPr>
      <w:r>
        <w:t>Superconducting rail or embedded guideway following the ship’s main logistics and personnel corridors.</w:t>
      </w:r>
    </w:p>
    <w:p>
      <w:pPr>
        <w:spacing w:after="120"/>
      </w:pPr>
      <w:r>
        <w:t>Independent levitation, centering, and linear motor zones so a fault in one section does not collapse the entire network.</w:t>
      </w:r>
    </w:p>
    <w:p>
      <w:pPr>
        <w:spacing w:after="120"/>
      </w:pPr>
      <w:r>
        <w:t>Trackside docking nodes with authentication, route reservation, and safe-hold states.</w:t>
      </w:r>
    </w:p>
    <w:p>
      <w:pPr>
        <w:pStyle w:val="Heading2"/>
      </w:pPr>
      <w:r>
        <w:rPr>
          <w:color w:val="345378"/>
        </w:rPr>
        <w:t>3.2 Pod classes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701"/>
            <w:shd w:fill="D9E7F7"/>
            <w:tcMar>
              <w:top w:w="120" w:type="dxa"/>
              <w:start w:w="120" w:type="dxa"/>
              <w:bottom w:w="120" w:type="dxa"/>
              <w:end w:w="120" w:type="dxa"/>
            </w:tcMar>
            <w:vAlign w:val="center"/>
          </w:tcPr>
          <w:p>
            <w:r>
              <w:t>Pod class</w:t>
            </w:r>
          </w:p>
        </w:tc>
        <w:tc>
          <w:tcPr>
            <w:tcW w:type="dxa" w:w="2551"/>
            <w:shd w:fill="D9E7F7"/>
            <w:tcMar>
              <w:top w:w="120" w:type="dxa"/>
              <w:start w:w="120" w:type="dxa"/>
              <w:bottom w:w="120" w:type="dxa"/>
              <w:end w:w="120" w:type="dxa"/>
            </w:tcMar>
            <w:vAlign w:val="center"/>
          </w:tcPr>
          <w:p>
            <w:r>
              <w:t>Primary use</w:t>
            </w:r>
          </w:p>
        </w:tc>
        <w:tc>
          <w:tcPr>
            <w:tcW w:type="dxa" w:w="2268"/>
            <w:shd w:fill="D9E7F7"/>
            <w:tcMar>
              <w:top w:w="120" w:type="dxa"/>
              <w:start w:w="120" w:type="dxa"/>
              <w:bottom w:w="120" w:type="dxa"/>
              <w:end w:w="120" w:type="dxa"/>
            </w:tcMar>
            <w:vAlign w:val="center"/>
          </w:tcPr>
          <w:p>
            <w:r>
              <w:t>Normal drive mode</w:t>
            </w:r>
          </w:p>
        </w:tc>
        <w:tc>
          <w:tcPr>
            <w:tcW w:type="dxa" w:w="3118"/>
            <w:shd w:fill="D9E7F7"/>
            <w:tcMar>
              <w:top w:w="120" w:type="dxa"/>
              <w:start w:w="120" w:type="dxa"/>
              <w:bottom w:w="120" w:type="dxa"/>
              <w:end w:w="120" w:type="dxa"/>
            </w:tcMar>
            <w:vAlign w:val="center"/>
          </w:tcPr>
          <w:p>
            <w:r>
              <w:t>When pulse assist activates</w:t>
            </w:r>
          </w:p>
        </w:tc>
      </w:tr>
      <w:tr>
        <w:tc>
          <w:tcPr>
            <w:tcW w:type="dxa" w:w="2493"/>
            <w:tcMar>
              <w:top w:w="110" w:type="dxa"/>
              <w:start w:w="110" w:type="dxa"/>
              <w:bottom w:w="110" w:type="dxa"/>
              <w:end w:w="110" w:type="dxa"/>
            </w:tcMar>
            <w:vAlign w:val="center"/>
          </w:tcPr>
          <w:p>
            <w:r>
              <w:t>Crew pod</w:t>
            </w:r>
          </w:p>
        </w:tc>
        <w:tc>
          <w:tcPr>
            <w:tcW w:type="dxa" w:w="2493"/>
            <w:tcMar>
              <w:top w:w="110" w:type="dxa"/>
              <w:start w:w="110" w:type="dxa"/>
              <w:bottom w:w="110" w:type="dxa"/>
              <w:end w:w="110" w:type="dxa"/>
            </w:tcMar>
            <w:vAlign w:val="center"/>
          </w:tcPr>
          <w:p>
            <w:r>
              <w:t>Routine personnel movement and emergency rerouting</w:t>
            </w:r>
          </w:p>
        </w:tc>
        <w:tc>
          <w:tcPr>
            <w:tcW w:type="dxa" w:w="2493"/>
            <w:tcMar>
              <w:top w:w="110" w:type="dxa"/>
              <w:start w:w="110" w:type="dxa"/>
              <w:bottom w:w="110" w:type="dxa"/>
              <w:end w:w="110" w:type="dxa"/>
            </w:tcMar>
            <w:vAlign w:val="center"/>
          </w:tcPr>
          <w:p>
            <w:r>
              <w:t>Guideway levitation + linear motor cruise</w:t>
            </w:r>
          </w:p>
        </w:tc>
        <w:tc>
          <w:tcPr>
            <w:tcW w:type="dxa" w:w="2493"/>
            <w:tcMar>
              <w:top w:w="110" w:type="dxa"/>
              <w:start w:w="110" w:type="dxa"/>
              <w:bottom w:w="110" w:type="dxa"/>
              <w:end w:w="110" w:type="dxa"/>
            </w:tcMar>
            <w:vAlign w:val="center"/>
          </w:tcPr>
          <w:p>
            <w:r>
              <w:t>Fast launch, emergency corridor clearing, vertical transitions</w:t>
            </w:r>
          </w:p>
        </w:tc>
      </w:tr>
      <w:tr>
        <w:tc>
          <w:tcPr>
            <w:tcW w:type="dxa" w:w="2493"/>
            <w:tcMar>
              <w:top w:w="110" w:type="dxa"/>
              <w:start w:w="110" w:type="dxa"/>
              <w:bottom w:w="110" w:type="dxa"/>
              <w:end w:w="110" w:type="dxa"/>
            </w:tcMar>
            <w:vAlign w:val="center"/>
          </w:tcPr>
          <w:p>
            <w:r>
              <w:t>Cargo sled</w:t>
            </w:r>
          </w:p>
        </w:tc>
        <w:tc>
          <w:tcPr>
            <w:tcW w:type="dxa" w:w="2493"/>
            <w:tcMar>
              <w:top w:w="110" w:type="dxa"/>
              <w:start w:w="110" w:type="dxa"/>
              <w:bottom w:w="110" w:type="dxa"/>
              <w:end w:w="110" w:type="dxa"/>
            </w:tcMar>
            <w:vAlign w:val="center"/>
          </w:tcPr>
          <w:p>
            <w:r>
              <w:t>Heavy freight and modular cargo containers</w:t>
            </w:r>
          </w:p>
        </w:tc>
        <w:tc>
          <w:tcPr>
            <w:tcW w:type="dxa" w:w="2493"/>
            <w:tcMar>
              <w:top w:w="110" w:type="dxa"/>
              <w:start w:w="110" w:type="dxa"/>
              <w:bottom w:w="110" w:type="dxa"/>
              <w:end w:w="110" w:type="dxa"/>
            </w:tcMar>
            <w:vAlign w:val="center"/>
          </w:tcPr>
          <w:p>
            <w:r>
              <w:t>Guideway with conservative acceleration envelope</w:t>
            </w:r>
          </w:p>
        </w:tc>
        <w:tc>
          <w:tcPr>
            <w:tcW w:type="dxa" w:w="2493"/>
            <w:tcMar>
              <w:top w:w="110" w:type="dxa"/>
              <w:start w:w="110" w:type="dxa"/>
              <w:bottom w:w="110" w:type="dxa"/>
              <w:end w:w="110" w:type="dxa"/>
            </w:tcMar>
            <w:vAlign w:val="center"/>
          </w:tcPr>
          <w:p>
            <w:r>
              <w:t>Mass compensation, incline support, junction transfer under load</w:t>
            </w:r>
          </w:p>
        </w:tc>
      </w:tr>
      <w:tr>
        <w:tc>
          <w:tcPr>
            <w:tcW w:type="dxa" w:w="2493"/>
            <w:tcMar>
              <w:top w:w="110" w:type="dxa"/>
              <w:start w:w="110" w:type="dxa"/>
              <w:bottom w:w="110" w:type="dxa"/>
              <w:end w:w="110" w:type="dxa"/>
            </w:tcMar>
            <w:vAlign w:val="center"/>
          </w:tcPr>
          <w:p>
            <w:r>
              <w:t>Medevac capsule</w:t>
            </w:r>
          </w:p>
        </w:tc>
        <w:tc>
          <w:tcPr>
            <w:tcW w:type="dxa" w:w="2493"/>
            <w:tcMar>
              <w:top w:w="110" w:type="dxa"/>
              <w:start w:w="110" w:type="dxa"/>
              <w:bottom w:w="110" w:type="dxa"/>
              <w:end w:w="110" w:type="dxa"/>
            </w:tcMar>
            <w:vAlign w:val="center"/>
          </w:tcPr>
          <w:p>
            <w:r>
              <w:t>Patient isolation and smooth transport</w:t>
            </w:r>
          </w:p>
        </w:tc>
        <w:tc>
          <w:tcPr>
            <w:tcW w:type="dxa" w:w="2493"/>
            <w:tcMar>
              <w:top w:w="110" w:type="dxa"/>
              <w:start w:w="110" w:type="dxa"/>
              <w:bottom w:w="110" w:type="dxa"/>
              <w:end w:w="110" w:type="dxa"/>
            </w:tcMar>
            <w:vAlign w:val="center"/>
          </w:tcPr>
          <w:p>
            <w:r>
              <w:t>Low-jerk guideway mode</w:t>
            </w:r>
          </w:p>
        </w:tc>
        <w:tc>
          <w:tcPr>
            <w:tcW w:type="dxa" w:w="2493"/>
            <w:tcMar>
              <w:top w:w="110" w:type="dxa"/>
              <w:start w:w="110" w:type="dxa"/>
              <w:bottom w:w="110" w:type="dxa"/>
              <w:end w:w="110" w:type="dxa"/>
            </w:tcMar>
            <w:vAlign w:val="center"/>
          </w:tcPr>
          <w:p>
            <w:r>
              <w:t>Short-duration impulse smoothing where track geometry is demanding</w:t>
            </w:r>
          </w:p>
        </w:tc>
      </w:tr>
      <w:tr>
        <w:tc>
          <w:tcPr>
            <w:tcW w:type="dxa" w:w="2493"/>
            <w:tcMar>
              <w:top w:w="110" w:type="dxa"/>
              <w:start w:w="110" w:type="dxa"/>
              <w:bottom w:w="110" w:type="dxa"/>
              <w:end w:w="110" w:type="dxa"/>
            </w:tcMar>
            <w:vAlign w:val="center"/>
          </w:tcPr>
          <w:p>
            <w:r>
              <w:t>Utility carriage</w:t>
            </w:r>
          </w:p>
        </w:tc>
        <w:tc>
          <w:tcPr>
            <w:tcW w:type="dxa" w:w="2493"/>
            <w:tcMar>
              <w:top w:w="110" w:type="dxa"/>
              <w:start w:w="110" w:type="dxa"/>
              <w:bottom w:w="110" w:type="dxa"/>
              <w:end w:w="110" w:type="dxa"/>
            </w:tcMar>
            <w:vAlign w:val="center"/>
          </w:tcPr>
          <w:p>
            <w:r>
              <w:t>Maintenance, tools, robotic service</w:t>
            </w:r>
          </w:p>
        </w:tc>
        <w:tc>
          <w:tcPr>
            <w:tcW w:type="dxa" w:w="2493"/>
            <w:tcMar>
              <w:top w:w="110" w:type="dxa"/>
              <w:start w:w="110" w:type="dxa"/>
              <w:bottom w:w="110" w:type="dxa"/>
              <w:end w:w="110" w:type="dxa"/>
            </w:tcMar>
            <w:vAlign w:val="center"/>
          </w:tcPr>
          <w:p>
            <w:r>
              <w:t>Guideway with low-speed station work</w:t>
            </w:r>
          </w:p>
        </w:tc>
        <w:tc>
          <w:tcPr>
            <w:tcW w:type="dxa" w:w="2493"/>
            <w:tcMar>
              <w:top w:w="110" w:type="dxa"/>
              <w:start w:w="110" w:type="dxa"/>
              <w:bottom w:w="110" w:type="dxa"/>
              <w:end w:w="110" w:type="dxa"/>
            </w:tcMar>
            <w:vAlign w:val="center"/>
          </w:tcPr>
          <w:p>
            <w:r>
              <w:t>Localized stance correction, shaft insertion, retrieval</w:t>
            </w:r>
          </w:p>
        </w:tc>
      </w:tr>
    </w:tbl>
    <w:p/>
    <w:p>
      <w:pPr>
        <w:pStyle w:val="Heading2"/>
      </w:pPr>
      <w:r>
        <w:rPr>
          <w:color w:val="345378"/>
        </w:rPr>
        <w:t>3.3 Tandem Spectral Pulse Rail</w:t>
      </w:r>
    </w:p>
    <w:p>
      <w:pPr>
        <w:spacing w:after="120"/>
      </w:pPr>
      <w:r>
        <w:t>The new v2 subsystem places two Spectral Overdrive Pulse Drives in tandem around the carriage or at specialized rail stations. In the simplest arrangement, the pulse nodes sit in opposed positions so equal firing produces straight impulse assist, while asymmetric timing produces trim, yaw correction, or oscillation suppression.</w:t>
      </w:r>
    </w:p>
    <w:p>
      <w:pPr>
        <w:spacing w:after="120"/>
      </w:pPr>
      <w:r>
        <w:t>Each pulse node is modeled as an upper overdrive cell for plasma generation and timed electrical discharge, coupled to a lower rotational magnetic stage that compresses and shapes the working medium into short impulse packets. In Halo Transit Spine, those packets are synchronized to the rail environment instead of operating as a stand-alone free-space thruster.</w:t>
      </w:r>
    </w:p>
    <w:p>
      <w:pPr>
        <w:pStyle w:val="Heading2"/>
      </w:pPr>
      <w:r>
        <w:rPr>
          <w:color w:val="345378"/>
        </w:rPr>
        <w:t>3.4 Control hierarchy</w:t>
      </w:r>
    </w:p>
    <w:tbl>
      <w:tblPr>
        <w:tblStyle w:val="TableGrid"/>
        <w:tblW w:type="auto" w:w="0"/>
        <w:jc w:val="center"/>
        <w:tblLook w:firstColumn="1" w:firstRow="1" w:lastColumn="0" w:lastRow="0" w:noHBand="0" w:noVBand="1" w:val="04A0"/>
      </w:tblPr>
      <w:tblGrid>
        <w:gridCol w:w="3324"/>
        <w:gridCol w:w="3324"/>
        <w:gridCol w:w="3324"/>
      </w:tblGrid>
      <w:tr>
        <w:tc>
          <w:tcPr>
            <w:tcW w:type="dxa" w:w="1814"/>
            <w:shd w:fill="D9E7F7"/>
            <w:tcMar>
              <w:top w:w="120" w:type="dxa"/>
              <w:start w:w="120" w:type="dxa"/>
              <w:bottom w:w="120" w:type="dxa"/>
              <w:end w:w="120" w:type="dxa"/>
            </w:tcMar>
          </w:tcPr>
          <w:p>
            <w:r>
              <w:t>Layer</w:t>
            </w:r>
          </w:p>
        </w:tc>
        <w:tc>
          <w:tcPr>
            <w:tcW w:type="dxa" w:w="3969"/>
            <w:shd w:fill="D9E7F7"/>
            <w:tcMar>
              <w:top w:w="120" w:type="dxa"/>
              <w:start w:w="120" w:type="dxa"/>
              <w:bottom w:w="120" w:type="dxa"/>
              <w:end w:w="120" w:type="dxa"/>
            </w:tcMar>
          </w:tcPr>
          <w:p>
            <w:r>
              <w:t>Role</w:t>
            </w:r>
          </w:p>
        </w:tc>
        <w:tc>
          <w:tcPr>
            <w:tcW w:type="dxa" w:w="3855"/>
            <w:shd w:fill="D9E7F7"/>
            <w:tcMar>
              <w:top w:w="120" w:type="dxa"/>
              <w:start w:w="120" w:type="dxa"/>
              <w:bottom w:w="120" w:type="dxa"/>
              <w:end w:w="120" w:type="dxa"/>
            </w:tcMar>
          </w:tcPr>
          <w:p>
            <w:r>
              <w:t>Failure philosophy</w:t>
            </w:r>
          </w:p>
        </w:tc>
      </w:tr>
      <w:tr>
        <w:tc>
          <w:tcPr>
            <w:tcW w:type="dxa" w:w="3324"/>
            <w:tcMar>
              <w:top w:w="110" w:type="dxa"/>
              <w:start w:w="110" w:type="dxa"/>
              <w:bottom w:w="110" w:type="dxa"/>
              <w:end w:w="110" w:type="dxa"/>
            </w:tcMar>
            <w:vAlign w:val="center"/>
          </w:tcPr>
          <w:p>
            <w:r>
              <w:t>Guideway field layer</w:t>
            </w:r>
          </w:p>
        </w:tc>
        <w:tc>
          <w:tcPr>
            <w:tcW w:type="dxa" w:w="3324"/>
            <w:tcMar>
              <w:top w:w="110" w:type="dxa"/>
              <w:start w:w="110" w:type="dxa"/>
              <w:bottom w:w="110" w:type="dxa"/>
              <w:end w:w="110" w:type="dxa"/>
            </w:tcMar>
            <w:vAlign w:val="center"/>
          </w:tcPr>
          <w:p>
            <w:r>
              <w:t>Levitation, centering, baseline propulsion, safe-stop behavior</w:t>
            </w:r>
          </w:p>
        </w:tc>
        <w:tc>
          <w:tcPr>
            <w:tcW w:type="dxa" w:w="3324"/>
            <w:tcMar>
              <w:top w:w="110" w:type="dxa"/>
              <w:start w:w="110" w:type="dxa"/>
              <w:bottom w:w="110" w:type="dxa"/>
              <w:end w:w="110" w:type="dxa"/>
            </w:tcMar>
            <w:vAlign w:val="center"/>
          </w:tcPr>
          <w:p>
            <w:r>
              <w:t>If uncertain, reduce to capture mode and hold position</w:t>
            </w:r>
          </w:p>
        </w:tc>
      </w:tr>
      <w:tr>
        <w:tc>
          <w:tcPr>
            <w:tcW w:type="dxa" w:w="3324"/>
            <w:tcMar>
              <w:top w:w="110" w:type="dxa"/>
              <w:start w:w="110" w:type="dxa"/>
              <w:bottom w:w="110" w:type="dxa"/>
              <w:end w:w="110" w:type="dxa"/>
            </w:tcMar>
            <w:vAlign w:val="center"/>
          </w:tcPr>
          <w:p>
            <w:r>
              <w:t>Mercy sync layer</w:t>
            </w:r>
          </w:p>
        </w:tc>
        <w:tc>
          <w:tcPr>
            <w:tcW w:type="dxa" w:w="3324"/>
            <w:tcMar>
              <w:top w:w="110" w:type="dxa"/>
              <w:start w:w="110" w:type="dxa"/>
              <w:bottom w:w="110" w:type="dxa"/>
              <w:end w:w="110" w:type="dxa"/>
            </w:tcMar>
            <w:vAlign w:val="center"/>
          </w:tcPr>
          <w:p>
            <w:r>
              <w:t>Phase-lock segment handoff, route arbitration, docking profile shaping</w:t>
            </w:r>
          </w:p>
        </w:tc>
        <w:tc>
          <w:tcPr>
            <w:tcW w:type="dxa" w:w="3324"/>
            <w:tcMar>
              <w:top w:w="110" w:type="dxa"/>
              <w:start w:w="110" w:type="dxa"/>
              <w:bottom w:w="110" w:type="dxa"/>
              <w:end w:w="110" w:type="dxa"/>
            </w:tcMar>
            <w:vAlign w:val="center"/>
          </w:tcPr>
          <w:p>
            <w:r>
              <w:t>If desynchronized, deny pulse assist and continue in rail-only mode</w:t>
            </w:r>
          </w:p>
        </w:tc>
      </w:tr>
      <w:tr>
        <w:tc>
          <w:tcPr>
            <w:tcW w:type="dxa" w:w="3324"/>
            <w:tcMar>
              <w:top w:w="110" w:type="dxa"/>
              <w:start w:w="110" w:type="dxa"/>
              <w:bottom w:w="110" w:type="dxa"/>
              <w:end w:w="110" w:type="dxa"/>
            </w:tcMar>
            <w:vAlign w:val="center"/>
          </w:tcPr>
          <w:p>
            <w:r>
              <w:t>Tandem pulse layer</w:t>
            </w:r>
          </w:p>
        </w:tc>
        <w:tc>
          <w:tcPr>
            <w:tcW w:type="dxa" w:w="3324"/>
            <w:tcMar>
              <w:top w:w="110" w:type="dxa"/>
              <w:start w:w="110" w:type="dxa"/>
              <w:bottom w:w="110" w:type="dxa"/>
              <w:end w:w="110" w:type="dxa"/>
            </w:tcMar>
            <w:vAlign w:val="center"/>
          </w:tcPr>
          <w:p>
            <w:r>
              <w:t>Inject burst authority, damp oscillation, assist heavy or vertical movement</w:t>
            </w:r>
          </w:p>
        </w:tc>
        <w:tc>
          <w:tcPr>
            <w:tcW w:type="dxa" w:w="3324"/>
            <w:tcMar>
              <w:top w:w="110" w:type="dxa"/>
              <w:start w:w="110" w:type="dxa"/>
              <w:bottom w:w="110" w:type="dxa"/>
              <w:end w:w="110" w:type="dxa"/>
            </w:tcMar>
            <w:vAlign w:val="center"/>
          </w:tcPr>
          <w:p>
            <w:r>
              <w:t>If degraded, shut down independently without compromising guideway capture</w:t>
            </w:r>
          </w:p>
        </w:tc>
      </w:tr>
    </w:tbl>
    <w:p/>
    <w:p>
      <w:pPr>
        <w:pStyle w:val="Heading1"/>
      </w:pPr>
      <w:r>
        <w:rPr>
          <w:color w:val="1A365D"/>
        </w:rPr>
        <w:t>4. Operating modes</w:t>
      </w:r>
    </w:p>
    <w:p>
      <w:pPr>
        <w:pStyle w:val="ListBullet"/>
      </w:pPr>
      <w:r>
        <w:rPr>
          <w:b/>
        </w:rPr>
        <w:t xml:space="preserve">Rail-only cruise: </w:t>
      </w:r>
      <w:r>
        <w:t>Default daily operation. Levitation, centering, cruise, and docking are handled entirely by the guideway and segmented linear motors.</w:t>
      </w:r>
    </w:p>
    <w:p>
      <w:pPr>
        <w:pStyle w:val="ListBullet"/>
      </w:pPr>
      <w:r>
        <w:rPr>
          <w:b/>
        </w:rPr>
        <w:t xml:space="preserve">Pulse-assisted launch: </w:t>
      </w:r>
      <w:r>
        <w:t>Twin pulse nodes fire symmetrically for short startup authority when a pod needs fast departure from a station or bay.</w:t>
      </w:r>
    </w:p>
    <w:p>
      <w:pPr>
        <w:pStyle w:val="ListBullet"/>
      </w:pPr>
      <w:r>
        <w:rPr>
          <w:b/>
        </w:rPr>
        <w:t xml:space="preserve">Vertical shaft assist: </w:t>
      </w:r>
      <w:r>
        <w:t>Balanced tandem firing helps compensate for gravity load and keeps the pod attitude quiet in lift shafts or steep transit risers.</w:t>
      </w:r>
    </w:p>
    <w:p>
      <w:pPr>
        <w:pStyle w:val="ListBullet"/>
      </w:pPr>
      <w:r>
        <w:rPr>
          <w:b/>
        </w:rPr>
        <w:t xml:space="preserve">Junction transfer mode: </w:t>
      </w:r>
      <w:r>
        <w:t>Pulse nodes provide brief trim impulses while the pod crosses complex control seams, switch geometries, or multi-branch routing zones.</w:t>
      </w:r>
    </w:p>
    <w:p>
      <w:pPr>
        <w:pStyle w:val="ListBullet"/>
      </w:pPr>
      <w:r>
        <w:rPr>
          <w:b/>
        </w:rPr>
        <w:t xml:space="preserve">Emergency overdrive corridor: </w:t>
      </w:r>
      <w:r>
        <w:t>High-priority medevac or damage-control pods use burst-assist under a restricted but higher-performance envelope with full controller supervision.</w:t>
      </w:r>
    </w:p>
    <w:p>
      <w:pPr>
        <w:pStyle w:val="Heading1"/>
      </w:pPr>
      <w:r>
        <w:rPr>
          <w:color w:val="1A365D"/>
        </w:rPr>
        <w:t>5. Why tandem pulse nodes matter</w:t>
      </w:r>
    </w:p>
    <w:p>
      <w:pPr>
        <w:spacing w:after="120"/>
      </w:pPr>
      <w:r>
        <w:t>A single pulse unit mostly gives shove. Two synchronized units give control. Equal firing can add straight-line impulse. Staggered firing can cancel wobble. Asymmetric firing can trim drift, correct yaw, or suppress oscillation after a rough segment handoff. That makes tandem nodes much better suited to inhabited transit than a single dramatic overdrive module.</w:t>
      </w:r>
    </w:p>
    <w:p>
      <w:pPr>
        <w:spacing w:after="120"/>
      </w:pPr>
      <w:r>
        <w:t>The rail environment is what makes the idea coherent. Because the pod is already constrained by a guideway and watched by a synchronization controller, the pulse nodes can be used sparingly and precisely. They are not asked to invent order from chaos; they are asked to sharpen a system that is already ordered.</w:t>
      </w:r>
    </w:p>
    <w:p>
      <w:pPr>
        <w:pStyle w:val="Heading1"/>
      </w:pPr>
      <w:r>
        <w:rPr>
          <w:color w:val="1A365D"/>
        </w:rPr>
        <w:t>6. Safety architecture</w:t>
      </w:r>
    </w:p>
    <w:p>
      <w:pPr>
        <w:spacing w:after="120"/>
      </w:pPr>
      <w:r>
        <w:t>Halo Transit Spine v2 still achieves safety through layered control rather than by pretending hardware never fails. Pulse assist is optional and removable. The guideway always remains the primary capture and stopping mechanism.</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984"/>
            <w:shd w:fill="F3E6D9"/>
            <w:tcMar>
              <w:top w:w="120" w:type="dxa"/>
              <w:start w:w="120" w:type="dxa"/>
              <w:bottom w:w="120" w:type="dxa"/>
              <w:end w:w="120" w:type="dxa"/>
            </w:tcMar>
          </w:tcPr>
          <w:p>
            <w:r>
              <w:t>Hazard</w:t>
            </w:r>
          </w:p>
        </w:tc>
        <w:tc>
          <w:tcPr>
            <w:tcW w:type="dxa" w:w="2551"/>
            <w:shd w:fill="F3E6D9"/>
            <w:tcMar>
              <w:top w:w="120" w:type="dxa"/>
              <w:start w:w="120" w:type="dxa"/>
              <w:bottom w:w="120" w:type="dxa"/>
              <w:end w:w="120" w:type="dxa"/>
            </w:tcMar>
          </w:tcPr>
          <w:p>
            <w:r>
              <w:t>Primary risk</w:t>
            </w:r>
          </w:p>
        </w:tc>
        <w:tc>
          <w:tcPr>
            <w:tcW w:type="dxa" w:w="2835"/>
            <w:shd w:fill="F3E6D9"/>
            <w:tcMar>
              <w:top w:w="120" w:type="dxa"/>
              <w:start w:w="120" w:type="dxa"/>
              <w:bottom w:w="120" w:type="dxa"/>
              <w:end w:w="120" w:type="dxa"/>
            </w:tcMar>
          </w:tcPr>
          <w:p>
            <w:r>
              <w:t>Mitigation</w:t>
            </w:r>
          </w:p>
        </w:tc>
        <w:tc>
          <w:tcPr>
            <w:tcW w:type="dxa" w:w="2551"/>
            <w:shd w:fill="F3E6D9"/>
            <w:tcMar>
              <w:top w:w="120" w:type="dxa"/>
              <w:start w:w="120" w:type="dxa"/>
              <w:bottom w:w="120" w:type="dxa"/>
              <w:end w:w="120" w:type="dxa"/>
            </w:tcMar>
          </w:tcPr>
          <w:p>
            <w:r>
              <w:t>Resulting behavior</w:t>
            </w:r>
          </w:p>
        </w:tc>
      </w:tr>
      <w:tr>
        <w:tc>
          <w:tcPr>
            <w:tcW w:type="dxa" w:w="2493"/>
            <w:tcMar>
              <w:top w:w="110" w:type="dxa"/>
              <w:start w:w="110" w:type="dxa"/>
              <w:bottom w:w="110" w:type="dxa"/>
              <w:end w:w="110" w:type="dxa"/>
            </w:tcMar>
            <w:vAlign w:val="center"/>
          </w:tcPr>
          <w:p>
            <w:r>
              <w:t>Pulse desynchronization</w:t>
            </w:r>
          </w:p>
        </w:tc>
        <w:tc>
          <w:tcPr>
            <w:tcW w:type="dxa" w:w="2493"/>
            <w:tcMar>
              <w:top w:w="110" w:type="dxa"/>
              <w:start w:w="110" w:type="dxa"/>
              <w:bottom w:w="110" w:type="dxa"/>
              <w:end w:w="110" w:type="dxa"/>
            </w:tcMar>
            <w:vAlign w:val="center"/>
          </w:tcPr>
          <w:p>
            <w:r>
              <w:t>Yaw impulse or carriage vibration</w:t>
            </w:r>
          </w:p>
        </w:tc>
        <w:tc>
          <w:tcPr>
            <w:tcW w:type="dxa" w:w="2493"/>
            <w:tcMar>
              <w:top w:w="110" w:type="dxa"/>
              <w:start w:w="110" w:type="dxa"/>
              <w:bottom w:w="110" w:type="dxa"/>
              <w:end w:w="110" w:type="dxa"/>
            </w:tcMar>
            <w:vAlign w:val="center"/>
          </w:tcPr>
          <w:p>
            <w:r>
              <w:t>Controller cross-checks phase before firing; rail-only fallback</w:t>
            </w:r>
          </w:p>
        </w:tc>
        <w:tc>
          <w:tcPr>
            <w:tcW w:type="dxa" w:w="2493"/>
            <w:tcMar>
              <w:top w:w="110" w:type="dxa"/>
              <w:start w:w="110" w:type="dxa"/>
              <w:bottom w:w="110" w:type="dxa"/>
              <w:end w:w="110" w:type="dxa"/>
            </w:tcMar>
            <w:vAlign w:val="center"/>
          </w:tcPr>
          <w:p>
            <w:r>
              <w:t>Pod continues at reduced performance</w:t>
            </w:r>
          </w:p>
        </w:tc>
      </w:tr>
      <w:tr>
        <w:tc>
          <w:tcPr>
            <w:tcW w:type="dxa" w:w="2493"/>
            <w:tcMar>
              <w:top w:w="110" w:type="dxa"/>
              <w:start w:w="110" w:type="dxa"/>
              <w:bottom w:w="110" w:type="dxa"/>
              <w:end w:w="110" w:type="dxa"/>
            </w:tcMar>
            <w:vAlign w:val="center"/>
          </w:tcPr>
          <w:p>
            <w:r>
              <w:t>Overdrive cell thermal rise</w:t>
            </w:r>
          </w:p>
        </w:tc>
        <w:tc>
          <w:tcPr>
            <w:tcW w:type="dxa" w:w="2493"/>
            <w:tcMar>
              <w:top w:w="110" w:type="dxa"/>
              <w:start w:w="110" w:type="dxa"/>
              <w:bottom w:w="110" w:type="dxa"/>
              <w:end w:w="110" w:type="dxa"/>
            </w:tcMar>
            <w:vAlign w:val="center"/>
          </w:tcPr>
          <w:p>
            <w:r>
              <w:t>Local overheating or pulse denial</w:t>
            </w:r>
          </w:p>
        </w:tc>
        <w:tc>
          <w:tcPr>
            <w:tcW w:type="dxa" w:w="2493"/>
            <w:tcMar>
              <w:top w:w="110" w:type="dxa"/>
              <w:start w:w="110" w:type="dxa"/>
              <w:bottom w:w="110" w:type="dxa"/>
              <w:end w:w="110" w:type="dxa"/>
            </w:tcMar>
            <w:vAlign w:val="center"/>
          </w:tcPr>
          <w:p>
            <w:r>
              <w:t>Thermal sensors, cooldown window, automatic pulse lockout</w:t>
            </w:r>
          </w:p>
        </w:tc>
        <w:tc>
          <w:tcPr>
            <w:tcW w:type="dxa" w:w="2493"/>
            <w:tcMar>
              <w:top w:w="110" w:type="dxa"/>
              <w:start w:w="110" w:type="dxa"/>
              <w:bottom w:w="110" w:type="dxa"/>
              <w:end w:w="110" w:type="dxa"/>
            </w:tcMar>
            <w:vAlign w:val="center"/>
          </w:tcPr>
          <w:p>
            <w:r>
              <w:t>Guideway keeps carriage captured</w:t>
            </w:r>
          </w:p>
        </w:tc>
      </w:tr>
      <w:tr>
        <w:tc>
          <w:tcPr>
            <w:tcW w:type="dxa" w:w="2493"/>
            <w:tcMar>
              <w:top w:w="110" w:type="dxa"/>
              <w:start w:w="110" w:type="dxa"/>
              <w:bottom w:w="110" w:type="dxa"/>
              <w:end w:w="110" w:type="dxa"/>
            </w:tcMar>
            <w:vAlign w:val="center"/>
          </w:tcPr>
          <w:p>
            <w:r>
              <w:t>Segment handoff mismatch</w:t>
            </w:r>
          </w:p>
        </w:tc>
        <w:tc>
          <w:tcPr>
            <w:tcW w:type="dxa" w:w="2493"/>
            <w:tcMar>
              <w:top w:w="110" w:type="dxa"/>
              <w:start w:w="110" w:type="dxa"/>
              <w:bottom w:w="110" w:type="dxa"/>
              <w:end w:w="110" w:type="dxa"/>
            </w:tcMar>
            <w:vAlign w:val="center"/>
          </w:tcPr>
          <w:p>
            <w:r>
              <w:t>Jerk at seam or route refusal</w:t>
            </w:r>
          </w:p>
        </w:tc>
        <w:tc>
          <w:tcPr>
            <w:tcW w:type="dxa" w:w="2493"/>
            <w:tcMar>
              <w:top w:w="110" w:type="dxa"/>
              <w:start w:w="110" w:type="dxa"/>
              <w:bottom w:w="110" w:type="dxa"/>
              <w:end w:w="110" w:type="dxa"/>
            </w:tcMar>
            <w:vAlign w:val="center"/>
          </w:tcPr>
          <w:p>
            <w:r>
              <w:t>Receiving section must phase-lock before entry</w:t>
            </w:r>
          </w:p>
        </w:tc>
        <w:tc>
          <w:tcPr>
            <w:tcW w:type="dxa" w:w="2493"/>
            <w:tcMar>
              <w:top w:w="110" w:type="dxa"/>
              <w:start w:w="110" w:type="dxa"/>
              <w:bottom w:w="110" w:type="dxa"/>
              <w:end w:w="110" w:type="dxa"/>
            </w:tcMar>
            <w:vAlign w:val="center"/>
          </w:tcPr>
          <w:p>
            <w:r>
              <w:t>Pod holds at boundary until clean capture</w:t>
            </w:r>
          </w:p>
        </w:tc>
      </w:tr>
      <w:tr>
        <w:tc>
          <w:tcPr>
            <w:tcW w:type="dxa" w:w="2493"/>
            <w:tcMar>
              <w:top w:w="110" w:type="dxa"/>
              <w:start w:w="110" w:type="dxa"/>
              <w:bottom w:w="110" w:type="dxa"/>
              <w:end w:w="110" w:type="dxa"/>
            </w:tcMar>
            <w:vAlign w:val="center"/>
          </w:tcPr>
          <w:p>
            <w:r>
              <w:t>Cryogenic service interruption</w:t>
            </w:r>
          </w:p>
        </w:tc>
        <w:tc>
          <w:tcPr>
            <w:tcW w:type="dxa" w:w="2493"/>
            <w:tcMar>
              <w:top w:w="110" w:type="dxa"/>
              <w:start w:w="110" w:type="dxa"/>
              <w:bottom w:w="110" w:type="dxa"/>
              <w:end w:w="110" w:type="dxa"/>
            </w:tcMar>
            <w:vAlign w:val="center"/>
          </w:tcPr>
          <w:p>
            <w:r>
              <w:t>Loss of superconducting efficiency</w:t>
            </w:r>
          </w:p>
        </w:tc>
        <w:tc>
          <w:tcPr>
            <w:tcW w:type="dxa" w:w="2493"/>
            <w:tcMar>
              <w:top w:w="110" w:type="dxa"/>
              <w:start w:w="110" w:type="dxa"/>
              <w:bottom w:w="110" w:type="dxa"/>
              <w:end w:w="110" w:type="dxa"/>
            </w:tcMar>
            <w:vAlign w:val="center"/>
          </w:tcPr>
          <w:p>
            <w:r>
              <w:t>Section isolation, passive braking, nearby station safe-hold</w:t>
            </w:r>
          </w:p>
        </w:tc>
        <w:tc>
          <w:tcPr>
            <w:tcW w:type="dxa" w:w="2493"/>
            <w:tcMar>
              <w:top w:w="110" w:type="dxa"/>
              <w:start w:w="110" w:type="dxa"/>
              <w:bottom w:w="110" w:type="dxa"/>
              <w:end w:w="110" w:type="dxa"/>
            </w:tcMar>
            <w:vAlign w:val="center"/>
          </w:tcPr>
          <w:p>
            <w:r>
              <w:t>Local outage without network-wide collapse</w:t>
            </w:r>
          </w:p>
        </w:tc>
      </w:tr>
    </w:tbl>
    <w:p/>
    <w:p>
      <w:pPr>
        <w:pStyle w:val="Heading1"/>
      </w:pPr>
      <w:r>
        <w:rPr>
          <w:color w:val="1A365D"/>
        </w:rPr>
        <w:t>7. Bench-scale proof-of-concept roadmap</w:t>
      </w:r>
    </w:p>
    <w:p>
      <w:pPr>
        <w:pStyle w:val="ListNumber"/>
      </w:pPr>
      <w:r>
        <w:rPr>
          <w:b/>
        </w:rPr>
        <w:t xml:space="preserve">Phase I — Rail demonstrator: </w:t>
      </w:r>
      <w:r>
        <w:t>Build a short superconducting or electromagnetically simulated guideway with levitation, centering, and docking at one station. Demonstrate repeatable capture, stable gap control, and low-jerk cruise.</w:t>
      </w:r>
    </w:p>
    <w:p>
      <w:pPr>
        <w:pStyle w:val="ListNumber"/>
      </w:pPr>
      <w:r>
        <w:rPr>
          <w:b/>
        </w:rPr>
        <w:t xml:space="preserve">Phase II — Mercy sync integration: </w:t>
      </w:r>
      <w:r>
        <w:t>Add segment controller logic that phase-locks adjacent sections before handoff. Show route arbitration and safe-hold behavior at a seam.</w:t>
      </w:r>
    </w:p>
    <w:p>
      <w:pPr>
        <w:pStyle w:val="ListNumber"/>
      </w:pPr>
      <w:r>
        <w:rPr>
          <w:b/>
        </w:rPr>
        <w:t xml:space="preserve">Phase III — Single-node pulse experiment: </w:t>
      </w:r>
      <w:r>
        <w:t>Attach one scaled pulse module to a test pod and characterize thermal profile, timing repeatability, and disturbance introduced into the guideway.</w:t>
      </w:r>
    </w:p>
    <w:p>
      <w:pPr>
        <w:pStyle w:val="ListNumber"/>
      </w:pPr>
      <w:r>
        <w:rPr>
          <w:b/>
        </w:rPr>
        <w:t xml:space="preserve">Phase IV — Tandem pulse pair: </w:t>
      </w:r>
      <w:r>
        <w:t>Install a second node and test equal firing, anti-phase stabilization, and asymmetric trim. Measure whether paired operation improves transition smoothness and heavy-load response.</w:t>
      </w:r>
    </w:p>
    <w:p>
      <w:pPr>
        <w:pStyle w:val="ListNumber"/>
      </w:pPr>
      <w:r>
        <w:rPr>
          <w:b/>
        </w:rPr>
        <w:t xml:space="preserve">Phase V — Vertical and junction tests: </w:t>
      </w:r>
      <w:r>
        <w:t>Run the tandem pod through inclines, vertical sections, and branching transfers. Validate that pulse assist is only active when controller confidence and safety thresholds are met.</w:t>
      </w:r>
    </w:p>
    <w:p>
      <w:pPr>
        <w:pStyle w:val="Heading1"/>
      </w:pPr>
      <w:r>
        <w:rPr>
          <w:color w:val="1A365D"/>
        </w:rPr>
        <w:t>8. Candidate demonstrator targets</w:t>
      </w:r>
    </w:p>
    <w:p>
      <w:pPr>
        <w:pStyle w:val="ListBullet"/>
      </w:pPr>
      <w:r>
        <w:t>Guideway gap stability within ±1 mm on a bench-scale track.</w:t>
      </w:r>
    </w:p>
    <w:p>
      <w:pPr>
        <w:pStyle w:val="ListBullet"/>
      </w:pPr>
      <w:r>
        <w:t>Docking repeatability within ±2 mm equivalent on repeated station approaches.</w:t>
      </w:r>
    </w:p>
    <w:p>
      <w:pPr>
        <w:pStyle w:val="ListBullet"/>
      </w:pPr>
      <w:r>
        <w:t>Segment handoff with no uncontrolled lateral wander and no pulse fire unless phase-lock confidence is met.</w:t>
      </w:r>
    </w:p>
    <w:p>
      <w:pPr>
        <w:pStyle w:val="ListBullet"/>
      </w:pPr>
      <w:r>
        <w:t>Measurable reduction in settling time or oscillation when tandem pulse stabilization is active.</w:t>
      </w:r>
    </w:p>
    <w:p>
      <w:pPr>
        <w:pStyle w:val="ListBullet"/>
      </w:pPr>
      <w:r>
        <w:t>Graceful fallback from pulse-assist mode to rail-only mode without loss of carriage capture.</w:t>
      </w:r>
    </w:p>
    <w:p>
      <w:pPr>
        <w:pStyle w:val="Heading1"/>
      </w:pPr>
      <w:r>
        <w:rPr>
          <w:color w:val="1A365D"/>
        </w:rPr>
        <w:t>9. Physics boundary and realism note</w:t>
      </w:r>
    </w:p>
    <w:p>
      <w:pPr>
        <w:spacing w:after="120"/>
      </w:pPr>
      <w:r>
        <w:t>This PoC is strongest when interpreted as a structured internal transit system, not as a violation of momentum conservation. The guideway and controlled rail environment remain the backbone. The tandem pulse modules add dynamic authority by interacting with that structured environment and with a managed working medium. Internal field drama by itself is not the claim.</w:t>
      </w:r>
    </w:p>
    <w:p>
      <w:pPr>
        <w:spacing w:after="120"/>
      </w:pPr>
      <w:r>
        <w:t>In plain language: Halo Transit Spine v2 is not trying to be magic. It is trying to be a starship maglev network with an overdrive lane.</w:t>
      </w:r>
    </w:p>
    <w:p>
      <w:pPr>
        <w:pStyle w:val="Heading1"/>
      </w:pPr>
      <w:r>
        <w:rPr>
          <w:color w:val="1A365D"/>
        </w:rPr>
        <w:t>10. Conclusion</w:t>
      </w:r>
    </w:p>
    <w:p>
      <w:pPr>
        <w:spacing w:after="120"/>
      </w:pPr>
      <w:r>
        <w:t>Halo Transit Spine v2 preserves the practical core of the original system while adding a focused performance upgrade where it actually helps: starts, slopes, shafts, junctions, and urgent movement. The tandem Spectral Pulse Rail concept fits because it behaves like a controlled impulse-assist layer inside an already disciplined mobility architecture. That makes the overall system feel less like a fantasy vehicle and more like a believable shipboard nervous system with a fast twitch response.</w:t>
      </w:r>
    </w:p>
    <w:sectPr w:rsidR="00FC693F" w:rsidRPr="0006063C" w:rsidSect="00034616">
      <w:pgSz w:w="12240" w:h="15840"/>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