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 Display" w:hAnsi="Aptos Display"/>
          <w:b/>
          <w:color w:val="1F4E79"/>
          <w:sz w:val="52"/>
        </w:rPr>
        <w:t>Mercy Drive</w:t>
      </w:r>
    </w:p>
    <w:p>
      <w:pPr>
        <w:jc w:val="center"/>
      </w:pPr>
      <w:r>
        <w:rPr>
          <w:i/>
          <w:color w:val="505050"/>
          <w:sz w:val="30"/>
        </w:rPr>
        <w:t>Proof-of-Concept White Paper</w:t>
      </w:r>
    </w:p>
    <w:p>
      <w:pPr>
        <w:spacing w:before="200"/>
        <w:jc w:val="center"/>
      </w:pPr>
      <w:r>
        <w:rPr>
          <w:b/>
          <w:sz w:val="26"/>
        </w:rPr>
        <w:t>Noble-Gas Induction Propulsion with Coupled Vector Synchronization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/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Author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BFE"/>
          </w:tcPr>
          <w:p>
            <w:pPr>
              <w:spacing w:after="40"/>
            </w:pPr>
            <w:r>
              <w:t>Quellaran Deluxethue Messat</w:t>
            </w:r>
          </w:p>
        </w:tc>
      </w:tr>
      <w:tr>
        <w:trPr/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Division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t>GhostCore Division</w:t>
            </w:r>
          </w:p>
        </w:tc>
      </w:tr>
      <w:tr>
        <w:trPr/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Document Type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BFE"/>
          </w:tcPr>
          <w:p>
            <w:pPr>
              <w:spacing w:after="40"/>
            </w:pPr>
            <w:r>
              <w:t>Concept White Paper / PoC</w:t>
            </w:r>
          </w:p>
        </w:tc>
      </w:tr>
      <w:tr>
        <w:trPr/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Status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40"/>
            </w:pPr>
            <w:r>
              <w:t>Speculative architecture with proposed bench-test path</w:t>
            </w:r>
          </w:p>
        </w:tc>
      </w:tr>
    </w:tbl>
    <w:p>
      <w:pPr>
        <w:spacing w:after="80"/>
      </w:pPr>
    </w:p>
    <w:p>
      <w:pPr>
        <w:pStyle w:val="Callout"/>
        <w:spacing w:before="240"/>
        <w:jc w:val="center"/>
      </w:pPr>
      <w:r>
        <w:t>Design intent: adapt the dual-chamber PTEC synchronization logic into a Mercy Drive coupling layer for glide, lift coherence, and vector-trim control.</w:t>
      </w:r>
    </w:p>
    <w:p>
      <w:r>
        <w:br w:type="page"/>
      </w:r>
    </w:p>
    <w:p>
      <w:pPr>
        <w:pStyle w:val="Heading1b"/>
        <w:spacing w:after="80"/>
      </w:pPr>
      <w:r>
        <w:t>Executive Summary</w:t>
      </w:r>
    </w:p>
    <w:p>
      <w:pPr>
        <w:spacing w:after="160"/>
      </w:pPr>
      <w:r>
        <w:t>Mercy Drive is a speculative propulsion and displacement concept for heavy platforms operating over water or unstable terrain. This draft reframes the earlier noble-gas induction idea around a more defined internal control architecture: a coupled vector synchronizer derived from the dual-chamber PTEC concept. In this formulation, Mercy Drive is not a single miracle engine. It is a layered system that combines a noble-gas energy stream, magnetic induction geometry, a plasma-gas conduction layer, and a synchronized thrust-vector module used for coupling, timing, and directional trim.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Core proposition: two internally synchronized PTEC chambers, driving plasma relay switches inside a boxed vector housing, could serve as Mercy Drive’s coupling/synchronization thruster rather than its sole propulsion source.</w:t>
            </w:r>
          </w:p>
        </w:tc>
      </w:tr>
    </w:tbl>
    <w:p>
      <w:pPr>
        <w:spacing w:after="120"/>
      </w:pPr>
    </w:p>
    <w:p>
      <w:pPr>
        <w:pStyle w:val="Heading1b"/>
        <w:spacing w:after="80"/>
      </w:pPr>
      <w:r>
        <w:t>1. System Objective</w:t>
      </w:r>
    </w:p>
    <w:p>
      <w:pPr>
        <w:spacing w:after="120"/>
      </w:pPr>
      <w:r>
        <w:t>The objective of this PoC is to define a testable architecture for low-signature aquatic displacement and near-surface glide support. The intended outcome is controlled lift bias, directional trim, and water-interface displacement using coordinated fields rather than conventional propellers or large air-cushion systems.</w:t>
      </w:r>
    </w:p>
    <w:p>
      <w:pPr>
        <w:pStyle w:val="Heading1b"/>
        <w:spacing w:after="80"/>
      </w:pPr>
      <w:r>
        <w:t>2. Proposed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Subsystem</w:t>
            </w:r>
          </w:p>
        </w:tc>
        <w:tc>
          <w:tcPr>
            <w:tcW w:type="dxa" w:w="259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Function</w:t>
            </w:r>
          </w:p>
        </w:tc>
        <w:tc>
          <w:tcPr>
            <w:tcW w:type="dxa" w:w="259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Primary Medium</w:t>
            </w:r>
          </w:p>
        </w:tc>
        <w:tc>
          <w:tcPr>
            <w:tcW w:type="dxa" w:w="295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PoC Output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NOBELIS core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Provides low-thermal isotope / noble-gas working stream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^3He / ^21Ne / ^129Xe concept mix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Stable feed for field generation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MIFA ring set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Generates induction geometry and chassis field envelope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Superconductive magnetic array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Lift bias and inertial trim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PGCL interface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Forms conductive coupling sheath at the vehicle boundary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Plasma + noble-gas interface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Water repulsion and glide layer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Mercy Sync Chamber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Phase-locks two rotating internal PTECs and routes relay output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Dual PTEC chambers + plasma relay switches</w:t>
            </w:r>
          </w:p>
        </w:tc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Coupling, synchronization, and vector trim</w:t>
            </w:r>
          </w:p>
        </w:tc>
      </w:tr>
    </w:tbl>
    <w:p>
      <w:pPr>
        <w:spacing w:after="120"/>
      </w:pPr>
    </w:p>
    <w:p>
      <w:pPr>
        <w:pStyle w:val="Heading1b"/>
        <w:spacing w:after="80"/>
      </w:pPr>
      <w:r>
        <w:t>3. Mercy Sync Chamber</w:t>
      </w:r>
    </w:p>
    <w:p>
      <w:pPr>
        <w:spacing w:after="120"/>
      </w:pPr>
      <w:r>
        <w:t>The new element in this draft is the Mercy Sync Chamber: a dual-chamber internal PTEC assembly placed inside a boxed thrust-vector housing. Each chamber is treated as a rotating resonance core. Plasma relay switches are arranged around the housing so that the paired chambers can be synchronized, offset, or inverted. This turns the subsystem into a timing heart for the larger drive.</w:t>
      </w:r>
    </w:p>
    <w:p>
      <w:pPr>
        <w:pStyle w:val="Heading2b"/>
        <w:spacing w:after="60"/>
      </w:pPr>
      <w:r>
        <w:t>Key internal roles:</w:t>
      </w:r>
    </w:p>
    <w:p>
      <w:pPr>
        <w:spacing w:after="40"/>
        <w:ind w:left="360"/>
      </w:pPr>
      <w:r>
        <w:rPr>
          <w:b/>
        </w:rPr>
        <w:t xml:space="preserve">• </w:t>
      </w:r>
      <w:r>
        <w:t>Phase-lock both PTEC chambers so output remains coherent under changing load.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Hand off output between chambers so one chamber can sustain while the other retunes.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Route plasma or field bias through relay switches for up-bias, down-bias, and lateral trim.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Create torque differentials for attitude correction without relying on large mechanical gimbals.</w:t>
      </w:r>
    </w:p>
    <w:p>
      <w:pPr>
        <w:pStyle w:val="Heading1b"/>
        <w:spacing w:after="80"/>
      </w:pPr>
      <w:r>
        <w:t>4. Operating Logic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9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Mode</w:t>
            </w:r>
          </w:p>
        </w:tc>
        <w:tc>
          <w:tcPr>
            <w:tcW w:type="dxa" w:w="66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Hover/hold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Both chambers run in synchronized balance. Relay switches cycle symmetrically to stabilize the field envelope and maintain a controlled stand-off height.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Forward glide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 phased bias is introduced so the PGCL and MIFA array push the field geometry forward while maintaining water-interface separation.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Lateral trim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chamber advances in phase while the other lags. Relay routing shifts the effective vector left or right for fine correction.</w:t>
            </w:r>
          </w:p>
        </w:tc>
      </w:tr>
      <w:tr>
        <w:tc>
          <w:tcPr>
            <w:tcW w:type="dxa" w:w="30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Recovery/fault mode</w:t>
            </w:r>
          </w:p>
        </w:tc>
        <w:tc>
          <w:tcPr>
            <w:tcW w:type="dxa" w:w="66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One chamber sustains minimum field continuity while the other chamber decouples, cools, or retunes.</w:t>
            </w:r>
          </w:p>
        </w:tc>
      </w:tr>
    </w:tbl>
    <w:p>
      <w:pPr>
        <w:spacing w:after="120"/>
      </w:pPr>
    </w:p>
    <w:p>
      <w:pPr>
        <w:pStyle w:val="Heading1b"/>
        <w:spacing w:after="80"/>
      </w:pPr>
      <w:r>
        <w:t>5. Physical Interpretation</w:t>
      </w:r>
    </w:p>
    <w:p>
      <w:pPr>
        <w:spacing w:after="120"/>
      </w:pPr>
      <w:r>
        <w:t>For a disciplined PoC, the Mercy Sync Chamber should be treated first as a control and coupling architecture. Its strongest immediate value is synchronization, field routing, and vector trimming. Any claim of full free-propulsion without momentum exchange remains speculative. Accordingly, the near-term PoC should target measurable effects such as field coherence, reduced interface drag, directional bias, and stabilization under perturbation.</w:t>
      </w:r>
    </w:p>
    <w:p>
      <w:pPr>
        <w:pStyle w:val="Heading1b"/>
        <w:spacing w:after="80"/>
      </w:pPr>
      <w:r>
        <w:t>6. Proposed Bench-Test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30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Build focus</w:t>
            </w:r>
          </w:p>
        </w:tc>
        <w:tc>
          <w:tcPr>
            <w:tcW w:type="dxa" w:w="288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Measure</w:t>
            </w:r>
          </w:p>
        </w:tc>
        <w:tc>
          <w:tcPr>
            <w:tcW w:type="dxa" w:w="266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Success signal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Single-chamber plasma relay test rig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Switching speed, thermal stability, waveform repeatability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Stable relay cycling without runaway heating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II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Dual-chamber synchronized core emulator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Phase lock, drift, handoff latency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Repeatable lock and smooth chamber-to-chamber transfer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III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Boxed vector housing over fluid test bed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Surface disturbance, lift bias, wake reduction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Reduced splash/wake and controllable directional bias</w:t>
            </w:r>
          </w:p>
        </w:tc>
      </w:tr>
      <w:t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IV</w:t>
            </w:r>
          </w:p>
        </w:tc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Scaled sled or platform demonstrator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Power draw, trim response, stand-off control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Stable glide with measurable correction authority</w:t>
            </w:r>
          </w:p>
        </w:tc>
      </w:tr>
    </w:tbl>
    <w:p>
      <w:pPr>
        <w:spacing w:after="120"/>
      </w:pPr>
    </w:p>
    <w:p>
      <w:pPr>
        <w:pStyle w:val="Heading1b"/>
        <w:spacing w:after="80"/>
      </w:pPr>
      <w:r>
        <w:t>7. Provisional Performance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88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208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Target</w:t>
            </w:r>
          </w:p>
        </w:tc>
        <w:tc>
          <w:tcPr>
            <w:tcW w:type="dxa" w:w="410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Rationale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Stand-off height over water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0.1–0.5 m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Enough to demonstrate interface displacement without overstating capability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Directional trim response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&lt;250 ms command-to-bias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Shows practical value of the synchronization thruster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Acoustic profile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Substantially below conventional propulsor baseline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Supports the low-signature premise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Wake signature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Reduced relative to propeller / track entry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Visible evidence that the field layer is doing useful work</w:t>
            </w:r>
          </w:p>
        </w:tc>
      </w:tr>
      <w:tr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Continuous run duration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30–60 min scaled demonstrator</w:t>
            </w:r>
          </w:p>
        </w:tc>
        <w:tc>
          <w:tcPr>
            <w:tcW w:type="dxa" w:w="41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Enough for lab validation before larger reactor assumptions</w:t>
            </w:r>
          </w:p>
        </w:tc>
      </w:tr>
    </w:tbl>
    <w:p>
      <w:pPr>
        <w:spacing w:after="120"/>
      </w:pPr>
    </w:p>
    <w:p>
      <w:pPr>
        <w:pStyle w:val="Heading1b"/>
        <w:spacing w:after="80"/>
      </w:pPr>
      <w:r>
        <w:t>8. Risks and Unknowns</w:t>
      </w:r>
    </w:p>
    <w:p>
      <w:pPr>
        <w:spacing w:after="40"/>
        <w:ind w:left="360"/>
      </w:pPr>
      <w:r>
        <w:rPr>
          <w:b/>
        </w:rPr>
        <w:t xml:space="preserve">• </w:t>
      </w:r>
      <w:r>
        <w:t>Field-coupled lift may prove easier to stabilize at small scale than at vehicle scale.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Dual rotating chambers can introduce synchronization noise, heat concentration, and runaway oscillation if relay timing is poor.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Noble-gas spin-state assumptions and superconductive requirements may exceed practical energy or materials limits.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Any extraordinary propulsion claim must be separated from what the PoC can actually measure in the lab.</w:t>
      </w:r>
    </w:p>
    <w:p>
      <w:pPr>
        <w:pStyle w:val="Heading1b"/>
        <w:spacing w:after="80"/>
      </w:pPr>
      <w:r>
        <w:t>9. Conclusion</w:t>
      </w:r>
    </w:p>
    <w:p>
      <w:pPr>
        <w:spacing w:after="120"/>
      </w:pPr>
      <w:r>
        <w:t>Mercy Drive becomes more coherent when its propulsion story is split into layers: the NOBELIS core supplies the working medium, the MIFA and PGCL create the vehicle-field interface, and the Mercy Sync Chamber provides coupling, synchronization, and vector-trim control. That makes the dual-chamber PTEC upgrade directly useful here—not as a hand-waved answer to every physics problem, but as the internal mechanism that keeps the larger drive timed, balanced, and directionally obedient.</w:t>
      </w:r>
    </w:p>
    <w:p>
      <w:pPr>
        <w:pStyle w:val="Callout"/>
        <w:spacing w:before="200"/>
        <w:jc w:val="center"/>
      </w:pPr>
      <w:r>
        <w:rPr>
          <w:b/>
        </w:rPr>
        <w:t>It does not float. It refuses to sink.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2">
    <w:name w:val="Title2"/>
    <w:basedOn w:val="Normal"/>
    <w:rPr>
      <w:rFonts w:ascii="Aptos" w:hAnsi="Aptos"/>
      <w:b/>
      <w:i w:val="0"/>
      <w:color w:val="1F4E79"/>
      <w:sz w:val="44"/>
    </w:rPr>
  </w:style>
  <w:style w:type="paragraph" w:customStyle="1" w:styleId="Subtitle2">
    <w:name w:val="Subtitle2"/>
    <w:basedOn w:val="Normal"/>
    <w:rPr>
      <w:rFonts w:ascii="Aptos" w:hAnsi="Aptos"/>
      <w:b w:val="0"/>
      <w:i/>
      <w:color w:val="5A5A5A"/>
      <w:sz w:val="22"/>
    </w:rPr>
  </w:style>
  <w:style w:type="paragraph" w:customStyle="1" w:styleId="Heading1b">
    <w:name w:val="Heading1b"/>
    <w:basedOn w:val="Normal"/>
    <w:rPr>
      <w:rFonts w:ascii="Aptos" w:hAnsi="Aptos"/>
      <w:b/>
      <w:i w:val="0"/>
      <w:color w:val="1F4E79"/>
      <w:sz w:val="28"/>
    </w:rPr>
  </w:style>
  <w:style w:type="paragraph" w:customStyle="1" w:styleId="Heading2b">
    <w:name w:val="Heading2b"/>
    <w:basedOn w:val="Normal"/>
    <w:rPr>
      <w:rFonts w:ascii="Aptos" w:hAnsi="Aptos"/>
      <w:b/>
      <w:i w:val="0"/>
      <w:color w:val="373737"/>
      <w:sz w:val="23"/>
    </w:rPr>
  </w:style>
  <w:style w:type="paragraph" w:customStyle="1" w:styleId="BodySmall">
    <w:name w:val="BodySmall"/>
    <w:basedOn w:val="Normal"/>
    <w:rPr>
      <w:rFonts w:ascii="Aptos" w:hAnsi="Aptos"/>
      <w:b w:val="0"/>
      <w:i w:val="0"/>
      <w:color w:val="505050"/>
      <w:sz w:val="19"/>
    </w:rPr>
  </w:style>
  <w:style w:type="paragraph" w:customStyle="1" w:styleId="Callout">
    <w:name w:val="Callout"/>
    <w:basedOn w:val="Normal"/>
    <w:rPr>
      <w:rFonts w:ascii="Aptos" w:hAnsi="Aptos"/>
      <w:b w:val="0"/>
      <w:i/>
      <w:color w:val="414141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