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223D66"/>
          <w:sz w:val="48"/>
        </w:rPr>
        <w:t>Halo Transit Spine</w:t>
      </w:r>
    </w:p>
    <w:p>
      <w:pPr>
        <w:spacing w:before="0" w:after="360" w:line="264" w:lineRule="auto"/>
        <w:jc w:val="center"/>
      </w:pPr>
      <w:r>
        <w:rPr>
          <w:i/>
          <w:color w:val="464646"/>
          <w:sz w:val="28"/>
        </w:rPr>
        <w:t>Proof-of-Concept White Paper</w:t>
        <w:br/>
      </w:r>
      <w:r>
        <w:rPr>
          <w:sz w:val="26"/>
        </w:rPr>
        <w:t>Superconducting Internal Transit Architecture for Precision Shipboard Mobility</w:t>
      </w:r>
    </w:p>
    <w:tbl>
      <w:tblPr>
        <w:tblStyle w:val="TableGrid"/>
        <w:tblW w:type="auto" w:w="0"/>
        <w:jc w:val="center"/>
        <w:tblLook w:firstColumn="1" w:firstRow="1" w:lastColumn="0" w:lastRow="0" w:noHBand="0" w:noVBand="1" w:val="04A0"/>
      </w:tblPr>
      <w:tblGrid>
        <w:gridCol w:w="2304"/>
        <w:gridCol w:w="6912"/>
      </w:tblGrid>
      <w:tr>
        <w:tc>
          <w:tcPr>
            <w:tcW w:type="dxa" w:w="4968"/>
            <w:vAlign w:val="center"/>
            <w:shd w:fill="D9E8FB"/>
          </w:tcPr>
          <w:p>
            <w:pPr>
              <w:spacing w:before="40" w:after="40" w:line="240" w:lineRule="auto"/>
            </w:pPr>
            <w:r>
              <w:rPr>
                <w:b/>
              </w:rPr>
              <w:t>Program</w:t>
            </w:r>
          </w:p>
        </w:tc>
        <w:tc>
          <w:tcPr>
            <w:tcW w:type="dxa" w:w="4968"/>
            <w:vAlign w:val="center"/>
          </w:tcPr>
          <w:p>
            <w:pPr>
              <w:spacing w:before="40" w:after="40" w:line="240" w:lineRule="auto"/>
            </w:pPr>
            <w:r>
              <w:t>GhostCore Mobility Systems</w:t>
            </w:r>
          </w:p>
        </w:tc>
      </w:tr>
      <w:tr>
        <w:tc>
          <w:tcPr>
            <w:tcW w:type="dxa" w:w="4968"/>
            <w:vAlign w:val="center"/>
            <w:shd w:fill="D9E8FB"/>
          </w:tcPr>
          <w:p>
            <w:pPr>
              <w:spacing w:before="40" w:after="40" w:line="240" w:lineRule="auto"/>
            </w:pPr>
            <w:r>
              <w:rPr>
                <w:b/>
              </w:rPr>
              <w:t>Concept Class</w:t>
            </w:r>
          </w:p>
        </w:tc>
        <w:tc>
          <w:tcPr>
            <w:tcW w:type="dxa" w:w="4968"/>
            <w:vAlign w:val="center"/>
          </w:tcPr>
          <w:p>
            <w:pPr>
              <w:spacing w:before="40" w:after="40" w:line="240" w:lineRule="auto"/>
            </w:pPr>
            <w:r>
              <w:t>Shipboard superconducting transit spine with active field management</w:t>
            </w:r>
          </w:p>
        </w:tc>
      </w:tr>
      <w:tr>
        <w:tc>
          <w:tcPr>
            <w:tcW w:type="dxa" w:w="4968"/>
            <w:vAlign w:val="center"/>
            <w:shd w:fill="D9E8FB"/>
          </w:tcPr>
          <w:p>
            <w:pPr>
              <w:spacing w:before="40" w:after="40" w:line="240" w:lineRule="auto"/>
            </w:pPr>
            <w:r>
              <w:rPr>
                <w:b/>
              </w:rPr>
              <w:t>Authoring Frame</w:t>
            </w:r>
          </w:p>
        </w:tc>
        <w:tc>
          <w:tcPr>
            <w:tcW w:type="dxa" w:w="4968"/>
            <w:vAlign w:val="center"/>
          </w:tcPr>
          <w:p>
            <w:pPr>
              <w:spacing w:before="40" w:after="40" w:line="240" w:lineRule="auto"/>
            </w:pPr>
            <w:r>
              <w:t>Quellaran Deluxethue Messat | Specter</w:t>
            </w:r>
          </w:p>
        </w:tc>
      </w:tr>
      <w:tr>
        <w:tc>
          <w:tcPr>
            <w:tcW w:type="dxa" w:w="4968"/>
            <w:vAlign w:val="center"/>
            <w:shd w:fill="D9E8FB"/>
          </w:tcPr>
          <w:p>
            <w:pPr>
              <w:spacing w:before="40" w:after="40" w:line="240" w:lineRule="auto"/>
            </w:pPr>
            <w:r>
              <w:rPr>
                <w:b/>
              </w:rPr>
              <w:t>Version</w:t>
            </w:r>
          </w:p>
        </w:tc>
        <w:tc>
          <w:tcPr>
            <w:tcW w:type="dxa" w:w="4968"/>
            <w:vAlign w:val="center"/>
          </w:tcPr>
          <w:p>
            <w:pPr>
              <w:spacing w:before="40" w:after="40" w:line="240" w:lineRule="auto"/>
            </w:pPr>
            <w:r>
              <w:t>v0.1 PoC draft | March 17, 2026</w:t>
            </w:r>
          </w:p>
        </w:tc>
      </w:tr>
    </w:tbl>
    <w:p/>
    <w:p>
      <w:pPr>
        <w:spacing w:before="0" w:after="160" w:line="264" w:lineRule="auto"/>
      </w:pPr>
      <w:r>
        <w:rPr>
          <w:b/>
        </w:rPr>
        <w:t xml:space="preserve">Executive premise. </w:t>
      </w:r>
      <w:r>
        <w:t>Halo Transit Spine proposes a superconducting internal rail network for moving personnel, cargo pods, medical units, and maintenance platforms across large starship interiors with extremely high positional control, low mechanical wear, and graceful failure behavior. The system combines maglev-style guidance, segmented propulsion coils, docking nodes, and a field-management layer influenced by Mercy-style synchronization logic.</w:t>
      </w:r>
    </w:p>
    <w:p>
      <w:pPr>
        <w:spacing w:before="0" w:after="320" w:line="264" w:lineRule="auto"/>
      </w:pPr>
      <w:r>
        <w:rPr>
          <w:b/>
        </w:rPr>
        <w:t xml:space="preserve">Intent. </w:t>
      </w:r>
      <w:r>
        <w:t>This PoC does not claim impossible zero-risk transport. It claims a path toward very low operational risk through redundant field control, passive braking, section isolation, and conservative acceleration envelopes inside a controlled ship environment.</w:t>
      </w:r>
    </w:p>
    <w:p>
      <w:r>
        <w:br w:type="page"/>
      </w:r>
    </w:p>
    <w:p>
      <w:pPr>
        <w:spacing w:before="160" w:after="120" w:line="264" w:lineRule="auto"/>
      </w:pPr>
      <w:r>
        <w:rPr>
          <w:b/>
          <w:color w:val="223D66"/>
          <w:sz w:val="30"/>
        </w:rPr>
        <w:t>1. Background and rationale</w:t>
      </w:r>
    </w:p>
    <w:p>
      <w:pPr>
        <w:spacing w:before="0" w:after="100" w:line="264" w:lineRule="auto"/>
      </w:pPr>
      <w:r>
        <w:t>Conventional shipboard mobility scales poorly as vessel size increases. Long corridors, large vertical shafts, rotating habitat zones, and distributed cargo decks create travel-time penalties, fatigue, maintenance burden, and emergency-response delay.</w:t>
      </w:r>
    </w:p>
    <w:p>
      <w:pPr>
        <w:spacing w:before="0" w:after="100" w:line="264" w:lineRule="auto"/>
      </w:pPr>
      <w:r>
        <w:t>A superconducting transit backbone allows the vessel interior to be treated as a managed mobility volume instead of a collection of disconnected decks. In that framing, pods move like packets through a guided field network: accelerated, steered, slowed, and docked with millimeter-class repeatability.</w:t>
      </w:r>
    </w:p>
    <w:p>
      <w:pPr>
        <w:spacing w:before="0" w:after="100" w:line="264" w:lineRule="auto"/>
      </w:pPr>
      <w:r>
        <w:t>The GhostCore extension is simple and practical here: use synchronization logic not to cheat momentum, but to coordinate timing, field coherence, handoff between segments, and soft-docking behavior.</w:t>
      </w:r>
    </w:p>
    <w:p>
      <w:pPr>
        <w:spacing w:before="160" w:after="120" w:line="264" w:lineRule="auto"/>
      </w:pPr>
      <w:r>
        <w:rPr>
          <w:b/>
          <w:color w:val="223D66"/>
          <w:sz w:val="30"/>
        </w:rPr>
        <w:t>2. Core architecture</w:t>
      </w:r>
    </w:p>
    <w:p>
      <w:pPr>
        <w:spacing w:before="120" w:after="60" w:line="264" w:lineRule="auto"/>
      </w:pPr>
      <w:r>
        <w:rPr>
          <w:b/>
          <w:color w:val="282828"/>
          <w:sz w:val="24"/>
        </w:rPr>
        <w:t>2.1 Transit spine guideway</w:t>
      </w:r>
    </w:p>
    <w:p>
      <w:pPr>
        <w:pStyle w:val="ListBullet"/>
        <w:spacing w:before="0" w:after="40" w:line="264" w:lineRule="auto"/>
      </w:pPr>
      <w:r>
        <w:rPr>
          <w:b/>
        </w:rPr>
        <w:t>Superconducting linear guideway</w:t>
      </w:r>
      <w:r>
        <w:t xml:space="preserve"> embedded through the primary ship corridor network.</w:t>
      </w:r>
    </w:p>
    <w:p>
      <w:pPr>
        <w:pStyle w:val="ListBullet2"/>
        <w:spacing w:before="0" w:after="20" w:line="264" w:lineRule="auto"/>
      </w:pPr>
      <w:r>
        <w:t>Segmented track sections with independent power and control domains.</w:t>
      </w:r>
    </w:p>
    <w:p>
      <w:pPr>
        <w:pStyle w:val="ListBullet2"/>
        <w:spacing w:before="0" w:after="20" w:line="264" w:lineRule="auto"/>
      </w:pPr>
      <w:r>
        <w:t>Levitation and lateral-centering coils arranged to keep pods suspended off the guideway.</w:t>
      </w:r>
    </w:p>
    <w:p>
      <w:pPr>
        <w:pStyle w:val="ListBullet2"/>
        <w:spacing w:before="0" w:after="20" w:line="264" w:lineRule="auto"/>
      </w:pPr>
      <w:r>
        <w:t>Linear synchronous motor sections for controlled acceleration and braking.</w:t>
      </w:r>
    </w:p>
    <w:p>
      <w:pPr>
        <w:spacing w:before="120" w:after="60" w:line="264" w:lineRule="auto"/>
      </w:pPr>
      <w:r>
        <w:rPr>
          <w:b/>
          <w:color w:val="282828"/>
          <w:sz w:val="24"/>
        </w:rPr>
        <w:t>2.2 Transit pod classes</w:t>
      </w:r>
    </w:p>
    <w:p>
      <w:pPr>
        <w:pStyle w:val="ListBullet"/>
        <w:spacing w:before="0" w:after="20" w:line="264" w:lineRule="auto"/>
      </w:pPr>
      <w:r>
        <w:t>Crew pod: seated personnel carrier for routine movement and emergency rerouting.</w:t>
      </w:r>
    </w:p>
    <w:p>
      <w:pPr>
        <w:pStyle w:val="ListBullet"/>
        <w:spacing w:before="0" w:after="20" w:line="264" w:lineRule="auto"/>
      </w:pPr>
      <w:r>
        <w:t>Cargo sled: low-profile freight platform with lockable modular containers.</w:t>
      </w:r>
    </w:p>
    <w:p>
      <w:pPr>
        <w:pStyle w:val="ListBullet"/>
        <w:spacing w:before="0" w:after="20" w:line="264" w:lineRule="auto"/>
      </w:pPr>
      <w:r>
        <w:t>Medevac capsule: isolation-compatible pod with vibration and acceleration limits.</w:t>
      </w:r>
    </w:p>
    <w:p>
      <w:pPr>
        <w:pStyle w:val="ListBullet"/>
        <w:spacing w:before="0" w:after="20" w:line="264" w:lineRule="auto"/>
      </w:pPr>
      <w:r>
        <w:t>Utility carriage: maintenance chassis for tools, hull-service modules, and robotic manipulators.</w:t>
      </w:r>
    </w:p>
    <w:p>
      <w:pPr>
        <w:spacing w:before="120" w:after="60" w:line="264" w:lineRule="auto"/>
      </w:pPr>
      <w:r>
        <w:rPr>
          <w:b/>
          <w:color w:val="282828"/>
          <w:sz w:val="24"/>
        </w:rPr>
        <w:t>2.3 Halo field controller</w:t>
      </w:r>
    </w:p>
    <w:p>
      <w:pPr>
        <w:spacing w:before="0" w:after="120" w:line="264" w:lineRule="auto"/>
      </w:pPr>
      <w:r>
        <w:rPr>
          <w:b/>
        </w:rPr>
        <w:t xml:space="preserve">The Halo field controller is the timing brain of the network. </w:t>
      </w:r>
      <w:r>
        <w:t>It performs coil phasing, segment handoff, route arbitration, anti-oscillation correction, and station-approach shaping. A Mercy-derived synchronization layer can sit above the rail hardware to coordinate multiple track sections and docking nodes as one coherent transit fabric.</w:t>
      </w:r>
    </w:p>
    <w:p>
      <w:pPr>
        <w:spacing w:before="120" w:after="60" w:line="264" w:lineRule="auto"/>
      </w:pPr>
      <w:r>
        <w:rPr>
          <w:b/>
          <w:color w:val="282828"/>
          <w:sz w:val="24"/>
        </w:rPr>
        <w:t>2.4 Functional stack</w:t>
      </w:r>
    </w:p>
    <w:tbl>
      <w:tblPr>
        <w:tblStyle w:val="TableGrid"/>
        <w:tblW w:type="auto" w:w="0"/>
        <w:jc w:val="center"/>
        <w:tblLook w:firstColumn="1" w:firstRow="1" w:lastColumn="0" w:lastRow="0" w:noHBand="0" w:noVBand="1" w:val="04A0"/>
      </w:tblPr>
      <w:tblGrid>
        <w:gridCol w:w="2484"/>
        <w:gridCol w:w="2484"/>
        <w:gridCol w:w="2484"/>
        <w:gridCol w:w="2484"/>
      </w:tblGrid>
      <w:tr>
        <w:tc>
          <w:tcPr>
            <w:tcW w:type="dxa" w:w="2484"/>
            <w:shd w:fill="D9E8FB"/>
          </w:tcPr>
          <w:p>
            <w:r>
              <w:rPr>
                <w:b/>
              </w:rPr>
              <w:t>Layer</w:t>
            </w:r>
          </w:p>
        </w:tc>
        <w:tc>
          <w:tcPr>
            <w:tcW w:type="dxa" w:w="2484"/>
            <w:shd w:fill="D9E8FB"/>
          </w:tcPr>
          <w:p>
            <w:r>
              <w:rPr>
                <w:b/>
              </w:rPr>
              <w:t>Primary function</w:t>
            </w:r>
          </w:p>
        </w:tc>
        <w:tc>
          <w:tcPr>
            <w:tcW w:type="dxa" w:w="2484"/>
            <w:shd w:fill="D9E8FB"/>
          </w:tcPr>
          <w:p>
            <w:r>
              <w:rPr>
                <w:b/>
              </w:rPr>
              <w:t>Physical implementation</w:t>
            </w:r>
          </w:p>
        </w:tc>
        <w:tc>
          <w:tcPr>
            <w:tcW w:type="dxa" w:w="2484"/>
            <w:shd w:fill="D9E8FB"/>
          </w:tcPr>
          <w:p>
            <w:r>
              <w:rPr>
                <w:b/>
              </w:rPr>
              <w:t>Failure strategy</w:t>
            </w:r>
          </w:p>
        </w:tc>
      </w:tr>
      <w:tr>
        <w:tc>
          <w:tcPr>
            <w:tcW w:type="dxa" w:w="2484"/>
            <w:vAlign w:val="center"/>
          </w:tcPr>
          <w:p>
            <w:pPr>
              <w:spacing w:before="40" w:after="40" w:line="240" w:lineRule="auto"/>
            </w:pPr>
            <w:r>
              <w:t>Transit pod</w:t>
            </w:r>
          </w:p>
        </w:tc>
        <w:tc>
          <w:tcPr>
            <w:tcW w:type="dxa" w:w="2484"/>
            <w:vAlign w:val="center"/>
          </w:tcPr>
          <w:p>
            <w:pPr>
              <w:spacing w:before="40" w:after="40" w:line="240" w:lineRule="auto"/>
            </w:pPr>
            <w:r>
              <w:t>Carries people or goods</w:t>
            </w:r>
          </w:p>
        </w:tc>
        <w:tc>
          <w:tcPr>
            <w:tcW w:type="dxa" w:w="2484"/>
            <w:vAlign w:val="center"/>
          </w:tcPr>
          <w:p>
            <w:pPr>
              <w:spacing w:before="40" w:after="40" w:line="240" w:lineRule="auto"/>
            </w:pPr>
            <w:r>
              <w:t>Composite cabin + magnetic interface shoes</w:t>
            </w:r>
          </w:p>
        </w:tc>
        <w:tc>
          <w:tcPr>
            <w:tcW w:type="dxa" w:w="2484"/>
            <w:vAlign w:val="center"/>
          </w:tcPr>
          <w:p>
            <w:pPr>
              <w:spacing w:before="40" w:after="40" w:line="240" w:lineRule="auto"/>
            </w:pPr>
            <w:r>
              <w:t>Passive skid pads and emergency clamps</w:t>
            </w:r>
          </w:p>
        </w:tc>
      </w:tr>
      <w:tr>
        <w:tc>
          <w:tcPr>
            <w:tcW w:type="dxa" w:w="2484"/>
            <w:vAlign w:val="center"/>
          </w:tcPr>
          <w:p>
            <w:pPr>
              <w:spacing w:before="40" w:after="40" w:line="240" w:lineRule="auto"/>
            </w:pPr>
            <w:r>
              <w:t>Guideway field layer</w:t>
            </w:r>
          </w:p>
        </w:tc>
        <w:tc>
          <w:tcPr>
            <w:tcW w:type="dxa" w:w="2484"/>
            <w:vAlign w:val="center"/>
          </w:tcPr>
          <w:p>
            <w:pPr>
              <w:spacing w:before="40" w:after="40" w:line="240" w:lineRule="auto"/>
            </w:pPr>
            <w:r>
              <w:t>Levitation, centering, propulsion</w:t>
            </w:r>
          </w:p>
        </w:tc>
        <w:tc>
          <w:tcPr>
            <w:tcW w:type="dxa" w:w="2484"/>
            <w:vAlign w:val="center"/>
          </w:tcPr>
          <w:p>
            <w:pPr>
              <w:spacing w:before="40" w:after="40" w:line="240" w:lineRule="auto"/>
            </w:pPr>
            <w:r>
              <w:t>Superconducting coils + sensor beacons</w:t>
            </w:r>
          </w:p>
        </w:tc>
        <w:tc>
          <w:tcPr>
            <w:tcW w:type="dxa" w:w="2484"/>
            <w:vAlign w:val="center"/>
          </w:tcPr>
          <w:p>
            <w:pPr>
              <w:spacing w:before="40" w:after="40" w:line="240" w:lineRule="auto"/>
            </w:pPr>
            <w:r>
              <w:t>Segment isolation and reduced-speed mode</w:t>
            </w:r>
          </w:p>
        </w:tc>
      </w:tr>
      <w:tr>
        <w:tc>
          <w:tcPr>
            <w:tcW w:type="dxa" w:w="2484"/>
            <w:vAlign w:val="center"/>
          </w:tcPr>
          <w:p>
            <w:pPr>
              <w:spacing w:before="40" w:after="40" w:line="240" w:lineRule="auto"/>
            </w:pPr>
            <w:r>
              <w:t>Control layer</w:t>
            </w:r>
          </w:p>
        </w:tc>
        <w:tc>
          <w:tcPr>
            <w:tcW w:type="dxa" w:w="2484"/>
            <w:vAlign w:val="center"/>
          </w:tcPr>
          <w:p>
            <w:pPr>
              <w:spacing w:before="40" w:after="40" w:line="240" w:lineRule="auto"/>
            </w:pPr>
            <w:r>
              <w:t>Routing, phasing, docking</w:t>
            </w:r>
          </w:p>
        </w:tc>
        <w:tc>
          <w:tcPr>
            <w:tcW w:type="dxa" w:w="2484"/>
            <w:vAlign w:val="center"/>
          </w:tcPr>
          <w:p>
            <w:pPr>
              <w:spacing w:before="40" w:after="40" w:line="240" w:lineRule="auto"/>
            </w:pPr>
            <w:r>
              <w:t>Redundant flight-control style compute nodes</w:t>
            </w:r>
          </w:p>
        </w:tc>
        <w:tc>
          <w:tcPr>
            <w:tcW w:type="dxa" w:w="2484"/>
            <w:vAlign w:val="center"/>
          </w:tcPr>
          <w:p>
            <w:pPr>
              <w:spacing w:before="40" w:after="40" w:line="240" w:lineRule="auto"/>
            </w:pPr>
            <w:r>
              <w:t>Hot failover and safe-stop zones</w:t>
            </w:r>
          </w:p>
        </w:tc>
      </w:tr>
      <w:tr>
        <w:tc>
          <w:tcPr>
            <w:tcW w:type="dxa" w:w="2484"/>
            <w:vAlign w:val="center"/>
          </w:tcPr>
          <w:p>
            <w:pPr>
              <w:spacing w:before="40" w:after="40" w:line="240" w:lineRule="auto"/>
            </w:pPr>
            <w:r>
              <w:t>Power + cryogenic layer</w:t>
            </w:r>
          </w:p>
        </w:tc>
        <w:tc>
          <w:tcPr>
            <w:tcW w:type="dxa" w:w="2484"/>
            <w:vAlign w:val="center"/>
          </w:tcPr>
          <w:p>
            <w:pPr>
              <w:spacing w:before="40" w:after="40" w:line="240" w:lineRule="auto"/>
            </w:pPr>
            <w:r>
              <w:t>Sustain fields with low loss</w:t>
            </w:r>
          </w:p>
        </w:tc>
        <w:tc>
          <w:tcPr>
            <w:tcW w:type="dxa" w:w="2484"/>
            <w:vAlign w:val="center"/>
          </w:tcPr>
          <w:p>
            <w:pPr>
              <w:spacing w:before="40" w:after="40" w:line="240" w:lineRule="auto"/>
            </w:pPr>
            <w:r>
              <w:t>Cryocoolers, bus bars, storage banks</w:t>
            </w:r>
          </w:p>
        </w:tc>
        <w:tc>
          <w:tcPr>
            <w:tcW w:type="dxa" w:w="2484"/>
            <w:vAlign w:val="center"/>
          </w:tcPr>
          <w:p>
            <w:pPr>
              <w:spacing w:before="40" w:after="40" w:line="240" w:lineRule="auto"/>
            </w:pPr>
            <w:r>
              <w:t>Local buffer discharge and quench dump paths</w:t>
            </w:r>
          </w:p>
        </w:tc>
      </w:tr>
    </w:tbl>
    <w:p/>
    <w:p>
      <w:pPr>
        <w:spacing w:before="160" w:after="120" w:line="264" w:lineRule="auto"/>
      </w:pPr>
      <w:r>
        <w:rPr>
          <w:b/>
          <w:color w:val="223D66"/>
          <w:sz w:val="30"/>
        </w:rPr>
        <w:t>3. Operating concept</w:t>
      </w:r>
    </w:p>
    <w:p>
      <w:pPr>
        <w:spacing w:before="0" w:after="100" w:line="264" w:lineRule="auto"/>
      </w:pPr>
      <w:r>
        <w:t>Pods are authenticated to the network, assigned a route, and inserted into a segment at zero-slip launch. The guideway then applies only the field strength needed to levitate, center, and accelerate within the permitted envelope for that pod class.</w:t>
      </w:r>
    </w:p>
    <w:p>
      <w:pPr>
        <w:spacing w:before="0" w:after="100" w:line="264" w:lineRule="auto"/>
      </w:pPr>
      <w:r>
        <w:t>At each segment boundary, the receiving section phase-locks before handoff. This minimizes jerk, suppresses lateral wander, and prevents the pod from crossing a control seam without confirmed capture.</w:t>
      </w:r>
    </w:p>
    <w:p>
      <w:pPr>
        <w:spacing w:before="0" w:after="100" w:line="264" w:lineRule="auto"/>
      </w:pPr>
      <w:r>
        <w:t>Approach to a docking station uses a tapered braking profile, final alignment coils, and mechanical latches or soft magnetic clamps so the pod ends at a repeatable service position.</w:t>
      </w:r>
    </w:p>
    <w:p>
      <w:r>
        <w:br w:type="page"/>
      </w:r>
    </w:p>
    <w:p>
      <w:pPr>
        <w:spacing w:before="160" w:after="120" w:line="264" w:lineRule="auto"/>
      </w:pPr>
      <w:r>
        <w:rPr>
          <w:b/>
          <w:color w:val="223D66"/>
          <w:sz w:val="30"/>
        </w:rPr>
        <w:t>4. Safety architecture</w:t>
      </w:r>
    </w:p>
    <w:p>
      <w:pPr>
        <w:spacing w:before="0" w:after="100" w:line="264" w:lineRule="auto"/>
      </w:pPr>
      <w:r>
        <w:t>Safety is achieved by layered control rather than a single perfect field. Halo Transit Spine assumes hardware will age, software will occasionally fault, and cryogenic systems will need isolation. The design response is containment, redundancy, and graceful degradation.</w:t>
      </w:r>
    </w:p>
    <w:p>
      <w:pPr>
        <w:spacing w:before="120" w:after="60" w:line="264" w:lineRule="auto"/>
      </w:pPr>
      <w:r>
        <w:rPr>
          <w:b/>
          <w:color w:val="282828"/>
          <w:sz w:val="24"/>
        </w:rPr>
        <w:t>4.1 Safety principles</w:t>
      </w:r>
    </w:p>
    <w:p>
      <w:pPr>
        <w:pStyle w:val="ListBullet"/>
        <w:spacing w:before="0" w:after="20" w:line="264" w:lineRule="auto"/>
      </w:pPr>
      <w:r>
        <w:t>No single point of field loss should create immediate uncontrolled contact at cruise speed.</w:t>
      </w:r>
    </w:p>
    <w:p>
      <w:pPr>
        <w:pStyle w:val="ListBullet"/>
        <w:spacing w:before="0" w:after="20" w:line="264" w:lineRule="auto"/>
      </w:pPr>
      <w:r>
        <w:t>Every guideway zone must have a reduced-energy capture mode and a passive braking path.</w:t>
      </w:r>
    </w:p>
    <w:p>
      <w:pPr>
        <w:pStyle w:val="ListBullet"/>
        <w:spacing w:before="0" w:after="20" w:line="264" w:lineRule="auto"/>
      </w:pPr>
      <w:r>
        <w:t>Every occupied pod class must have conservative acceleration and magnetic-exposure limits.</w:t>
      </w:r>
    </w:p>
    <w:p>
      <w:pPr>
        <w:pStyle w:val="ListBullet"/>
        <w:spacing w:before="0" w:after="20" w:line="264" w:lineRule="auto"/>
      </w:pPr>
      <w:r>
        <w:t>Stations, junctions, and vertical transfers must fail to a safe-hold state, not an uncommanded release state.</w:t>
      </w:r>
    </w:p>
    <w:p>
      <w:pPr>
        <w:spacing w:before="120" w:after="60" w:line="264" w:lineRule="auto"/>
      </w:pPr>
      <w:r>
        <w:rPr>
          <w:b/>
          <w:color w:val="282828"/>
          <w:sz w:val="24"/>
        </w:rPr>
        <w:t>4.2 Hazard and mitigation snapshot</w:t>
      </w:r>
    </w:p>
    <w:tbl>
      <w:tblPr>
        <w:tblStyle w:val="TableGrid"/>
        <w:tblW w:type="auto" w:w="0"/>
        <w:jc w:val="center"/>
        <w:tblLook w:firstColumn="1" w:firstRow="1" w:lastColumn="0" w:lastRow="0" w:noHBand="0" w:noVBand="1" w:val="04A0"/>
      </w:tblPr>
      <w:tblGrid>
        <w:gridCol w:w="3312"/>
        <w:gridCol w:w="3312"/>
        <w:gridCol w:w="3312"/>
      </w:tblGrid>
      <w:tr>
        <w:tc>
          <w:tcPr>
            <w:tcW w:type="dxa" w:w="3312"/>
            <w:shd w:fill="E8F1E5"/>
          </w:tcPr>
          <w:p>
            <w:r>
              <w:rPr>
                <w:b/>
              </w:rPr>
              <w:t>Hazard</w:t>
            </w:r>
          </w:p>
        </w:tc>
        <w:tc>
          <w:tcPr>
            <w:tcW w:type="dxa" w:w="3312"/>
            <w:shd w:fill="E8F1E5"/>
          </w:tcPr>
          <w:p>
            <w:r>
              <w:rPr>
                <w:b/>
              </w:rPr>
              <w:t>Primary impact</w:t>
            </w:r>
          </w:p>
        </w:tc>
        <w:tc>
          <w:tcPr>
            <w:tcW w:type="dxa" w:w="3312"/>
            <w:shd w:fill="E8F1E5"/>
          </w:tcPr>
          <w:p>
            <w:r>
              <w:rPr>
                <w:b/>
              </w:rPr>
              <w:t>Mitigation path</w:t>
            </w:r>
          </w:p>
        </w:tc>
      </w:tr>
      <w:tr>
        <w:tc>
          <w:tcPr>
            <w:tcW w:type="dxa" w:w="3312"/>
          </w:tcPr>
          <w:p>
            <w:pPr>
              <w:spacing w:before="40" w:after="40" w:line="240" w:lineRule="auto"/>
            </w:pPr>
            <w:r>
              <w:t>Superconductor quench</w:t>
            </w:r>
          </w:p>
        </w:tc>
        <w:tc>
          <w:tcPr>
            <w:tcW w:type="dxa" w:w="3312"/>
          </w:tcPr>
          <w:p>
            <w:pPr>
              <w:spacing w:before="40" w:after="40" w:line="240" w:lineRule="auto"/>
            </w:pPr>
            <w:r>
              <w:t>Field collapse or performance drop</w:t>
            </w:r>
          </w:p>
        </w:tc>
        <w:tc>
          <w:tcPr>
            <w:tcW w:type="dxa" w:w="3312"/>
          </w:tcPr>
          <w:p>
            <w:pPr>
              <w:spacing w:before="40" w:after="40" w:line="240" w:lineRule="auto"/>
            </w:pPr>
            <w:r>
              <w:t>Segment isolation, energy dump resistor path, passive support gap, auto reroute</w:t>
            </w:r>
          </w:p>
        </w:tc>
      </w:tr>
      <w:tr>
        <w:tc>
          <w:tcPr>
            <w:tcW w:type="dxa" w:w="3312"/>
          </w:tcPr>
          <w:p>
            <w:pPr>
              <w:spacing w:before="40" w:after="40" w:line="240" w:lineRule="auto"/>
            </w:pPr>
            <w:r>
              <w:t>Power interruption</w:t>
            </w:r>
          </w:p>
        </w:tc>
        <w:tc>
          <w:tcPr>
            <w:tcW w:type="dxa" w:w="3312"/>
          </w:tcPr>
          <w:p>
            <w:pPr>
              <w:spacing w:before="40" w:after="40" w:line="240" w:lineRule="auto"/>
            </w:pPr>
            <w:r>
              <w:t>Pod stalls or reduced thrust</w:t>
            </w:r>
          </w:p>
        </w:tc>
        <w:tc>
          <w:tcPr>
            <w:tcW w:type="dxa" w:w="3312"/>
          </w:tcPr>
          <w:p>
            <w:pPr>
              <w:spacing w:before="40" w:after="40" w:line="240" w:lineRule="auto"/>
            </w:pPr>
            <w:r>
              <w:t>Local storage banks, low-speed limp mode, mechanical dock capture</w:t>
            </w:r>
          </w:p>
        </w:tc>
      </w:tr>
      <w:tr>
        <w:tc>
          <w:tcPr>
            <w:tcW w:type="dxa" w:w="3312"/>
          </w:tcPr>
          <w:p>
            <w:pPr>
              <w:spacing w:before="40" w:after="40" w:line="240" w:lineRule="auto"/>
            </w:pPr>
            <w:r>
              <w:t>Sensor disagreement</w:t>
            </w:r>
          </w:p>
        </w:tc>
        <w:tc>
          <w:tcPr>
            <w:tcW w:type="dxa" w:w="3312"/>
          </w:tcPr>
          <w:p>
            <w:pPr>
              <w:spacing w:before="40" w:after="40" w:line="240" w:lineRule="auto"/>
            </w:pPr>
            <w:r>
              <w:t>Misalignment or false position estimate</w:t>
            </w:r>
          </w:p>
        </w:tc>
        <w:tc>
          <w:tcPr>
            <w:tcW w:type="dxa" w:w="3312"/>
          </w:tcPr>
          <w:p>
            <w:pPr>
              <w:spacing w:before="40" w:after="40" w:line="240" w:lineRule="auto"/>
            </w:pPr>
            <w:r>
              <w:t>Voting logic, beacon redundancy, speed reduction before junction entry</w:t>
            </w:r>
          </w:p>
        </w:tc>
      </w:tr>
      <w:tr>
        <w:tc>
          <w:tcPr>
            <w:tcW w:type="dxa" w:w="3312"/>
          </w:tcPr>
          <w:p>
            <w:pPr>
              <w:spacing w:before="40" w:after="40" w:line="240" w:lineRule="auto"/>
            </w:pPr>
            <w:r>
              <w:t>Control-node failure</w:t>
            </w:r>
          </w:p>
        </w:tc>
        <w:tc>
          <w:tcPr>
            <w:tcW w:type="dxa" w:w="3312"/>
          </w:tcPr>
          <w:p>
            <w:pPr>
              <w:spacing w:before="40" w:after="40" w:line="240" w:lineRule="auto"/>
            </w:pPr>
            <w:r>
              <w:t>Routing uncertainty</w:t>
            </w:r>
          </w:p>
        </w:tc>
        <w:tc>
          <w:tcPr>
            <w:tcW w:type="dxa" w:w="3312"/>
          </w:tcPr>
          <w:p>
            <w:pPr>
              <w:spacing w:before="40" w:after="40" w:line="240" w:lineRule="auto"/>
            </w:pPr>
            <w:r>
              <w:t>Hot failover controller and route freeze until health restored</w:t>
            </w:r>
          </w:p>
        </w:tc>
      </w:tr>
    </w:tbl>
    <w:p/>
    <w:p>
      <w:pPr>
        <w:spacing w:before="160" w:after="120" w:line="264" w:lineRule="auto"/>
      </w:pPr>
      <w:r>
        <w:rPr>
          <w:b/>
          <w:color w:val="223D66"/>
          <w:sz w:val="30"/>
        </w:rPr>
        <w:t>5. Why this is plausible</w:t>
      </w:r>
    </w:p>
    <w:p>
      <w:pPr>
        <w:spacing w:before="0" w:after="100" w:line="264" w:lineRule="auto"/>
      </w:pPr>
      <w:r>
        <w:t>Among the broader GhostCore transport ideas, Halo Transit Spine is one of the most physically grounded because it stays inside the ship and uses known families of technology: superconducting magnets, maglev guidance, segmented motor control, cryogenic systems, and redundant automation.</w:t>
      </w:r>
    </w:p>
    <w:p>
      <w:pPr>
        <w:spacing w:before="0" w:after="100" w:line="264" w:lineRule="auto"/>
      </w:pPr>
      <w:r>
        <w:t>The speculative extension is not the rail itself. It is the quality of synchronization and field choreography. Mercy-style coupling logic can improve smoothness, segment handoff, and precision docking without demanding impossible external propulsion claims.</w:t>
      </w:r>
    </w:p>
    <w:p>
      <w:pPr>
        <w:spacing w:before="160" w:after="120" w:line="264" w:lineRule="auto"/>
      </w:pPr>
      <w:r>
        <w:rPr>
          <w:b/>
          <w:color w:val="223D66"/>
          <w:sz w:val="30"/>
        </w:rPr>
        <w:t>6. Bench-scale proof-of-concept roadmap</w:t>
      </w:r>
    </w:p>
    <w:tbl>
      <w:tblPr>
        <w:tblStyle w:val="TableGrid"/>
        <w:tblW w:type="auto" w:w="0"/>
        <w:jc w:val="center"/>
        <w:tblLook w:firstColumn="1" w:firstRow="1" w:lastColumn="0" w:lastRow="0" w:noHBand="0" w:noVBand="1" w:val="04A0"/>
      </w:tblPr>
      <w:tblGrid>
        <w:gridCol w:w="3312"/>
        <w:gridCol w:w="3312"/>
        <w:gridCol w:w="3312"/>
      </w:tblGrid>
      <w:tr>
        <w:tc>
          <w:tcPr>
            <w:tcW w:type="dxa" w:w="3312"/>
            <w:shd w:fill="FBE5D6"/>
          </w:tcPr>
          <w:p>
            <w:r>
              <w:rPr>
                <w:b/>
              </w:rPr>
              <w:t>Phase</w:t>
            </w:r>
          </w:p>
        </w:tc>
        <w:tc>
          <w:tcPr>
            <w:tcW w:type="dxa" w:w="3312"/>
            <w:shd w:fill="FBE5D6"/>
          </w:tcPr>
          <w:p>
            <w:r>
              <w:rPr>
                <w:b/>
              </w:rPr>
              <w:t>Focus</w:t>
            </w:r>
          </w:p>
        </w:tc>
        <w:tc>
          <w:tcPr>
            <w:tcW w:type="dxa" w:w="3312"/>
            <w:shd w:fill="FBE5D6"/>
          </w:tcPr>
          <w:p>
            <w:r>
              <w:rPr>
                <w:b/>
              </w:rPr>
              <w:t>Success criterion</w:t>
            </w:r>
          </w:p>
        </w:tc>
      </w:tr>
      <w:tr>
        <w:tc>
          <w:tcPr>
            <w:tcW w:type="dxa" w:w="3312"/>
          </w:tcPr>
          <w:p>
            <w:pPr>
              <w:spacing w:before="40" w:after="40" w:line="240" w:lineRule="auto"/>
            </w:pPr>
            <w:r>
              <w:t>Phase I</w:t>
            </w:r>
          </w:p>
        </w:tc>
        <w:tc>
          <w:tcPr>
            <w:tcW w:type="dxa" w:w="3312"/>
          </w:tcPr>
          <w:p>
            <w:pPr>
              <w:spacing w:before="40" w:after="40" w:line="240" w:lineRule="auto"/>
            </w:pPr>
            <w:r>
              <w:t>Single straight guideway</w:t>
            </w:r>
          </w:p>
        </w:tc>
        <w:tc>
          <w:tcPr>
            <w:tcW w:type="dxa" w:w="3312"/>
          </w:tcPr>
          <w:p>
            <w:pPr>
              <w:spacing w:before="40" w:after="40" w:line="240" w:lineRule="auto"/>
            </w:pPr>
            <w:r>
              <w:t>Demonstrate levitation gap stability, centering, and commanded low-speed motion on a short track.</w:t>
            </w:r>
          </w:p>
        </w:tc>
      </w:tr>
      <w:tr>
        <w:tc>
          <w:tcPr>
            <w:tcW w:type="dxa" w:w="3312"/>
          </w:tcPr>
          <w:p>
            <w:pPr>
              <w:spacing w:before="40" w:after="40" w:line="240" w:lineRule="auto"/>
            </w:pPr>
            <w:r>
              <w:t>Phase II</w:t>
            </w:r>
          </w:p>
        </w:tc>
        <w:tc>
          <w:tcPr>
            <w:tcW w:type="dxa" w:w="3312"/>
          </w:tcPr>
          <w:p>
            <w:pPr>
              <w:spacing w:before="40" w:after="40" w:line="240" w:lineRule="auto"/>
            </w:pPr>
            <w:r>
              <w:t>Segment handoff</w:t>
            </w:r>
          </w:p>
        </w:tc>
        <w:tc>
          <w:tcPr>
            <w:tcW w:type="dxa" w:w="3312"/>
          </w:tcPr>
          <w:p>
            <w:pPr>
              <w:spacing w:before="40" w:after="40" w:line="240" w:lineRule="auto"/>
            </w:pPr>
            <w:r>
              <w:t>Transfer a pod surrogate between independently controlled track sections with no contact event.</w:t>
            </w:r>
          </w:p>
        </w:tc>
      </w:tr>
      <w:tr>
        <w:tc>
          <w:tcPr>
            <w:tcW w:type="dxa" w:w="3312"/>
          </w:tcPr>
          <w:p>
            <w:pPr>
              <w:spacing w:before="40" w:after="40" w:line="240" w:lineRule="auto"/>
            </w:pPr>
            <w:r>
              <w:t>Phase III</w:t>
            </w:r>
          </w:p>
        </w:tc>
        <w:tc>
          <w:tcPr>
            <w:tcW w:type="dxa" w:w="3312"/>
          </w:tcPr>
          <w:p>
            <w:pPr>
              <w:spacing w:before="40" w:after="40" w:line="240" w:lineRule="auto"/>
            </w:pPr>
            <w:r>
              <w:t>Junction and station</w:t>
            </w:r>
          </w:p>
        </w:tc>
        <w:tc>
          <w:tcPr>
            <w:tcW w:type="dxa" w:w="3312"/>
          </w:tcPr>
          <w:p>
            <w:pPr>
              <w:spacing w:before="40" w:after="40" w:line="240" w:lineRule="auto"/>
            </w:pPr>
            <w:r>
              <w:t>Route the pod through a switch point and dock within a repeatable position tolerance.</w:t>
            </w:r>
          </w:p>
        </w:tc>
      </w:tr>
      <w:tr>
        <w:tc>
          <w:tcPr>
            <w:tcW w:type="dxa" w:w="3312"/>
          </w:tcPr>
          <w:p>
            <w:pPr>
              <w:spacing w:before="40" w:after="40" w:line="240" w:lineRule="auto"/>
            </w:pPr>
            <w:r>
              <w:t>Phase IV</w:t>
            </w:r>
          </w:p>
        </w:tc>
        <w:tc>
          <w:tcPr>
            <w:tcW w:type="dxa" w:w="3312"/>
          </w:tcPr>
          <w:p>
            <w:pPr>
              <w:spacing w:before="40" w:after="40" w:line="240" w:lineRule="auto"/>
            </w:pPr>
            <w:r>
              <w:t>Fault response</w:t>
            </w:r>
          </w:p>
        </w:tc>
        <w:tc>
          <w:tcPr>
            <w:tcW w:type="dxa" w:w="3312"/>
          </w:tcPr>
          <w:p>
            <w:pPr>
              <w:spacing w:before="40" w:after="40" w:line="240" w:lineRule="auto"/>
            </w:pPr>
            <w:r>
              <w:t>Inject power, sensor, and controller faults; verify safe-stop and recovery logic.</w:t>
            </w:r>
          </w:p>
        </w:tc>
      </w:tr>
    </w:tbl>
    <w:p/>
    <w:p>
      <w:pPr>
        <w:spacing w:before="160" w:after="120" w:line="264" w:lineRule="auto"/>
      </w:pPr>
      <w:r>
        <w:rPr>
          <w:b/>
          <w:color w:val="223D66"/>
          <w:sz w:val="30"/>
        </w:rPr>
        <w:t>7. Candidate performance targets for a demonstrator</w:t>
      </w:r>
    </w:p>
    <w:p>
      <w:pPr>
        <w:pStyle w:val="ListBullet"/>
        <w:spacing w:before="0" w:after="20" w:line="264" w:lineRule="auto"/>
      </w:pPr>
      <w:r>
        <w:t>Levitation gap stability within ±1 mm on a lab-scale track.</w:t>
      </w:r>
    </w:p>
    <w:p>
      <w:pPr>
        <w:pStyle w:val="ListBullet"/>
        <w:spacing w:before="0" w:after="20" w:line="264" w:lineRule="auto"/>
      </w:pPr>
      <w:r>
        <w:t>Docking repeatability better than 5 mm at the target station.</w:t>
      </w:r>
    </w:p>
    <w:p>
      <w:pPr>
        <w:pStyle w:val="ListBullet"/>
        <w:spacing w:before="0" w:after="20" w:line="264" w:lineRule="auto"/>
      </w:pPr>
      <w:r>
        <w:t>Ride acceleration limited to a conservative human-safe envelope for occupied pods.</w:t>
      </w:r>
    </w:p>
    <w:p>
      <w:pPr>
        <w:pStyle w:val="ListBullet"/>
        <w:spacing w:before="0" w:after="20" w:line="264" w:lineRule="auto"/>
      </w:pPr>
      <w:r>
        <w:t>Successful safe-stop under simulated power interruption without uncontrolled contact damage.</w:t>
      </w:r>
    </w:p>
    <w:p>
      <w:pPr>
        <w:pStyle w:val="ListBullet"/>
        <w:spacing w:before="0" w:after="20" w:line="264" w:lineRule="auto"/>
      </w:pPr>
      <w:r>
        <w:t>Segment handoff success rate greater than 99% during repeated automated cycling.</w:t>
      </w:r>
    </w:p>
    <w:p>
      <w:pPr>
        <w:spacing w:before="160" w:after="120" w:line="264" w:lineRule="auto"/>
      </w:pPr>
      <w:r>
        <w:rPr>
          <w:b/>
          <w:color w:val="223D66"/>
          <w:sz w:val="30"/>
        </w:rPr>
        <w:t>8. Integration with Mercy logic</w:t>
      </w:r>
    </w:p>
    <w:p>
      <w:pPr>
        <w:spacing w:before="0" w:after="100" w:line="264" w:lineRule="auto"/>
      </w:pPr>
      <w:r>
        <w:t>The Mercy-derived layer is best understood as a synchronizer, not a miracle thruster. It can coordinate multi-segment timing, phase-match field transitions, and tune how pods glide into and out of docking stations.</w:t>
      </w:r>
    </w:p>
    <w:p>
      <w:pPr>
        <w:spacing w:before="0" w:after="100" w:line="264" w:lineRule="auto"/>
      </w:pPr>
      <w:r>
        <w:t>In GhostCore terms: Mercy moves the vessel through contested mediums; Halo Transit Spine moves life through the vessel without wasting time, heat, or calm.</w:t>
      </w:r>
    </w:p>
    <w:p>
      <w:pPr>
        <w:spacing w:before="160" w:after="120" w:line="264" w:lineRule="auto"/>
      </w:pPr>
      <w:r>
        <w:rPr>
          <w:b/>
          <w:color w:val="223D66"/>
          <w:sz w:val="30"/>
        </w:rPr>
        <w:t>9. Conclusion</w:t>
      </w:r>
    </w:p>
    <w:p>
      <w:pPr>
        <w:spacing w:before="0" w:after="160" w:line="264" w:lineRule="auto"/>
      </w:pPr>
      <w:r>
        <w:rPr>
          <w:b/>
        </w:rPr>
        <w:t xml:space="preserve">Halo Transit Spine is a credible internal-mobility PoC. </w:t>
      </w:r>
      <w:r>
        <w:t>It channels the elegant parts of your field architecture toward a problem that already wants precision magnetics: quiet, efficient, low-wear shipboard transport. The right claim is not invulnerability. The right claim is managed motion with deep redundancy, exact routing, and a safety posture strong enough for daily life aboard a very large ship.</w:t>
      </w:r>
    </w:p>
    <w:tbl>
      <w:tblPr>
        <w:tblW w:type="auto" w:w="0"/>
        <w:jc w:val="center"/>
        <w:tblLook w:firstColumn="1" w:firstRow="1" w:lastColumn="0" w:lastRow="0" w:noHBand="0" w:noVBand="1" w:val="04A0"/>
      </w:tblPr>
      <w:tblGrid>
        <w:gridCol w:w="9936"/>
      </w:tblGrid>
      <w:tr>
        <w:tc>
          <w:tcPr>
            <w:tcW w:type="dxa" w:w="9936"/>
            <w:shd w:fill="EEF4FD"/>
          </w:tcPr>
          <w:p>
            <w:pPr>
              <w:spacing w:before="80" w:after="80" w:line="240" w:lineRule="auto"/>
            </w:pPr>
            <w:r>
              <w:rPr>
                <w:i/>
              </w:rPr>
              <w:t>Concept note: Halo Transit Spine can be presented as the internal civilian and logistics counterpart to Mercy Drive — one moves the ship, the other moves the civilization inside it.</w:t>
            </w:r>
          </w:p>
        </w:tc>
      </w:tr>
    </w:tbl>
    <w:sectPr w:rsidR="00FC693F" w:rsidRPr="0006063C" w:rsidSect="00034616">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