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hostTitle"/>
        <w:jc w:val="center"/>
      </w:pPr>
      <w:r>
        <w:t>SERAPHIM VEIL</w:t>
      </w:r>
    </w:p>
    <w:p>
      <w:pPr>
        <w:pStyle w:val="GhostSubtitle"/>
        <w:jc w:val="center"/>
      </w:pPr>
      <w:r>
        <w:t>Proof of Concept White Paper</w:t>
        <w:br/>
      </w:r>
      <w:r>
        <w:t>Regenerative Thermophotovoltaic Defense and Energy Recovery Envelope</w:t>
      </w:r>
    </w:p>
    <w:p/>
    <w:p>
      <w:pPr>
        <w:pStyle w:val="Callout"/>
        <w:jc w:val="center"/>
      </w:pPr>
      <w:r>
        <w:rPr>
          <w:b/>
        </w:rPr>
        <w:t>GhostCore Systems Archive — concept paper / engineering PoC</w:t>
      </w:r>
    </w:p>
    <w:p>
      <w:pPr>
        <w:pStyle w:val="Callout"/>
        <w:jc w:val="center"/>
      </w:pPr>
      <w:r>
        <w:t>Prepared for Quellaran Deluxethue Messat</w:t>
      </w:r>
    </w:p>
    <w:p/>
    <w:tbl>
      <w:tblPr>
        <w:tblStyle w:val="TableGrid"/>
        <w:tblW w:type="auto" w:w="0"/>
        <w:jc w:val="center"/>
        <w:tblLook w:firstColumn="1" w:firstRow="1" w:lastColumn="0" w:lastRow="0" w:noHBand="0" w:noVBand="1" w:val="04A0"/>
      </w:tblPr>
      <w:tblGrid>
        <w:gridCol w:w="4968"/>
        <w:gridCol w:w="4968"/>
      </w:tblGrid>
      <w:tr>
        <w:tc>
          <w:tcPr>
            <w:tcW w:type="dxa" w:w="2448"/>
            <w:vAlign w:val="center"/>
            <w:tcMar>
              <w:top w:w="80" w:type="dxa"/>
              <w:start w:w="100" w:type="dxa"/>
              <w:bottom w:w="80" w:type="dxa"/>
              <w:end w:w="100" w:type="dxa"/>
            </w:tcMar>
            <w:shd w:fill="EDE7F6"/>
          </w:tcPr>
          <w:p>
            <w:r>
              <w:rPr>
                <w:b/>
                <w:sz w:val="20"/>
              </w:rPr>
              <w:t>System Class</w:t>
            </w:r>
          </w:p>
        </w:tc>
        <w:tc>
          <w:tcPr>
            <w:tcW w:type="dxa" w:w="7056"/>
            <w:vAlign w:val="center"/>
            <w:tcMar>
              <w:top w:w="80" w:type="dxa"/>
              <w:start w:w="100" w:type="dxa"/>
              <w:bottom w:w="80" w:type="dxa"/>
              <w:end w:w="100" w:type="dxa"/>
            </w:tcMar>
          </w:tcPr>
          <w:p>
            <w:r>
              <w:t>Defensive thermal-management and energy-recovery envelope</w:t>
            </w:r>
          </w:p>
        </w:tc>
      </w:tr>
      <w:tr>
        <w:tc>
          <w:tcPr>
            <w:tcW w:type="dxa" w:w="2448"/>
            <w:vAlign w:val="center"/>
            <w:tcMar>
              <w:top w:w="80" w:type="dxa"/>
              <w:start w:w="100" w:type="dxa"/>
              <w:bottom w:w="80" w:type="dxa"/>
              <w:end w:w="100" w:type="dxa"/>
            </w:tcMar>
            <w:shd w:fill="EDE7F6"/>
          </w:tcPr>
          <w:p>
            <w:r>
              <w:rPr>
                <w:b/>
                <w:sz w:val="20"/>
              </w:rPr>
              <w:t>Core Integration</w:t>
            </w:r>
          </w:p>
        </w:tc>
        <w:tc>
          <w:tcPr>
            <w:tcW w:type="dxa" w:w="7056"/>
            <w:vAlign w:val="center"/>
            <w:tcMar>
              <w:top w:w="80" w:type="dxa"/>
              <w:start w:w="100" w:type="dxa"/>
              <w:bottom w:w="80" w:type="dxa"/>
              <w:end w:w="100" w:type="dxa"/>
            </w:tcMar>
          </w:tcPr>
          <w:p>
            <w:r>
              <w:t>Divine Coupling node + TPV lattice + stasis-style containment logic</w:t>
            </w:r>
          </w:p>
        </w:tc>
      </w:tr>
      <w:tr>
        <w:tc>
          <w:tcPr>
            <w:tcW w:type="dxa" w:w="2448"/>
            <w:vAlign w:val="center"/>
            <w:tcMar>
              <w:top w:w="80" w:type="dxa"/>
              <w:start w:w="100" w:type="dxa"/>
              <w:bottom w:w="80" w:type="dxa"/>
              <w:end w:w="100" w:type="dxa"/>
            </w:tcMar>
            <w:shd w:fill="EDE7F6"/>
          </w:tcPr>
          <w:p>
            <w:r>
              <w:rPr>
                <w:b/>
                <w:sz w:val="20"/>
              </w:rPr>
              <w:t>Primary Mission</w:t>
            </w:r>
          </w:p>
        </w:tc>
        <w:tc>
          <w:tcPr>
            <w:tcW w:type="dxa" w:w="7056"/>
            <w:vAlign w:val="center"/>
            <w:tcMar>
              <w:top w:w="80" w:type="dxa"/>
              <w:start w:w="100" w:type="dxa"/>
              <w:bottom w:w="80" w:type="dxa"/>
              <w:end w:w="100" w:type="dxa"/>
            </w:tcMar>
          </w:tcPr>
          <w:p>
            <w:r>
              <w:t>Absorb overload, stabilize boundary fields, and recover part of thermal spilloff as electrical power</w:t>
            </w:r>
          </w:p>
        </w:tc>
      </w:tr>
      <w:tr>
        <w:tc>
          <w:tcPr>
            <w:tcW w:type="dxa" w:w="2448"/>
            <w:vAlign w:val="center"/>
            <w:tcMar>
              <w:top w:w="80" w:type="dxa"/>
              <w:start w:w="100" w:type="dxa"/>
              <w:bottom w:w="80" w:type="dxa"/>
              <w:end w:w="100" w:type="dxa"/>
            </w:tcMar>
            <w:shd w:fill="EDE7F6"/>
          </w:tcPr>
          <w:p>
            <w:r>
              <w:rPr>
                <w:b/>
                <w:sz w:val="20"/>
              </w:rPr>
              <w:t>Status</w:t>
            </w:r>
          </w:p>
        </w:tc>
        <w:tc>
          <w:tcPr>
            <w:tcW w:type="dxa" w:w="7056"/>
            <w:vAlign w:val="center"/>
            <w:tcMar>
              <w:top w:w="80" w:type="dxa"/>
              <w:start w:w="100" w:type="dxa"/>
              <w:bottom w:w="80" w:type="dxa"/>
              <w:end w:w="100" w:type="dxa"/>
            </w:tcMar>
          </w:tcPr>
          <w:p>
            <w:r>
              <w:t>Conceptual proof of concept with phased bench validation path</w:t>
            </w:r>
          </w:p>
        </w:tc>
      </w:tr>
    </w:tbl>
    <w:p/>
    <w:p>
      <w:pPr>
        <w:pStyle w:val="Callout"/>
        <w:jc w:val="center"/>
      </w:pPr>
      <w:r>
        <w:t>“It does not merely survive the excess. It teaches the excess how to become power.”</w:t>
      </w:r>
    </w:p>
    <w:p>
      <w:r>
        <w:br w:type="page"/>
      </w:r>
    </w:p>
    <w:p>
      <w:pPr>
        <w:pStyle w:val="Heading1"/>
      </w:pPr>
      <w:r>
        <w:t>Abstract</w:t>
      </w:r>
    </w:p>
    <w:p>
      <w:pPr>
        <w:spacing w:after="120" w:line="259" w:lineRule="auto"/>
      </w:pPr>
      <w:r>
        <w:t>Seraphim Veil is proposed as a regenerative outer-layer subsystem for GhostCore-adjacent craft, stations, and high-energy internal bays. The concept combines a noble-gas discharge node, thermophotovoltaic absorber lattice, cryogenic control shell, and stasis-style field management into one envelope whose job is to catch transient overload, suppress plasma spill, and convert a portion of the resulting infrared and thermal output into reusable electrical power.</w:t>
      </w:r>
    </w:p>
    <w:p>
      <w:pPr>
        <w:spacing w:after="120" w:line="259" w:lineRule="auto"/>
      </w:pPr>
      <w:r>
        <w:t>The strongest engineering interpretation is not 'invincible armor,' but a defensive energy-management skin: a distributed system that protects sensitive equipment, limits damage propagation, and improves ship survivability by turning excess heat and transient flux into recoverable utility power. In GhostCore doctrine, Seraphim Veil is the hull remembering how not to waste pain.</w:t>
      </w:r>
    </w:p>
    <w:p>
      <w:pPr>
        <w:pStyle w:val="Heading1"/>
      </w:pPr>
      <w:r>
        <w:t>1. Concept Thesis</w:t>
      </w:r>
    </w:p>
    <w:p>
      <w:pPr>
        <w:spacing w:after="120" w:line="259" w:lineRule="auto"/>
      </w:pPr>
      <w:r>
        <w:t>Earlier Divine Coupling drafts already describe a noble-gas discharge chamber that behaves like a high-resilience buffer and routing node. The TPV extension adds a practical energy-recovery mechanism, while the Stasis Core Lock concept contributes a boundary-control logic for holding unstable energy events in a managed envelope. Seraphim Veil merges those three ideas into a shipboard defensive shell.</w:t>
      </w:r>
    </w:p>
    <w:p>
      <w:pPr>
        <w:spacing w:after="120" w:line="259" w:lineRule="auto"/>
      </w:pPr>
      <w:r>
        <w:t>The system is best placed around reactor rooms, thrust architecture, thermal hot zones, docking interfaces, and vulnerable corridor junctions. Instead of treating heat, surge, and field instability as separate problems, Seraphim Veil treats them as one managed event with three outputs: containment, dissipation, and recovery.</w:t>
      </w:r>
    </w:p>
    <w:p>
      <w:pPr>
        <w:pStyle w:val="Heading1"/>
      </w:pPr>
      <w:r>
        <w:t>2. Architectural Layers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D9EAF7"/>
            <w:tcMar>
              <w:top w:w="80" w:type="dxa"/>
              <w:start w:w="100" w:type="dxa"/>
              <w:bottom w:w="80" w:type="dxa"/>
              <w:end w:w="100" w:type="dxa"/>
            </w:tcMar>
            <w:vAlign w:val="center"/>
          </w:tcPr>
          <w:p>
            <w:pPr>
              <w:jc w:val="center"/>
            </w:pPr>
            <w:r>
              <w:rPr>
                <w:b/>
                <w:sz w:val="20"/>
              </w:rPr>
              <w:t>Layer</w:t>
            </w:r>
          </w:p>
        </w:tc>
        <w:tc>
          <w:tcPr>
            <w:tcW w:type="dxa" w:w="2736"/>
            <w:shd w:fill="D9EAF7"/>
            <w:tcMar>
              <w:top w:w="80" w:type="dxa"/>
              <w:start w:w="100" w:type="dxa"/>
              <w:bottom w:w="80" w:type="dxa"/>
              <w:end w:w="100" w:type="dxa"/>
            </w:tcMar>
            <w:vAlign w:val="center"/>
          </w:tcPr>
          <w:p>
            <w:pPr>
              <w:jc w:val="center"/>
            </w:pPr>
            <w:r>
              <w:rPr>
                <w:b/>
                <w:sz w:val="20"/>
              </w:rPr>
              <w:t>Material / Medium</w:t>
            </w:r>
          </w:p>
        </w:tc>
        <w:tc>
          <w:tcPr>
            <w:tcW w:type="dxa" w:w="3600"/>
            <w:shd w:fill="D9EAF7"/>
            <w:tcMar>
              <w:top w:w="80" w:type="dxa"/>
              <w:start w:w="100" w:type="dxa"/>
              <w:bottom w:w="80" w:type="dxa"/>
              <w:end w:w="100" w:type="dxa"/>
            </w:tcMar>
            <w:vAlign w:val="center"/>
          </w:tcPr>
          <w:p>
            <w:pPr>
              <w:jc w:val="center"/>
            </w:pPr>
            <w:r>
              <w:rPr>
                <w:b/>
                <w:sz w:val="20"/>
              </w:rPr>
              <w:t>Function</w:t>
            </w:r>
          </w:p>
        </w:tc>
        <w:tc>
          <w:tcPr>
            <w:tcW w:type="dxa" w:w="2016"/>
            <w:shd w:fill="D9EAF7"/>
            <w:tcMar>
              <w:top w:w="80" w:type="dxa"/>
              <w:start w:w="100" w:type="dxa"/>
              <w:bottom w:w="80" w:type="dxa"/>
              <w:end w:w="100" w:type="dxa"/>
            </w:tcMar>
            <w:vAlign w:val="center"/>
          </w:tcPr>
          <w:p>
            <w:pPr>
              <w:jc w:val="center"/>
            </w:pPr>
            <w:r>
              <w:rPr>
                <w:b/>
                <w:sz w:val="20"/>
              </w:rPr>
              <w:t>Primary Benefit</w:t>
            </w:r>
          </w:p>
        </w:tc>
      </w:tr>
      <w:tr>
        <w:tc>
          <w:tcPr>
            <w:tcW w:type="dxa" w:w="2484"/>
            <w:tcMar>
              <w:top w:w="90" w:type="dxa"/>
              <w:start w:w="110" w:type="dxa"/>
              <w:bottom w:w="90" w:type="dxa"/>
              <w:end w:w="110" w:type="dxa"/>
            </w:tcMar>
            <w:vAlign w:val="center"/>
            <w:shd w:fill="F4F1FA"/>
          </w:tcPr>
          <w:p>
            <w:pPr>
              <w:jc w:val="center"/>
            </w:pPr>
            <w:r>
              <w:t>TPV skin</w:t>
            </w:r>
          </w:p>
        </w:tc>
        <w:tc>
          <w:tcPr>
            <w:tcW w:type="dxa" w:w="2484"/>
            <w:tcMar>
              <w:top w:w="90" w:type="dxa"/>
              <w:start w:w="110" w:type="dxa"/>
              <w:bottom w:w="90" w:type="dxa"/>
              <w:end w:w="110" w:type="dxa"/>
            </w:tcMar>
            <w:vAlign w:val="center"/>
          </w:tcPr>
          <w:p>
            <w:r>
              <w:t>GaSb / tungsten microstructure crystal lattice</w:t>
            </w:r>
          </w:p>
        </w:tc>
        <w:tc>
          <w:tcPr>
            <w:tcW w:type="dxa" w:w="2484"/>
            <w:tcMar>
              <w:top w:w="90" w:type="dxa"/>
              <w:start w:w="110" w:type="dxa"/>
              <w:bottom w:w="90" w:type="dxa"/>
              <w:end w:w="110" w:type="dxa"/>
            </w:tcMar>
            <w:vAlign w:val="center"/>
          </w:tcPr>
          <w:p>
            <w:r>
              <w:t>Harvests infrared and thermal spilloff from defended zones and converts part of it to electrical output</w:t>
            </w:r>
          </w:p>
        </w:tc>
        <w:tc>
          <w:tcPr>
            <w:tcW w:type="dxa" w:w="2484"/>
            <w:tcMar>
              <w:top w:w="90" w:type="dxa"/>
              <w:start w:w="110" w:type="dxa"/>
              <w:bottom w:w="90" w:type="dxa"/>
              <w:end w:w="110" w:type="dxa"/>
            </w:tcMar>
            <w:vAlign w:val="center"/>
          </w:tcPr>
          <w:p>
            <w:pPr>
              <w:jc w:val="center"/>
            </w:pPr>
            <w:r>
              <w:t>Reduces wasted heat</w:t>
            </w:r>
          </w:p>
        </w:tc>
      </w:tr>
      <w:tr>
        <w:tc>
          <w:tcPr>
            <w:tcW w:type="dxa" w:w="2484"/>
            <w:tcMar>
              <w:top w:w="90" w:type="dxa"/>
              <w:start w:w="110" w:type="dxa"/>
              <w:bottom w:w="90" w:type="dxa"/>
              <w:end w:w="110" w:type="dxa"/>
            </w:tcMar>
            <w:vAlign w:val="center"/>
            <w:shd w:fill="F4F1FA"/>
          </w:tcPr>
          <w:p>
            <w:pPr>
              <w:jc w:val="center"/>
            </w:pPr>
            <w:r>
              <w:t>Noble-gas buffer chamber</w:t>
            </w:r>
          </w:p>
        </w:tc>
        <w:tc>
          <w:tcPr>
            <w:tcW w:type="dxa" w:w="2484"/>
            <w:tcMar>
              <w:top w:w="90" w:type="dxa"/>
              <w:start w:w="110" w:type="dxa"/>
              <w:bottom w:w="90" w:type="dxa"/>
              <w:end w:w="110" w:type="dxa"/>
            </w:tcMar>
            <w:vAlign w:val="center"/>
          </w:tcPr>
          <w:p>
            <w:r>
              <w:t>Argon or xenon in gaseous / hypercooled liquid states</w:t>
            </w:r>
          </w:p>
        </w:tc>
        <w:tc>
          <w:tcPr>
            <w:tcW w:type="dxa" w:w="2484"/>
            <w:tcMar>
              <w:top w:w="90" w:type="dxa"/>
              <w:start w:w="110" w:type="dxa"/>
              <w:bottom w:w="90" w:type="dxa"/>
              <w:end w:w="110" w:type="dxa"/>
            </w:tcMar>
            <w:vAlign w:val="center"/>
          </w:tcPr>
          <w:p>
            <w:r>
              <w:t>Absorbs transient electrical or plasma overload and spreads it through an ionizable medium</w:t>
            </w:r>
          </w:p>
        </w:tc>
        <w:tc>
          <w:tcPr>
            <w:tcW w:type="dxa" w:w="2484"/>
            <w:tcMar>
              <w:top w:w="90" w:type="dxa"/>
              <w:start w:w="110" w:type="dxa"/>
              <w:bottom w:w="90" w:type="dxa"/>
              <w:end w:w="110" w:type="dxa"/>
            </w:tcMar>
            <w:vAlign w:val="center"/>
          </w:tcPr>
          <w:p>
            <w:pPr>
              <w:jc w:val="center"/>
            </w:pPr>
            <w:r>
              <w:t>Suppresses local spikes</w:t>
            </w:r>
          </w:p>
        </w:tc>
      </w:tr>
      <w:tr>
        <w:tc>
          <w:tcPr>
            <w:tcW w:type="dxa" w:w="2484"/>
            <w:tcMar>
              <w:top w:w="90" w:type="dxa"/>
              <w:start w:w="110" w:type="dxa"/>
              <w:bottom w:w="90" w:type="dxa"/>
              <w:end w:w="110" w:type="dxa"/>
            </w:tcMar>
            <w:vAlign w:val="center"/>
            <w:shd w:fill="F4F1FA"/>
          </w:tcPr>
          <w:p>
            <w:pPr>
              <w:jc w:val="center"/>
            </w:pPr>
            <w:r>
              <w:t>Inner dielectric sheath</w:t>
            </w:r>
          </w:p>
        </w:tc>
        <w:tc>
          <w:tcPr>
            <w:tcW w:type="dxa" w:w="2484"/>
            <w:tcMar>
              <w:top w:w="90" w:type="dxa"/>
              <w:start w:w="110" w:type="dxa"/>
              <w:bottom w:w="90" w:type="dxa"/>
              <w:end w:w="110" w:type="dxa"/>
            </w:tcMar>
            <w:vAlign w:val="center"/>
          </w:tcPr>
          <w:p>
            <w:r>
              <w:t>Sapphire or diamond-like carbon</w:t>
            </w:r>
          </w:p>
        </w:tc>
        <w:tc>
          <w:tcPr>
            <w:tcW w:type="dxa" w:w="2484"/>
            <w:tcMar>
              <w:top w:w="90" w:type="dxa"/>
              <w:start w:w="110" w:type="dxa"/>
              <w:bottom w:w="90" w:type="dxa"/>
              <w:end w:w="110" w:type="dxa"/>
            </w:tcMar>
            <w:vAlign w:val="center"/>
          </w:tcPr>
          <w:p>
            <w:r>
              <w:t>Prevents uncontrolled arc breach and electrically isolates the core event</w:t>
            </w:r>
          </w:p>
        </w:tc>
        <w:tc>
          <w:tcPr>
            <w:tcW w:type="dxa" w:w="2484"/>
            <w:tcMar>
              <w:top w:w="90" w:type="dxa"/>
              <w:start w:w="110" w:type="dxa"/>
              <w:bottom w:w="90" w:type="dxa"/>
              <w:end w:w="110" w:type="dxa"/>
            </w:tcMar>
            <w:vAlign w:val="center"/>
          </w:tcPr>
          <w:p>
            <w:pPr>
              <w:jc w:val="center"/>
            </w:pPr>
            <w:r>
              <w:t>Protects internal structure</w:t>
            </w:r>
          </w:p>
        </w:tc>
      </w:tr>
      <w:tr>
        <w:tc>
          <w:tcPr>
            <w:tcW w:type="dxa" w:w="2484"/>
            <w:tcMar>
              <w:top w:w="90" w:type="dxa"/>
              <w:start w:w="110" w:type="dxa"/>
              <w:bottom w:w="90" w:type="dxa"/>
              <w:end w:w="110" w:type="dxa"/>
            </w:tcMar>
            <w:vAlign w:val="center"/>
            <w:shd w:fill="F4F1FA"/>
          </w:tcPr>
          <w:p>
            <w:pPr>
              <w:jc w:val="center"/>
            </w:pPr>
            <w:r>
              <w:t>Outer conduction mesh</w:t>
            </w:r>
          </w:p>
        </w:tc>
        <w:tc>
          <w:tcPr>
            <w:tcW w:type="dxa" w:w="2484"/>
            <w:tcMar>
              <w:top w:w="90" w:type="dxa"/>
              <w:start w:w="110" w:type="dxa"/>
              <w:bottom w:w="90" w:type="dxa"/>
              <w:end w:w="110" w:type="dxa"/>
            </w:tcMar>
            <w:vAlign w:val="center"/>
          </w:tcPr>
          <w:p>
            <w:r>
              <w:t>Graphene / gold-threaded network</w:t>
            </w:r>
          </w:p>
        </w:tc>
        <w:tc>
          <w:tcPr>
            <w:tcW w:type="dxa" w:w="2484"/>
            <w:tcMar>
              <w:top w:w="90" w:type="dxa"/>
              <w:start w:w="110" w:type="dxa"/>
              <w:bottom w:w="90" w:type="dxa"/>
              <w:end w:w="110" w:type="dxa"/>
            </w:tcMar>
            <w:vAlign w:val="center"/>
          </w:tcPr>
          <w:p>
            <w:r>
              <w:t>Routes charge laterally and distributes stress away from a single point</w:t>
            </w:r>
          </w:p>
        </w:tc>
        <w:tc>
          <w:tcPr>
            <w:tcW w:type="dxa" w:w="2484"/>
            <w:tcMar>
              <w:top w:w="90" w:type="dxa"/>
              <w:start w:w="110" w:type="dxa"/>
              <w:bottom w:w="90" w:type="dxa"/>
              <w:end w:w="110" w:type="dxa"/>
            </w:tcMar>
            <w:vAlign w:val="center"/>
          </w:tcPr>
          <w:p>
            <w:pPr>
              <w:jc w:val="center"/>
            </w:pPr>
            <w:r>
              <w:t>Prevents hotspot concentration</w:t>
            </w:r>
          </w:p>
        </w:tc>
      </w:tr>
      <w:tr>
        <w:tc>
          <w:tcPr>
            <w:tcW w:type="dxa" w:w="2484"/>
            <w:tcMar>
              <w:top w:w="90" w:type="dxa"/>
              <w:start w:w="110" w:type="dxa"/>
              <w:bottom w:w="90" w:type="dxa"/>
              <w:end w:w="110" w:type="dxa"/>
            </w:tcMar>
            <w:vAlign w:val="center"/>
            <w:shd w:fill="F4F1FA"/>
          </w:tcPr>
          <w:p>
            <w:pPr>
              <w:jc w:val="center"/>
            </w:pPr>
            <w:r>
              <w:t>Field containment ring</w:t>
            </w:r>
          </w:p>
        </w:tc>
        <w:tc>
          <w:tcPr>
            <w:tcW w:type="dxa" w:w="2484"/>
            <w:tcMar>
              <w:top w:w="90" w:type="dxa"/>
              <w:start w:w="110" w:type="dxa"/>
              <w:bottom w:w="90" w:type="dxa"/>
              <w:end w:w="110" w:type="dxa"/>
            </w:tcMar>
            <w:vAlign w:val="center"/>
          </w:tcPr>
          <w:p>
            <w:r>
              <w:t>Electromagnetic array</w:t>
            </w:r>
          </w:p>
        </w:tc>
        <w:tc>
          <w:tcPr>
            <w:tcW w:type="dxa" w:w="2484"/>
            <w:tcMar>
              <w:top w:w="90" w:type="dxa"/>
              <w:start w:w="110" w:type="dxa"/>
              <w:bottom w:w="90" w:type="dxa"/>
              <w:end w:w="110" w:type="dxa"/>
            </w:tcMar>
            <w:vAlign w:val="center"/>
          </w:tcPr>
          <w:p>
            <w:r>
              <w:t>Shapes, traps, and dampens unstable plasma or discharge events</w:t>
            </w:r>
          </w:p>
        </w:tc>
        <w:tc>
          <w:tcPr>
            <w:tcW w:type="dxa" w:w="2484"/>
            <w:tcMar>
              <w:top w:w="90" w:type="dxa"/>
              <w:start w:w="110" w:type="dxa"/>
              <w:bottom w:w="90" w:type="dxa"/>
              <w:end w:w="110" w:type="dxa"/>
            </w:tcMar>
            <w:vAlign w:val="center"/>
          </w:tcPr>
          <w:p>
            <w:pPr>
              <w:jc w:val="center"/>
            </w:pPr>
            <w:r>
              <w:t>Keeps boundary coherent</w:t>
            </w:r>
          </w:p>
        </w:tc>
      </w:tr>
      <w:tr>
        <w:tc>
          <w:tcPr>
            <w:tcW w:type="dxa" w:w="2484"/>
            <w:tcMar>
              <w:top w:w="90" w:type="dxa"/>
              <w:start w:w="110" w:type="dxa"/>
              <w:bottom w:w="90" w:type="dxa"/>
              <w:end w:w="110" w:type="dxa"/>
            </w:tcMar>
            <w:vAlign w:val="center"/>
            <w:shd w:fill="F4F1FA"/>
          </w:tcPr>
          <w:p>
            <w:pPr>
              <w:jc w:val="center"/>
            </w:pPr>
            <w:r>
              <w:t>Cryogenic envelope</w:t>
            </w:r>
          </w:p>
        </w:tc>
        <w:tc>
          <w:tcPr>
            <w:tcW w:type="dxa" w:w="2484"/>
            <w:tcMar>
              <w:top w:w="90" w:type="dxa"/>
              <w:start w:w="110" w:type="dxa"/>
              <w:bottom w:w="90" w:type="dxa"/>
              <w:end w:w="110" w:type="dxa"/>
            </w:tcMar>
            <w:vAlign w:val="center"/>
          </w:tcPr>
          <w:p>
            <w:r>
              <w:t>Superfluid helium or cryogenic control loop</w:t>
            </w:r>
          </w:p>
        </w:tc>
        <w:tc>
          <w:tcPr>
            <w:tcW w:type="dxa" w:w="2484"/>
            <w:tcMar>
              <w:top w:w="90" w:type="dxa"/>
              <w:start w:w="110" w:type="dxa"/>
              <w:bottom w:w="90" w:type="dxa"/>
              <w:end w:w="110" w:type="dxa"/>
            </w:tcMar>
            <w:vAlign w:val="center"/>
          </w:tcPr>
          <w:p>
            <w:r>
              <w:t>Maintains phase stability and improves suppression under severe thermal load</w:t>
            </w:r>
          </w:p>
        </w:tc>
        <w:tc>
          <w:tcPr>
            <w:tcW w:type="dxa" w:w="2484"/>
            <w:tcMar>
              <w:top w:w="90" w:type="dxa"/>
              <w:start w:w="110" w:type="dxa"/>
              <w:bottom w:w="90" w:type="dxa"/>
              <w:end w:w="110" w:type="dxa"/>
            </w:tcMar>
            <w:vAlign w:val="center"/>
          </w:tcPr>
          <w:p>
            <w:pPr>
              <w:jc w:val="center"/>
            </w:pPr>
            <w:r>
              <w:t>Extends event tolerance</w:t>
            </w:r>
          </w:p>
        </w:tc>
      </w:tr>
      <w:tr>
        <w:tc>
          <w:tcPr>
            <w:tcW w:type="dxa" w:w="2484"/>
            <w:tcMar>
              <w:top w:w="90" w:type="dxa"/>
              <w:start w:w="110" w:type="dxa"/>
              <w:bottom w:w="90" w:type="dxa"/>
              <w:end w:w="110" w:type="dxa"/>
            </w:tcMar>
            <w:vAlign w:val="center"/>
            <w:shd w:fill="F4F1FA"/>
          </w:tcPr>
          <w:p>
            <w:pPr>
              <w:jc w:val="center"/>
            </w:pPr>
            <w:r>
              <w:t>Stasis logic layer</w:t>
            </w:r>
          </w:p>
        </w:tc>
        <w:tc>
          <w:tcPr>
            <w:tcW w:type="dxa" w:w="2484"/>
            <w:tcMar>
              <w:top w:w="90" w:type="dxa"/>
              <w:start w:w="110" w:type="dxa"/>
              <w:bottom w:w="90" w:type="dxa"/>
              <w:end w:w="110" w:type="dxa"/>
            </w:tcMar>
            <w:vAlign w:val="center"/>
          </w:tcPr>
          <w:p>
            <w:r>
              <w:t>Pulse-synchronized control node</w:t>
            </w:r>
          </w:p>
        </w:tc>
        <w:tc>
          <w:tcPr>
            <w:tcW w:type="dxa" w:w="2484"/>
            <w:tcMar>
              <w:top w:w="90" w:type="dxa"/>
              <w:start w:w="110" w:type="dxa"/>
              <w:bottom w:w="90" w:type="dxa"/>
              <w:end w:w="110" w:type="dxa"/>
            </w:tcMar>
            <w:vAlign w:val="center"/>
          </w:tcPr>
          <w:p>
            <w:r>
              <w:t>Times field collapse, handoff, and stabilization during docking, surge, or hull contact</w:t>
            </w:r>
          </w:p>
        </w:tc>
        <w:tc>
          <w:tcPr>
            <w:tcW w:type="dxa" w:w="2484"/>
            <w:tcMar>
              <w:top w:w="90" w:type="dxa"/>
              <w:start w:w="110" w:type="dxa"/>
              <w:bottom w:w="90" w:type="dxa"/>
              <w:end w:w="110" w:type="dxa"/>
            </w:tcMar>
            <w:vAlign w:val="center"/>
          </w:tcPr>
          <w:p>
            <w:pPr>
              <w:jc w:val="center"/>
            </w:pPr>
            <w:r>
              <w:t>Adds precision control</w:t>
            </w:r>
          </w:p>
        </w:tc>
      </w:tr>
    </w:tbl>
    <w:p/>
    <w:p>
      <w:pPr>
        <w:pStyle w:val="Heading1"/>
      </w:pPr>
      <w:r>
        <w:t>3. Operating Principle</w:t>
      </w:r>
    </w:p>
    <w:p>
      <w:pPr>
        <w:spacing w:after="80"/>
        <w:ind w:left="288"/>
      </w:pPr>
      <w:r>
        <w:rPr>
          <w:b/>
        </w:rPr>
        <w:t xml:space="preserve">Idle state: </w:t>
      </w:r>
      <w:r>
        <w:t>The veil sits dormant, carrying only background synchronization and thermal-monitoring traffic. TPV layers scavenge normal waste heat where available.</w:t>
      </w:r>
    </w:p>
    <w:p>
      <w:pPr>
        <w:spacing w:after="80"/>
        <w:ind w:left="288"/>
      </w:pPr>
      <w:r>
        <w:rPr>
          <w:b/>
        </w:rPr>
        <w:t xml:space="preserve">Surge intake: </w:t>
      </w:r>
      <w:r>
        <w:t>A thermal, electrical, or plasma transient enters the defended zone. Noble-gas chambers and field rings open a controlled sink path rather than allowing random propagation.</w:t>
      </w:r>
    </w:p>
    <w:p>
      <w:pPr>
        <w:spacing w:after="80"/>
        <w:ind w:left="288"/>
      </w:pPr>
      <w:r>
        <w:rPr>
          <w:b/>
        </w:rPr>
        <w:t xml:space="preserve">Containment: </w:t>
      </w:r>
      <w:r>
        <w:t>Dielectric and magnetic layers spread and localize the event, reducing arc damage, flashover, and cascade into adjacent systems.</w:t>
      </w:r>
    </w:p>
    <w:p>
      <w:pPr>
        <w:spacing w:after="80"/>
        <w:ind w:left="288"/>
      </w:pPr>
      <w:r>
        <w:rPr>
          <w:b/>
        </w:rPr>
        <w:t xml:space="preserve">Recovery: </w:t>
      </w:r>
      <w:r>
        <w:t>TPV lattice sections convert part of the infrared and thermal spilloff into conditioned electrical output for local buses, sensor banks, or backup storage.</w:t>
      </w:r>
    </w:p>
    <w:p>
      <w:pPr>
        <w:spacing w:after="80"/>
        <w:ind w:left="288"/>
      </w:pPr>
      <w:r>
        <w:rPr>
          <w:b/>
        </w:rPr>
        <w:t xml:space="preserve">Re-stabilization: </w:t>
      </w:r>
      <w:r>
        <w:t>Cryogenic and stasis logic layers return the node to a safe state, vent or recondense gas as needed, and report event data back to the ship synchronization stack.</w:t>
      </w:r>
    </w:p>
    <w:p>
      <w:pPr>
        <w:pStyle w:val="Heading1"/>
      </w:pPr>
      <w:r>
        <w:t>4. Why It Works as a Defensive System</w:t>
      </w:r>
    </w:p>
    <w:p>
      <w:pPr>
        <w:spacing w:after="120" w:line="259" w:lineRule="auto"/>
      </w:pPr>
      <w:r>
        <w:t>A conventional shield claims to stop an event. Seraphim Veil is more believable as a system that manages an event before it becomes catastrophic. That means reducing thermal concentration, routing charge away from brittle electronics, keeping plasma where it belongs, and reclaiming part of the energy after the fact.</w:t>
      </w:r>
    </w:p>
    <w:p>
      <w:pPr>
        <w:spacing w:after="120" w:line="259" w:lineRule="auto"/>
      </w:pPr>
      <w:r>
        <w:t>This makes the concept useful in spacecraft contexts where survivability depends on graceful failure rather than absolute invulnerability. A hull section that can absorb a docking surge, limit a reactor-adjacent arc event, stabilize a plasma splash, and feed some recovered power back into emergency systems is strategically valuable even if it is not perfect armor.</w:t>
      </w:r>
    </w:p>
    <w:p>
      <w:pPr>
        <w:pStyle w:val="Heading1"/>
      </w:pPr>
      <w:r>
        <w:t>5. Candidate Use Cases</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E8F1E8"/>
            <w:tcMar>
              <w:top w:w="80" w:type="dxa"/>
              <w:start w:w="100" w:type="dxa"/>
              <w:bottom w:w="80" w:type="dxa"/>
              <w:end w:w="100" w:type="dxa"/>
            </w:tcMar>
          </w:tcPr>
          <w:p>
            <w:pPr>
              <w:jc w:val="center"/>
            </w:pPr>
            <w:r>
              <w:rPr>
                <w:b/>
              </w:rPr>
              <w:t>Zone</w:t>
            </w:r>
          </w:p>
        </w:tc>
        <w:tc>
          <w:tcPr>
            <w:tcW w:type="dxa" w:w="4032"/>
            <w:shd w:fill="E8F1E8"/>
            <w:tcMar>
              <w:top w:w="80" w:type="dxa"/>
              <w:start w:w="100" w:type="dxa"/>
              <w:bottom w:w="80" w:type="dxa"/>
              <w:end w:w="100" w:type="dxa"/>
            </w:tcMar>
          </w:tcPr>
          <w:p>
            <w:pPr>
              <w:jc w:val="center"/>
            </w:pPr>
            <w:r>
              <w:rPr>
                <w:b/>
              </w:rPr>
              <w:t>Role of Seraphim Veil</w:t>
            </w:r>
          </w:p>
        </w:tc>
        <w:tc>
          <w:tcPr>
            <w:tcW w:type="dxa" w:w="4608"/>
            <w:shd w:fill="E8F1E8"/>
            <w:tcMar>
              <w:top w:w="80" w:type="dxa"/>
              <w:start w:w="100" w:type="dxa"/>
              <w:bottom w:w="80" w:type="dxa"/>
              <w:end w:w="100" w:type="dxa"/>
            </w:tcMar>
          </w:tcPr>
          <w:p>
            <w:pPr>
              <w:jc w:val="center"/>
            </w:pPr>
            <w:r>
              <w:rPr>
                <w:b/>
              </w:rPr>
              <w:t>Expected Outcome</w:t>
            </w:r>
          </w:p>
        </w:tc>
      </w:tr>
      <w:tr>
        <w:tc>
          <w:tcPr>
            <w:tcW w:type="dxa" w:w="3312"/>
            <w:tcMar>
              <w:top w:w="90" w:type="dxa"/>
              <w:start w:w="100" w:type="dxa"/>
              <w:bottom w:w="90" w:type="dxa"/>
              <w:end w:w="100" w:type="dxa"/>
            </w:tcMar>
            <w:vAlign w:val="center"/>
          </w:tcPr>
          <w:p>
            <w:r>
              <w:t>Reactor rooms</w:t>
            </w:r>
          </w:p>
        </w:tc>
        <w:tc>
          <w:tcPr>
            <w:tcW w:type="dxa" w:w="3312"/>
            <w:tcMar>
              <w:top w:w="90" w:type="dxa"/>
              <w:start w:w="100" w:type="dxa"/>
              <w:bottom w:w="90" w:type="dxa"/>
              <w:end w:w="100" w:type="dxa"/>
            </w:tcMar>
            <w:vAlign w:val="center"/>
          </w:tcPr>
          <w:p>
            <w:r>
              <w:t>Capture overload spill and suppress local arcs</w:t>
            </w:r>
          </w:p>
        </w:tc>
        <w:tc>
          <w:tcPr>
            <w:tcW w:type="dxa" w:w="3312"/>
            <w:tcMar>
              <w:top w:w="90" w:type="dxa"/>
              <w:start w:w="100" w:type="dxa"/>
              <w:bottom w:w="90" w:type="dxa"/>
              <w:end w:w="100" w:type="dxa"/>
            </w:tcMar>
            <w:vAlign w:val="center"/>
          </w:tcPr>
          <w:p>
            <w:r>
              <w:t>Lower risk of cascade damage and partial heat recovery</w:t>
            </w:r>
          </w:p>
        </w:tc>
      </w:tr>
      <w:tr>
        <w:tc>
          <w:tcPr>
            <w:tcW w:type="dxa" w:w="3312"/>
            <w:tcMar>
              <w:top w:w="90" w:type="dxa"/>
              <w:start w:w="100" w:type="dxa"/>
              <w:bottom w:w="90" w:type="dxa"/>
              <w:end w:w="100" w:type="dxa"/>
            </w:tcMar>
            <w:vAlign w:val="center"/>
          </w:tcPr>
          <w:p>
            <w:r>
              <w:t>Thruster bays</w:t>
            </w:r>
          </w:p>
        </w:tc>
        <w:tc>
          <w:tcPr>
            <w:tcW w:type="dxa" w:w="3312"/>
            <w:tcMar>
              <w:top w:w="90" w:type="dxa"/>
              <w:start w:w="100" w:type="dxa"/>
              <w:bottom w:w="90" w:type="dxa"/>
              <w:end w:w="100" w:type="dxa"/>
            </w:tcMar>
            <w:vAlign w:val="center"/>
          </w:tcPr>
          <w:p>
            <w:r>
              <w:t>Manage exhaust-adjacent hot spots and plasma turbulence</w:t>
            </w:r>
          </w:p>
        </w:tc>
        <w:tc>
          <w:tcPr>
            <w:tcW w:type="dxa" w:w="3312"/>
            <w:tcMar>
              <w:top w:w="90" w:type="dxa"/>
              <w:start w:w="100" w:type="dxa"/>
              <w:bottom w:w="90" w:type="dxa"/>
              <w:end w:w="100" w:type="dxa"/>
            </w:tcMar>
            <w:vAlign w:val="center"/>
          </w:tcPr>
          <w:p>
            <w:r>
              <w:t>Reduced thermal stress on surrounding structure</w:t>
            </w:r>
          </w:p>
        </w:tc>
      </w:tr>
      <w:tr>
        <w:tc>
          <w:tcPr>
            <w:tcW w:type="dxa" w:w="3312"/>
            <w:tcMar>
              <w:top w:w="90" w:type="dxa"/>
              <w:start w:w="100" w:type="dxa"/>
              <w:bottom w:w="90" w:type="dxa"/>
              <w:end w:w="100" w:type="dxa"/>
            </w:tcMar>
            <w:vAlign w:val="center"/>
          </w:tcPr>
          <w:p>
            <w:r>
              <w:t>Docking collars</w:t>
            </w:r>
          </w:p>
        </w:tc>
        <w:tc>
          <w:tcPr>
            <w:tcW w:type="dxa" w:w="3312"/>
            <w:tcMar>
              <w:top w:w="90" w:type="dxa"/>
              <w:start w:w="100" w:type="dxa"/>
              <w:bottom w:w="90" w:type="dxa"/>
              <w:end w:w="100" w:type="dxa"/>
            </w:tcMar>
            <w:vAlign w:val="center"/>
          </w:tcPr>
          <w:p>
            <w:r>
              <w:t>Buffer contact surges and stabilize transient boundary fields</w:t>
            </w:r>
          </w:p>
        </w:tc>
        <w:tc>
          <w:tcPr>
            <w:tcW w:type="dxa" w:w="3312"/>
            <w:tcMar>
              <w:top w:w="90" w:type="dxa"/>
              <w:start w:w="100" w:type="dxa"/>
              <w:bottom w:w="90" w:type="dxa"/>
              <w:end w:w="100" w:type="dxa"/>
            </w:tcMar>
            <w:vAlign w:val="center"/>
          </w:tcPr>
          <w:p>
            <w:r>
              <w:t>Cleaner docking, refueling, or rescue operations</w:t>
            </w:r>
          </w:p>
        </w:tc>
      </w:tr>
      <w:tr>
        <w:tc>
          <w:tcPr>
            <w:tcW w:type="dxa" w:w="3312"/>
            <w:tcMar>
              <w:top w:w="90" w:type="dxa"/>
              <w:start w:w="100" w:type="dxa"/>
              <w:bottom w:w="90" w:type="dxa"/>
              <w:end w:w="100" w:type="dxa"/>
            </w:tcMar>
            <w:vAlign w:val="center"/>
          </w:tcPr>
          <w:p>
            <w:r>
              <w:t>Transit spine nodes</w:t>
            </w:r>
          </w:p>
        </w:tc>
        <w:tc>
          <w:tcPr>
            <w:tcW w:type="dxa" w:w="3312"/>
            <w:tcMar>
              <w:top w:w="90" w:type="dxa"/>
              <w:start w:w="100" w:type="dxa"/>
              <w:bottom w:w="90" w:type="dxa"/>
              <w:end w:w="100" w:type="dxa"/>
            </w:tcMar>
            <w:vAlign w:val="center"/>
          </w:tcPr>
          <w:p>
            <w:r>
              <w:t>Protect power/data backbone and pod interfaces</w:t>
            </w:r>
          </w:p>
        </w:tc>
        <w:tc>
          <w:tcPr>
            <w:tcW w:type="dxa" w:w="3312"/>
            <w:tcMar>
              <w:top w:w="90" w:type="dxa"/>
              <w:start w:w="100" w:type="dxa"/>
              <w:bottom w:w="90" w:type="dxa"/>
              <w:end w:w="100" w:type="dxa"/>
            </w:tcMar>
            <w:vAlign w:val="center"/>
          </w:tcPr>
          <w:p>
            <w:r>
              <w:t>Less damage propagation into ship utilities</w:t>
            </w:r>
          </w:p>
        </w:tc>
      </w:tr>
      <w:tr>
        <w:tc>
          <w:tcPr>
            <w:tcW w:type="dxa" w:w="3312"/>
            <w:tcMar>
              <w:top w:w="90" w:type="dxa"/>
              <w:start w:w="100" w:type="dxa"/>
              <w:bottom w:w="90" w:type="dxa"/>
              <w:end w:w="100" w:type="dxa"/>
            </w:tcMar>
            <w:vAlign w:val="center"/>
          </w:tcPr>
          <w:p>
            <w:r>
              <w:t>Emergency compartments</w:t>
            </w:r>
          </w:p>
        </w:tc>
        <w:tc>
          <w:tcPr>
            <w:tcW w:type="dxa" w:w="3312"/>
            <w:tcMar>
              <w:top w:w="90" w:type="dxa"/>
              <w:start w:w="100" w:type="dxa"/>
              <w:bottom w:w="90" w:type="dxa"/>
              <w:end w:w="100" w:type="dxa"/>
            </w:tcMar>
            <w:vAlign w:val="center"/>
          </w:tcPr>
          <w:p>
            <w:r>
              <w:t>Provide localized defense plus backup energy recovery</w:t>
            </w:r>
          </w:p>
        </w:tc>
        <w:tc>
          <w:tcPr>
            <w:tcW w:type="dxa" w:w="3312"/>
            <w:tcMar>
              <w:top w:w="90" w:type="dxa"/>
              <w:start w:w="100" w:type="dxa"/>
              <w:bottom w:w="90" w:type="dxa"/>
              <w:end w:w="100" w:type="dxa"/>
            </w:tcMar>
            <w:vAlign w:val="center"/>
          </w:tcPr>
          <w:p>
            <w:r>
              <w:t>Improved resilience during isolated failures</w:t>
            </w:r>
          </w:p>
        </w:tc>
      </w:tr>
    </w:tbl>
    <w:p>
      <w:r>
        <w:br w:type="page"/>
      </w:r>
    </w:p>
    <w:p>
      <w:pPr>
        <w:pStyle w:val="Heading1"/>
      </w:pPr>
      <w:r>
        <w:t>6. Integration with the Halo / Mercy / SkyTear Family</w:t>
      </w:r>
    </w:p>
    <w:p>
      <w:pPr>
        <w:spacing w:after="120" w:line="259" w:lineRule="auto"/>
      </w:pPr>
      <w:r>
        <w:t>Seraphim Veil fits naturally into the broader GhostCore vehicle stack. Heaven Trust Fall and Halo Transit Spine provide internal movement, superconducting power, and high-speed data corridors. Mercy Sync-style logic coordinates timing and handoff. Seraphim Veil becomes the protective metabolism around those systems, catching overload and feeding recovered power back into the shared utility spine.</w:t>
      </w:r>
    </w:p>
    <w:p>
      <w:pPr>
        <w:spacing w:after="120" w:line="259" w:lineRule="auto"/>
      </w:pPr>
      <w:r>
        <w:t>In practical engineering terms, Seraphim Veil should be treated as a distributed edge system rather than a single monolithic shield. Small nodes can wrap critical compartments, corridor junctions, docking zones, or backbone trunks. Each node reports state to a synchronization layer, allowing the ship to reroute power, data, or transit paths around damaged sectors.</w:t>
      </w:r>
    </w:p>
    <w:p>
      <w:pPr>
        <w:pStyle w:val="Heading1"/>
      </w:pPr>
      <w:r>
        <w:t>7. Bench-Scale PoC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fill="F8EFD9"/>
            <w:tcMar>
              <w:top w:w="80" w:type="dxa"/>
              <w:start w:w="100" w:type="dxa"/>
              <w:bottom w:w="80" w:type="dxa"/>
              <w:end w:w="100" w:type="dxa"/>
            </w:tcMar>
          </w:tcPr>
          <w:p>
            <w:pPr>
              <w:jc w:val="center"/>
            </w:pPr>
            <w:r>
              <w:rPr>
                <w:b/>
              </w:rPr>
              <w:t>Phase</w:t>
            </w:r>
          </w:p>
        </w:tc>
        <w:tc>
          <w:tcPr>
            <w:tcW w:type="dxa" w:w="3024"/>
            <w:shd w:fill="F8EFD9"/>
            <w:tcMar>
              <w:top w:w="80" w:type="dxa"/>
              <w:start w:w="100" w:type="dxa"/>
              <w:bottom w:w="80" w:type="dxa"/>
              <w:end w:w="100" w:type="dxa"/>
            </w:tcMar>
          </w:tcPr>
          <w:p>
            <w:pPr>
              <w:jc w:val="center"/>
            </w:pPr>
            <w:r>
              <w:rPr>
                <w:b/>
              </w:rPr>
              <w:t>Build objective</w:t>
            </w:r>
          </w:p>
        </w:tc>
        <w:tc>
          <w:tcPr>
            <w:tcW w:type="dxa" w:w="3600"/>
            <w:shd w:fill="F8EFD9"/>
            <w:tcMar>
              <w:top w:w="80" w:type="dxa"/>
              <w:start w:w="100" w:type="dxa"/>
              <w:bottom w:w="80" w:type="dxa"/>
              <w:end w:w="100" w:type="dxa"/>
            </w:tcMar>
          </w:tcPr>
          <w:p>
            <w:pPr>
              <w:jc w:val="center"/>
            </w:pPr>
            <w:r>
              <w:rPr>
                <w:b/>
              </w:rPr>
              <w:t>Demonstration</w:t>
            </w:r>
          </w:p>
        </w:tc>
        <w:tc>
          <w:tcPr>
            <w:tcW w:type="dxa" w:w="3168"/>
            <w:shd w:fill="F8EFD9"/>
            <w:tcMar>
              <w:top w:w="80" w:type="dxa"/>
              <w:start w:w="100" w:type="dxa"/>
              <w:bottom w:w="80" w:type="dxa"/>
              <w:end w:w="100" w:type="dxa"/>
            </w:tcMar>
          </w:tcPr>
          <w:p>
            <w:pPr>
              <w:jc w:val="center"/>
            </w:pPr>
            <w:r>
              <w:rPr>
                <w:b/>
              </w:rPr>
              <w:t>Success measure</w:t>
            </w:r>
          </w:p>
        </w:tc>
      </w:tr>
      <w:tr>
        <w:tc>
          <w:tcPr>
            <w:tcW w:type="dxa" w:w="2484"/>
            <w:tcMar>
              <w:top w:w="90" w:type="dxa"/>
              <w:start w:w="100" w:type="dxa"/>
              <w:bottom w:w="90" w:type="dxa"/>
              <w:end w:w="100" w:type="dxa"/>
            </w:tcMar>
            <w:vAlign w:val="center"/>
          </w:tcPr>
          <w:p>
            <w:pPr>
              <w:jc w:val="center"/>
            </w:pPr>
            <w:r>
              <w:t>I</w:t>
            </w:r>
          </w:p>
        </w:tc>
        <w:tc>
          <w:tcPr>
            <w:tcW w:type="dxa" w:w="2484"/>
            <w:tcMar>
              <w:top w:w="90" w:type="dxa"/>
              <w:start w:w="100" w:type="dxa"/>
              <w:bottom w:w="90" w:type="dxa"/>
              <w:end w:w="100" w:type="dxa"/>
            </w:tcMar>
            <w:vAlign w:val="center"/>
          </w:tcPr>
          <w:p>
            <w:r>
              <w:t>Passive TPV panel test</w:t>
            </w:r>
          </w:p>
        </w:tc>
        <w:tc>
          <w:tcPr>
            <w:tcW w:type="dxa" w:w="2484"/>
            <w:tcMar>
              <w:top w:w="90" w:type="dxa"/>
              <w:start w:w="100" w:type="dxa"/>
              <w:bottom w:w="90" w:type="dxa"/>
              <w:end w:w="100" w:type="dxa"/>
            </w:tcMar>
            <w:vAlign w:val="center"/>
          </w:tcPr>
          <w:p>
            <w:r>
              <w:t>Heat source aimed at TPV lattice sample</w:t>
            </w:r>
          </w:p>
        </w:tc>
        <w:tc>
          <w:tcPr>
            <w:tcW w:type="dxa" w:w="2484"/>
            <w:tcMar>
              <w:top w:w="90" w:type="dxa"/>
              <w:start w:w="100" w:type="dxa"/>
              <w:bottom w:w="90" w:type="dxa"/>
              <w:end w:w="100" w:type="dxa"/>
            </w:tcMar>
            <w:vAlign w:val="center"/>
          </w:tcPr>
          <w:p>
            <w:r>
              <w:t>Measurable electrical output and stable temperature profile</w:t>
            </w:r>
          </w:p>
        </w:tc>
      </w:tr>
      <w:tr>
        <w:tc>
          <w:tcPr>
            <w:tcW w:type="dxa" w:w="2484"/>
            <w:tcMar>
              <w:top w:w="90" w:type="dxa"/>
              <w:start w:w="100" w:type="dxa"/>
              <w:bottom w:w="90" w:type="dxa"/>
              <w:end w:w="100" w:type="dxa"/>
            </w:tcMar>
            <w:vAlign w:val="center"/>
          </w:tcPr>
          <w:p>
            <w:pPr>
              <w:jc w:val="center"/>
            </w:pPr>
            <w:r>
              <w:t>II</w:t>
            </w:r>
          </w:p>
        </w:tc>
        <w:tc>
          <w:tcPr>
            <w:tcW w:type="dxa" w:w="2484"/>
            <w:tcMar>
              <w:top w:w="90" w:type="dxa"/>
              <w:start w:w="100" w:type="dxa"/>
              <w:bottom w:w="90" w:type="dxa"/>
              <w:end w:w="100" w:type="dxa"/>
            </w:tcMar>
            <w:vAlign w:val="center"/>
          </w:tcPr>
          <w:p>
            <w:r>
              <w:t>Contained gas-buffer cell</w:t>
            </w:r>
          </w:p>
        </w:tc>
        <w:tc>
          <w:tcPr>
            <w:tcW w:type="dxa" w:w="2484"/>
            <w:tcMar>
              <w:top w:w="90" w:type="dxa"/>
              <w:start w:w="100" w:type="dxa"/>
              <w:bottom w:w="90" w:type="dxa"/>
              <w:end w:w="100" w:type="dxa"/>
            </w:tcMar>
            <w:vAlign w:val="center"/>
          </w:tcPr>
          <w:p>
            <w:r>
              <w:t>Argon/xenon chamber exposed to controlled pulsed discharge</w:t>
            </w:r>
          </w:p>
        </w:tc>
        <w:tc>
          <w:tcPr>
            <w:tcW w:type="dxa" w:w="2484"/>
            <w:tcMar>
              <w:top w:w="90" w:type="dxa"/>
              <w:start w:w="100" w:type="dxa"/>
              <w:bottom w:w="90" w:type="dxa"/>
              <w:end w:w="100" w:type="dxa"/>
            </w:tcMar>
            <w:vAlign w:val="center"/>
          </w:tcPr>
          <w:p>
            <w:r>
              <w:t>Reduced arc spread and repeatable damping behavior</w:t>
            </w:r>
          </w:p>
        </w:tc>
      </w:tr>
      <w:tr>
        <w:tc>
          <w:tcPr>
            <w:tcW w:type="dxa" w:w="2484"/>
            <w:tcMar>
              <w:top w:w="90" w:type="dxa"/>
              <w:start w:w="100" w:type="dxa"/>
              <w:bottom w:w="90" w:type="dxa"/>
              <w:end w:w="100" w:type="dxa"/>
            </w:tcMar>
            <w:vAlign w:val="center"/>
          </w:tcPr>
          <w:p>
            <w:pPr>
              <w:jc w:val="center"/>
            </w:pPr>
            <w:r>
              <w:t>III</w:t>
            </w:r>
          </w:p>
        </w:tc>
        <w:tc>
          <w:tcPr>
            <w:tcW w:type="dxa" w:w="2484"/>
            <w:tcMar>
              <w:top w:w="90" w:type="dxa"/>
              <w:start w:w="100" w:type="dxa"/>
              <w:bottom w:w="90" w:type="dxa"/>
              <w:end w:w="100" w:type="dxa"/>
            </w:tcMar>
            <w:vAlign w:val="center"/>
          </w:tcPr>
          <w:p>
            <w:r>
              <w:t>Field-assisted containment</w:t>
            </w:r>
          </w:p>
        </w:tc>
        <w:tc>
          <w:tcPr>
            <w:tcW w:type="dxa" w:w="2484"/>
            <w:tcMar>
              <w:top w:w="90" w:type="dxa"/>
              <w:start w:w="100" w:type="dxa"/>
              <w:bottom w:w="90" w:type="dxa"/>
              <w:end w:w="100" w:type="dxa"/>
            </w:tcMar>
            <w:vAlign w:val="center"/>
          </w:tcPr>
          <w:p>
            <w:r>
              <w:t>Add electromagnetic ring around test cell</w:t>
            </w:r>
          </w:p>
        </w:tc>
        <w:tc>
          <w:tcPr>
            <w:tcW w:type="dxa" w:w="2484"/>
            <w:tcMar>
              <w:top w:w="90" w:type="dxa"/>
              <w:start w:w="100" w:type="dxa"/>
              <w:bottom w:w="90" w:type="dxa"/>
              <w:end w:w="100" w:type="dxa"/>
            </w:tcMar>
            <w:vAlign w:val="center"/>
          </w:tcPr>
          <w:p>
            <w:r>
              <w:t>Improved localization and lower edge leakage</w:t>
            </w:r>
          </w:p>
        </w:tc>
      </w:tr>
      <w:tr>
        <w:tc>
          <w:tcPr>
            <w:tcW w:type="dxa" w:w="2484"/>
            <w:tcMar>
              <w:top w:w="90" w:type="dxa"/>
              <w:start w:w="100" w:type="dxa"/>
              <w:bottom w:w="90" w:type="dxa"/>
              <w:end w:w="100" w:type="dxa"/>
            </w:tcMar>
            <w:vAlign w:val="center"/>
          </w:tcPr>
          <w:p>
            <w:pPr>
              <w:jc w:val="center"/>
            </w:pPr>
            <w:r>
              <w:t>IV</w:t>
            </w:r>
          </w:p>
        </w:tc>
        <w:tc>
          <w:tcPr>
            <w:tcW w:type="dxa" w:w="2484"/>
            <w:tcMar>
              <w:top w:w="90" w:type="dxa"/>
              <w:start w:w="100" w:type="dxa"/>
              <w:bottom w:w="90" w:type="dxa"/>
              <w:end w:w="100" w:type="dxa"/>
            </w:tcMar>
            <w:vAlign w:val="center"/>
          </w:tcPr>
          <w:p>
            <w:r>
              <w:t>Integrated recovery node</w:t>
            </w:r>
          </w:p>
        </w:tc>
        <w:tc>
          <w:tcPr>
            <w:tcW w:type="dxa" w:w="2484"/>
            <w:tcMar>
              <w:top w:w="90" w:type="dxa"/>
              <w:start w:w="100" w:type="dxa"/>
              <w:bottom w:w="90" w:type="dxa"/>
              <w:end w:w="100" w:type="dxa"/>
            </w:tcMar>
            <w:vAlign w:val="center"/>
          </w:tcPr>
          <w:p>
            <w:r>
              <w:t>Combine TPV, gas cell, dielectric shell, and cryogenic control</w:t>
            </w:r>
          </w:p>
        </w:tc>
        <w:tc>
          <w:tcPr>
            <w:tcW w:type="dxa" w:w="2484"/>
            <w:tcMar>
              <w:top w:w="90" w:type="dxa"/>
              <w:start w:w="100" w:type="dxa"/>
              <w:bottom w:w="90" w:type="dxa"/>
              <w:end w:w="100" w:type="dxa"/>
            </w:tcMar>
            <w:vAlign w:val="center"/>
          </w:tcPr>
          <w:p>
            <w:r>
              <w:t>Event suppression plus partial energy recovery</w:t>
            </w:r>
          </w:p>
        </w:tc>
      </w:tr>
      <w:tr>
        <w:tc>
          <w:tcPr>
            <w:tcW w:type="dxa" w:w="2484"/>
            <w:tcMar>
              <w:top w:w="90" w:type="dxa"/>
              <w:start w:w="100" w:type="dxa"/>
              <w:bottom w:w="90" w:type="dxa"/>
              <w:end w:w="100" w:type="dxa"/>
            </w:tcMar>
            <w:vAlign w:val="center"/>
          </w:tcPr>
          <w:p>
            <w:pPr>
              <w:jc w:val="center"/>
            </w:pPr>
            <w:r>
              <w:t>V</w:t>
            </w:r>
          </w:p>
        </w:tc>
        <w:tc>
          <w:tcPr>
            <w:tcW w:type="dxa" w:w="2484"/>
            <w:tcMar>
              <w:top w:w="90" w:type="dxa"/>
              <w:start w:w="100" w:type="dxa"/>
              <w:bottom w:w="90" w:type="dxa"/>
              <w:end w:w="100" w:type="dxa"/>
            </w:tcMar>
            <w:vAlign w:val="center"/>
          </w:tcPr>
          <w:p>
            <w:r>
              <w:t>Distributed node trial</w:t>
            </w:r>
          </w:p>
        </w:tc>
        <w:tc>
          <w:tcPr>
            <w:tcW w:type="dxa" w:w="2484"/>
            <w:tcMar>
              <w:top w:w="90" w:type="dxa"/>
              <w:start w:w="100" w:type="dxa"/>
              <w:bottom w:w="90" w:type="dxa"/>
              <w:end w:w="100" w:type="dxa"/>
            </w:tcMar>
            <w:vAlign w:val="center"/>
          </w:tcPr>
          <w:p>
            <w:r>
              <w:t>Two or more nodes connected to a shared control bus</w:t>
            </w:r>
          </w:p>
        </w:tc>
        <w:tc>
          <w:tcPr>
            <w:tcW w:type="dxa" w:w="2484"/>
            <w:tcMar>
              <w:top w:w="90" w:type="dxa"/>
              <w:start w:w="100" w:type="dxa"/>
              <w:bottom w:w="90" w:type="dxa"/>
              <w:end w:w="100" w:type="dxa"/>
            </w:tcMar>
            <w:vAlign w:val="center"/>
          </w:tcPr>
          <w:p>
            <w:r>
              <w:t>Coordinated response and clean event telemetry</w:t>
            </w:r>
          </w:p>
        </w:tc>
      </w:tr>
    </w:tbl>
    <w:p>
      <w:pPr>
        <w:pStyle w:val="Heading1"/>
      </w:pPr>
      <w:r>
        <w:t>8. Measurements to Collect</w:t>
      </w:r>
    </w:p>
    <w:p>
      <w:pPr>
        <w:spacing w:after="40"/>
        <w:ind w:left="360"/>
      </w:pPr>
      <w:r>
        <w:rPr>
          <w:b/>
        </w:rPr>
        <w:t xml:space="preserve">• </w:t>
      </w:r>
      <w:r>
        <w:t>Peak temperature before and after event routing</w:t>
      </w:r>
    </w:p>
    <w:p>
      <w:pPr>
        <w:spacing w:after="40"/>
        <w:ind w:left="360"/>
      </w:pPr>
      <w:r>
        <w:rPr>
          <w:b/>
        </w:rPr>
        <w:t xml:space="preserve">• </w:t>
      </w:r>
      <w:r>
        <w:t>Arc spread distance versus unprotected control sample</w:t>
      </w:r>
    </w:p>
    <w:p>
      <w:pPr>
        <w:spacing w:after="40"/>
        <w:ind w:left="360"/>
      </w:pPr>
      <w:r>
        <w:rPr>
          <w:b/>
        </w:rPr>
        <w:t xml:space="preserve">• </w:t>
      </w:r>
      <w:r>
        <w:t>TPV electrical output under steady and transient thermal loads</w:t>
      </w:r>
    </w:p>
    <w:p>
      <w:pPr>
        <w:spacing w:after="40"/>
        <w:ind w:left="360"/>
      </w:pPr>
      <w:r>
        <w:rPr>
          <w:b/>
        </w:rPr>
        <w:t xml:space="preserve">• </w:t>
      </w:r>
      <w:r>
        <w:t>Recovery time to nominal operating state</w:t>
      </w:r>
    </w:p>
    <w:p>
      <w:pPr>
        <w:spacing w:after="40"/>
        <w:ind w:left="360"/>
      </w:pPr>
      <w:r>
        <w:rPr>
          <w:b/>
        </w:rPr>
        <w:t xml:space="preserve">• </w:t>
      </w:r>
      <w:r>
        <w:t>Energy recapture ratio relative to input event energy</w:t>
      </w:r>
    </w:p>
    <w:p>
      <w:pPr>
        <w:spacing w:after="40"/>
        <w:ind w:left="360"/>
      </w:pPr>
      <w:r>
        <w:rPr>
          <w:b/>
        </w:rPr>
        <w:t xml:space="preserve">• </w:t>
      </w:r>
      <w:r>
        <w:t>Field stability during docking-style or hull-contact disturbances</w:t>
      </w:r>
    </w:p>
    <w:p>
      <w:pPr>
        <w:pStyle w:val="Heading1"/>
      </w:pPr>
      <w:r>
        <w:t>9. Risks and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F7DDE1"/>
            <w:tcMar>
              <w:top w:w="80" w:type="dxa"/>
              <w:start w:w="100" w:type="dxa"/>
              <w:bottom w:w="80" w:type="dxa"/>
              <w:end w:w="100" w:type="dxa"/>
            </w:tcMar>
          </w:tcPr>
          <w:p>
            <w:pPr>
              <w:jc w:val="center"/>
            </w:pPr>
            <w:r>
              <w:rPr>
                <w:b/>
              </w:rPr>
              <w:t>Risk</w:t>
            </w:r>
          </w:p>
        </w:tc>
        <w:tc>
          <w:tcPr>
            <w:tcW w:type="dxa" w:w="3600"/>
            <w:shd w:fill="F7DDE1"/>
            <w:tcMar>
              <w:top w:w="80" w:type="dxa"/>
              <w:start w:w="100" w:type="dxa"/>
              <w:bottom w:w="80" w:type="dxa"/>
              <w:end w:w="100" w:type="dxa"/>
            </w:tcMar>
          </w:tcPr>
          <w:p>
            <w:pPr>
              <w:jc w:val="center"/>
            </w:pPr>
            <w:r>
              <w:rPr>
                <w:b/>
              </w:rPr>
              <w:t>Why it matters</w:t>
            </w:r>
          </w:p>
        </w:tc>
        <w:tc>
          <w:tcPr>
            <w:tcW w:type="dxa" w:w="4176"/>
            <w:shd w:fill="F7DDE1"/>
            <w:tcMar>
              <w:top w:w="80" w:type="dxa"/>
              <w:start w:w="100" w:type="dxa"/>
              <w:bottom w:w="80" w:type="dxa"/>
              <w:end w:w="100" w:type="dxa"/>
            </w:tcMar>
          </w:tcPr>
          <w:p>
            <w:pPr>
              <w:jc w:val="center"/>
            </w:pPr>
            <w:r>
              <w:rPr>
                <w:b/>
              </w:rPr>
              <w:t>Mitigation direction</w:t>
            </w:r>
          </w:p>
        </w:tc>
      </w:tr>
      <w:tr>
        <w:tc>
          <w:tcPr>
            <w:tcW w:type="dxa" w:w="3312"/>
            <w:tcMar>
              <w:top w:w="90" w:type="dxa"/>
              <w:start w:w="100" w:type="dxa"/>
              <w:bottom w:w="90" w:type="dxa"/>
              <w:end w:w="100" w:type="dxa"/>
            </w:tcMar>
            <w:vAlign w:val="center"/>
          </w:tcPr>
          <w:p>
            <w:r>
              <w:t>Overclaiming defense performance</w:t>
            </w:r>
          </w:p>
        </w:tc>
        <w:tc>
          <w:tcPr>
            <w:tcW w:type="dxa" w:w="3312"/>
            <w:tcMar>
              <w:top w:w="90" w:type="dxa"/>
              <w:start w:w="100" w:type="dxa"/>
              <w:bottom w:w="90" w:type="dxa"/>
              <w:end w:w="100" w:type="dxa"/>
            </w:tcMar>
            <w:vAlign w:val="center"/>
          </w:tcPr>
          <w:p>
            <w:r>
              <w:t>No passive layer makes a craft invulnerable to all loads</w:t>
            </w:r>
          </w:p>
        </w:tc>
        <w:tc>
          <w:tcPr>
            <w:tcW w:type="dxa" w:w="3312"/>
            <w:tcMar>
              <w:top w:w="90" w:type="dxa"/>
              <w:start w:w="100" w:type="dxa"/>
              <w:bottom w:w="90" w:type="dxa"/>
              <w:end w:w="100" w:type="dxa"/>
            </w:tcMar>
            <w:vAlign w:val="center"/>
          </w:tcPr>
          <w:p>
            <w:r>
              <w:t>Frame the system as survivability and damage-limitation tech</w:t>
            </w:r>
          </w:p>
        </w:tc>
      </w:tr>
      <w:tr>
        <w:tc>
          <w:tcPr>
            <w:tcW w:type="dxa" w:w="3312"/>
            <w:tcMar>
              <w:top w:w="90" w:type="dxa"/>
              <w:start w:w="100" w:type="dxa"/>
              <w:bottom w:w="90" w:type="dxa"/>
              <w:end w:w="100" w:type="dxa"/>
            </w:tcMar>
            <w:vAlign w:val="center"/>
          </w:tcPr>
          <w:p>
            <w:r>
              <w:t>Cryogenic complexity</w:t>
            </w:r>
          </w:p>
        </w:tc>
        <w:tc>
          <w:tcPr>
            <w:tcW w:type="dxa" w:w="3312"/>
            <w:tcMar>
              <w:top w:w="90" w:type="dxa"/>
              <w:start w:w="100" w:type="dxa"/>
              <w:bottom w:w="90" w:type="dxa"/>
              <w:end w:w="100" w:type="dxa"/>
            </w:tcMar>
            <w:vAlign w:val="center"/>
          </w:tcPr>
          <w:p>
            <w:r>
              <w:t>Thermal control loops raise mass and maintenance cost</w:t>
            </w:r>
          </w:p>
        </w:tc>
        <w:tc>
          <w:tcPr>
            <w:tcW w:type="dxa" w:w="3312"/>
            <w:tcMar>
              <w:top w:w="90" w:type="dxa"/>
              <w:start w:w="100" w:type="dxa"/>
              <w:bottom w:w="90" w:type="dxa"/>
              <w:end w:w="100" w:type="dxa"/>
            </w:tcMar>
            <w:vAlign w:val="center"/>
          </w:tcPr>
          <w:p>
            <w:r>
              <w:t>Use cryo only in the highest-value nodes first</w:t>
            </w:r>
          </w:p>
        </w:tc>
      </w:tr>
      <w:tr>
        <w:tc>
          <w:tcPr>
            <w:tcW w:type="dxa" w:w="3312"/>
            <w:tcMar>
              <w:top w:w="90" w:type="dxa"/>
              <w:start w:w="100" w:type="dxa"/>
              <w:bottom w:w="90" w:type="dxa"/>
              <w:end w:w="100" w:type="dxa"/>
            </w:tcMar>
            <w:vAlign w:val="center"/>
          </w:tcPr>
          <w:p>
            <w:r>
              <w:t>Gas contamination or leakage</w:t>
            </w:r>
          </w:p>
        </w:tc>
        <w:tc>
          <w:tcPr>
            <w:tcW w:type="dxa" w:w="3312"/>
            <w:tcMar>
              <w:top w:w="90" w:type="dxa"/>
              <w:start w:w="100" w:type="dxa"/>
              <w:bottom w:w="90" w:type="dxa"/>
              <w:end w:w="100" w:type="dxa"/>
            </w:tcMar>
            <w:vAlign w:val="center"/>
          </w:tcPr>
          <w:p>
            <w:r>
              <w:t>Buffer medium quality affects repeatability</w:t>
            </w:r>
          </w:p>
        </w:tc>
        <w:tc>
          <w:tcPr>
            <w:tcW w:type="dxa" w:w="3312"/>
            <w:tcMar>
              <w:top w:w="90" w:type="dxa"/>
              <w:start w:w="100" w:type="dxa"/>
              <w:bottom w:w="90" w:type="dxa"/>
              <w:end w:w="100" w:type="dxa"/>
            </w:tcMar>
            <w:vAlign w:val="center"/>
          </w:tcPr>
          <w:p>
            <w:r>
              <w:t>Adopt vent, purge, and recondensation cycles</w:t>
            </w:r>
          </w:p>
        </w:tc>
      </w:tr>
      <w:tr>
        <w:tc>
          <w:tcPr>
            <w:tcW w:type="dxa" w:w="3312"/>
            <w:tcMar>
              <w:top w:w="90" w:type="dxa"/>
              <w:start w:w="100" w:type="dxa"/>
              <w:bottom w:w="90" w:type="dxa"/>
              <w:end w:w="100" w:type="dxa"/>
            </w:tcMar>
            <w:vAlign w:val="center"/>
          </w:tcPr>
          <w:p>
            <w:r>
              <w:t>Control fault during event</w:t>
            </w:r>
          </w:p>
        </w:tc>
        <w:tc>
          <w:tcPr>
            <w:tcW w:type="dxa" w:w="3312"/>
            <w:tcMar>
              <w:top w:w="90" w:type="dxa"/>
              <w:start w:w="100" w:type="dxa"/>
              <w:bottom w:w="90" w:type="dxa"/>
              <w:end w:w="100" w:type="dxa"/>
            </w:tcMar>
            <w:vAlign w:val="center"/>
          </w:tcPr>
          <w:p>
            <w:r>
              <w:t>Mistimed field collapse can worsen a transient</w:t>
            </w:r>
          </w:p>
        </w:tc>
        <w:tc>
          <w:tcPr>
            <w:tcW w:type="dxa" w:w="3312"/>
            <w:tcMar>
              <w:top w:w="90" w:type="dxa"/>
              <w:start w:w="100" w:type="dxa"/>
              <w:bottom w:w="90" w:type="dxa"/>
              <w:end w:w="100" w:type="dxa"/>
            </w:tcMar>
            <w:vAlign w:val="center"/>
          </w:tcPr>
          <w:p>
            <w:r>
              <w:t>Use redundant sensing, local safeties, and passive fallback paths</w:t>
            </w:r>
          </w:p>
        </w:tc>
      </w:tr>
      <w:tr>
        <w:tc>
          <w:tcPr>
            <w:tcW w:type="dxa" w:w="3312"/>
            <w:tcMar>
              <w:top w:w="90" w:type="dxa"/>
              <w:start w:w="100" w:type="dxa"/>
              <w:bottom w:w="90" w:type="dxa"/>
              <w:end w:w="100" w:type="dxa"/>
            </w:tcMar>
            <w:vAlign w:val="center"/>
          </w:tcPr>
          <w:p>
            <w:r>
              <w:t>TPV conversion limits</w:t>
            </w:r>
          </w:p>
        </w:tc>
        <w:tc>
          <w:tcPr>
            <w:tcW w:type="dxa" w:w="3312"/>
            <w:tcMar>
              <w:top w:w="90" w:type="dxa"/>
              <w:start w:w="100" w:type="dxa"/>
              <w:bottom w:w="90" w:type="dxa"/>
              <w:end w:w="100" w:type="dxa"/>
            </w:tcMar>
            <w:vAlign w:val="center"/>
          </w:tcPr>
          <w:p>
            <w:r>
              <w:t>Recovered power will only be a fraction of event energy</w:t>
            </w:r>
          </w:p>
        </w:tc>
        <w:tc>
          <w:tcPr>
            <w:tcW w:type="dxa" w:w="3312"/>
            <w:tcMar>
              <w:top w:w="90" w:type="dxa"/>
              <w:start w:w="100" w:type="dxa"/>
              <w:bottom w:w="90" w:type="dxa"/>
              <w:end w:w="100" w:type="dxa"/>
            </w:tcMar>
            <w:vAlign w:val="center"/>
          </w:tcPr>
          <w:p>
            <w:r>
              <w:t>Treat recovery as bonus utility, not sole justification</w:t>
            </w:r>
          </w:p>
        </w:tc>
      </w:tr>
    </w:tbl>
    <w:p>
      <w:pPr>
        <w:pStyle w:val="Heading1"/>
      </w:pPr>
      <w:r>
        <w:t>10. Conclusion</w:t>
      </w:r>
    </w:p>
    <w:p>
      <w:pPr>
        <w:spacing w:after="120" w:line="259" w:lineRule="auto"/>
      </w:pPr>
      <w:r>
        <w:t>Seraphim Veil is a coherent next-step PoC for the GhostCore archive because it translates the Divine Coupling idea from a hidden reactor component into a visible, shipwide protective behavior. It is not merely a shell that blocks; it is a boundary layer that absorbs, steadies, and returns. That makes it useful both as speculative ship doctrine and as a structured engineering research path.</w:t>
      </w:r>
    </w:p>
    <w:p>
      <w:pPr>
        <w:spacing w:after="120" w:line="259" w:lineRule="auto"/>
      </w:pPr>
      <w:r>
        <w:t>The most grounded claim is simple: a distributed noble-gas, TPV, and field-containment envelope could improve survivability in high-energy systems by damping overload, stabilizing plasma behavior, and reclaiming part of waste thermal energy. Everything beyond that should be earned through staged testing.</w:t>
      </w:r>
    </w:p>
    <w:p/>
    <w:p>
      <w:pPr>
        <w:pStyle w:val="Callout"/>
        <w:jc w:val="center"/>
      </w:pPr>
      <w:r>
        <w:rPr>
          <w:b/>
        </w:rPr>
        <w:t xml:space="preserve">Doctrine name: </w:t>
      </w:r>
      <w:r>
        <w:t>Seraphim Veil</w:t>
      </w:r>
      <w:r>
        <w:t xml:space="preserve"> — a regenerative thermophotovoltaic defense and energy recovery envelope.</w:t>
      </w:r>
    </w:p>
    <w:sectPr w:rsidR="00FC693F" w:rsidRPr="0006063C"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232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232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232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ostTitle">
    <w:name w:val="GhostTitle"/>
    <w:basedOn w:val="Title"/>
    <w:rPr>
      <w:rFonts w:ascii="Aptos Display" w:hAnsi="Aptos Display"/>
      <w:b/>
      <w:color w:val="381F70"/>
      <w:sz w:val="48"/>
    </w:rPr>
  </w:style>
  <w:style w:type="paragraph" w:customStyle="1" w:styleId="GhostSubtitle">
    <w:name w:val="GhostSubtitle"/>
    <w:basedOn w:val="Subtitle"/>
    <w:rPr>
      <w:rFonts w:ascii="Aptos" w:hAnsi="Aptos"/>
      <w:i/>
      <w:color w:val="585858"/>
      <w:sz w:val="24"/>
    </w:rPr>
  </w:style>
  <w:style w:type="paragraph" w:customStyle="1" w:styleId="Callout">
    <w:name w:val="Callout"/>
    <w:basedOn w:val="Normal"/>
    <w:rPr>
      <w:rFonts w:ascii="Aptos" w:hAnsi="Aptos"/>
      <w:i/>
      <w:color w:val="41414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