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hostTitle"/>
        <w:jc w:val="center"/>
      </w:pPr>
      <w:r>
        <w:t>Wraith Halo Lattice</w:t>
      </w:r>
    </w:p>
    <w:p>
      <w:pPr>
        <w:pStyle w:val="GhostSubtitle"/>
        <w:jc w:val="center"/>
      </w:pPr>
      <w:r>
        <w:t>Proof-of-Concept White Paper</w:t>
        <w:br/>
      </w:r>
      <w:r>
        <w:t>Adaptive Crystal-Lattice Dissipation and Boundary Stabilization Layer for Glass Halo</w:t>
      </w:r>
    </w:p>
    <w:p/>
    <w:tbl>
      <w:tblPr>
        <w:tblW w:type="auto" w:w="0"/>
        <w:jc w:val="center"/>
        <w:tblLayout w:type="fixed"/>
        <w:tblLook w:firstColumn="1" w:firstRow="1" w:lastColumn="0" w:lastRow="0" w:noHBand="0" w:noVBand="1" w:val="04A0"/>
      </w:tblPr>
      <w:tblGrid>
        <w:gridCol w:w="3528"/>
        <w:gridCol w:w="6912"/>
      </w:tblGrid>
      <w:tr>
        <w:tc>
          <w:tcPr>
            <w:tcW w:type="dxa" w:w="4968"/>
            <w:vAlign w:val="center"/>
            <w:shd w:fill="EDF3F7"/>
            <w:tcMar>
              <w:top w:w="130" w:type="dxa"/>
              <w:start w:w="130" w:type="dxa"/>
              <w:bottom w:w="130" w:type="dxa"/>
              <w:end w:w="130" w:type="dxa"/>
            </w:tcMar>
          </w:tcPr>
          <w:p>
            <w:r>
              <w:rPr>
                <w:b/>
                <w:color w:val="1E3D59"/>
              </w:rPr>
              <w:t>Doctrine Name</w:t>
            </w:r>
          </w:p>
        </w:tc>
        <w:tc>
          <w:tcPr>
            <w:tcW w:type="dxa" w:w="4968"/>
            <w:vAlign w:val="center"/>
            <w:shd w:fill="EDF3F7"/>
            <w:tcMar>
              <w:top w:w="130" w:type="dxa"/>
              <w:start w:w="130" w:type="dxa"/>
              <w:bottom w:w="130" w:type="dxa"/>
              <w:end w:w="130" w:type="dxa"/>
            </w:tcMar>
          </w:tcPr>
          <w:p>
            <w:r>
              <w:rPr>
                <w:b/>
              </w:rPr>
              <w:t>Wraith Halo Lattice</w:t>
            </w:r>
          </w:p>
        </w:tc>
      </w:tr>
      <w:tr>
        <w:tc>
          <w:tcPr>
            <w:tcW w:type="dxa" w:w="3528"/>
            <w:tcMar>
              <w:top w:w="110" w:type="dxa"/>
              <w:start w:w="130" w:type="dxa"/>
              <w:bottom w:w="110" w:type="dxa"/>
              <w:end w:w="130" w:type="dxa"/>
            </w:tcMar>
          </w:tcPr>
          <w:p>
            <w:r>
              <w:rPr>
                <w:b/>
                <w:color w:val="1E3D59"/>
              </w:rPr>
              <w:t>System Role</w:t>
            </w:r>
          </w:p>
        </w:tc>
        <w:tc>
          <w:tcPr>
            <w:tcW w:type="dxa" w:w="6912"/>
            <w:tcMar>
              <w:top w:w="110" w:type="dxa"/>
              <w:start w:w="130" w:type="dxa"/>
              <w:bottom w:w="110" w:type="dxa"/>
              <w:end w:w="130" w:type="dxa"/>
            </w:tcMar>
          </w:tcPr>
          <w:p>
            <w:r>
              <w:t>Programmable crystal-lattice mantle positioned beneath the Glass Halo magnetoplasma stand-off shield</w:t>
            </w:r>
          </w:p>
        </w:tc>
      </w:tr>
      <w:tr>
        <w:tc>
          <w:tcPr>
            <w:tcW w:type="dxa" w:w="3528"/>
            <w:tcMar>
              <w:top w:w="110" w:type="dxa"/>
              <w:start w:w="130" w:type="dxa"/>
              <w:bottom w:w="110" w:type="dxa"/>
              <w:end w:w="130" w:type="dxa"/>
            </w:tcMar>
          </w:tcPr>
          <w:p>
            <w:r>
              <w:rPr>
                <w:b/>
                <w:color w:val="1E3D59"/>
              </w:rPr>
              <w:t>Primary Functions</w:t>
            </w:r>
          </w:p>
        </w:tc>
        <w:tc>
          <w:tcPr>
            <w:tcW w:type="dxa" w:w="6912"/>
            <w:tcMar>
              <w:top w:w="110" w:type="dxa"/>
              <w:start w:w="130" w:type="dxa"/>
              <w:bottom w:w="110" w:type="dxa"/>
              <w:end w:w="130" w:type="dxa"/>
            </w:tcMar>
          </w:tcPr>
          <w:p>
            <w:r>
              <w:t>Energy dissipation, induced-current damping, thermal routing, boundary stabilization, adaptive hardening</w:t>
            </w:r>
          </w:p>
        </w:tc>
      </w:tr>
      <w:tr>
        <w:tc>
          <w:tcPr>
            <w:tcW w:type="dxa" w:w="3528"/>
            <w:tcMar>
              <w:top w:w="110" w:type="dxa"/>
              <w:start w:w="130" w:type="dxa"/>
              <w:bottom w:w="110" w:type="dxa"/>
              <w:end w:w="130" w:type="dxa"/>
            </w:tcMar>
          </w:tcPr>
          <w:p>
            <w:r>
              <w:rPr>
                <w:b/>
                <w:color w:val="1E3D59"/>
              </w:rPr>
              <w:t>Status</w:t>
            </w:r>
          </w:p>
        </w:tc>
        <w:tc>
          <w:tcPr>
            <w:tcW w:type="dxa" w:w="6912"/>
            <w:tcMar>
              <w:top w:w="110" w:type="dxa"/>
              <w:start w:w="130" w:type="dxa"/>
              <w:bottom w:w="110" w:type="dxa"/>
              <w:end w:w="130" w:type="dxa"/>
            </w:tcMar>
          </w:tcPr>
          <w:p>
            <w:r>
              <w:t>Conceptual / speculative architecture with bench-scale validation path</w:t>
            </w:r>
          </w:p>
        </w:tc>
      </w:tr>
    </w:tbl>
    <w:p/>
    <w:p>
      <w:pPr>
        <w:pStyle w:val="Callout"/>
        <w:jc w:val="center"/>
      </w:pPr>
      <w:r>
        <w:rPr>
          <w:b/>
        </w:rPr>
        <w:t>Core thesis: the plasma veil handles the outer interaction; the lattice handles the inner consequence.</w:t>
      </w:r>
    </w:p>
    <w:p>
      <w:pPr>
        <w:pStyle w:val="Heading1"/>
      </w:pPr>
      <w:r>
        <w:t>1. Executive Summary</w:t>
      </w:r>
    </w:p>
    <w:p>
      <w:r>
        <w:t>Wraith Halo Lattice is proposed as a programmable crystal-lattice sublayer for the Glass Halo defensive stack. Its purpose is not to replace the magnetoplasma stand-off shield, but to condition the boundary where that shield touches hardware. In this architecture, the stand-off fields and plasma veil interact with incoming charged particles, beam spillover, and induced electromagnetic stress, while the lattice absorbs, redistributes, and stabilizes whatever couples through the field boundary into the ship structure.</w:t>
      </w:r>
    </w:p>
    <w:p>
      <w:r>
        <w:t>The concept merges three themes already present in the archive: crystal-lattice memory and adaptive phase behavior, directional energy routing, and sacrificial-but-recoverable shielding logic. A programmable Bravais-style lattice, supported by photonic routing paths and reflective metamaterial surfaces, is treated as a smart mantle that can harden locally, spread thermal shock asymmetrically, and redirect excess energy away from critical systems.</w:t>
      </w:r>
    </w:p>
    <w:p>
      <w:pPr>
        <w:pStyle w:val="Heading1"/>
      </w:pPr>
      <w:r>
        <w:t>2. System Architecture</w:t>
      </w:r>
    </w:p>
    <w:p>
      <w:r>
        <w:t>The recommended full defensive stack is four-layered, with each layer performing a distinct job rather than pretending one field can do everything.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AF4"/>
            <w:tcMar>
              <w:top w:w="90" w:type="dxa"/>
              <w:start w:w="95" w:type="dxa"/>
              <w:bottom w:w="90" w:type="dxa"/>
              <w:end w:w="95" w:type="dxa"/>
            </w:tcMar>
          </w:tcPr>
          <w:p>
            <w:r>
              <w:rPr>
                <w:b/>
                <w:color w:val="1E3D59"/>
              </w:rPr>
              <w:t>Layer</w:t>
            </w:r>
          </w:p>
        </w:tc>
        <w:tc>
          <w:tcPr>
            <w:tcW w:type="dxa" w:w="2484"/>
            <w:shd w:fill="DCEAF4"/>
            <w:tcMar>
              <w:top w:w="90" w:type="dxa"/>
              <w:start w:w="95" w:type="dxa"/>
              <w:bottom w:w="90" w:type="dxa"/>
              <w:end w:w="95" w:type="dxa"/>
            </w:tcMar>
          </w:tcPr>
          <w:p>
            <w:r>
              <w:rPr>
                <w:b/>
                <w:color w:val="1E3D59"/>
              </w:rPr>
              <w:t>Working Name</w:t>
            </w:r>
          </w:p>
        </w:tc>
        <w:tc>
          <w:tcPr>
            <w:tcW w:type="dxa" w:w="2484"/>
            <w:shd w:fill="DCEAF4"/>
            <w:tcMar>
              <w:top w:w="90" w:type="dxa"/>
              <w:start w:w="95" w:type="dxa"/>
              <w:bottom w:w="90" w:type="dxa"/>
              <w:end w:w="95" w:type="dxa"/>
            </w:tcMar>
          </w:tcPr>
          <w:p>
            <w:r>
              <w:rPr>
                <w:b/>
                <w:color w:val="1E3D59"/>
              </w:rPr>
              <w:t>Function</w:t>
            </w:r>
          </w:p>
        </w:tc>
        <w:tc>
          <w:tcPr>
            <w:tcW w:type="dxa" w:w="2484"/>
            <w:shd w:fill="DCEAF4"/>
            <w:tcMar>
              <w:top w:w="90" w:type="dxa"/>
              <w:start w:w="95" w:type="dxa"/>
              <w:bottom w:w="90" w:type="dxa"/>
              <w:end w:w="95" w:type="dxa"/>
            </w:tcMar>
          </w:tcPr>
          <w:p>
            <w:r>
              <w:rPr>
                <w:b/>
                <w:color w:val="1E3D59"/>
              </w:rPr>
              <w:t>Notes</w:t>
            </w:r>
          </w:p>
        </w:tc>
      </w:tr>
      <w:tr>
        <w:tc>
          <w:tcPr>
            <w:tcW w:type="dxa" w:w="2484"/>
            <w:tcMar>
              <w:top w:w="80" w:type="dxa"/>
              <w:start w:w="90" w:type="dxa"/>
              <w:bottom w:w="80" w:type="dxa"/>
              <w:end w:w="90" w:type="dxa"/>
            </w:tcMar>
          </w:tcPr>
          <w:p>
            <w:r>
              <w:t>1</w:t>
            </w:r>
          </w:p>
        </w:tc>
        <w:tc>
          <w:tcPr>
            <w:tcW w:type="dxa" w:w="2484"/>
            <w:tcMar>
              <w:top w:w="80" w:type="dxa"/>
              <w:start w:w="90" w:type="dxa"/>
              <w:bottom w:w="80" w:type="dxa"/>
              <w:end w:w="90" w:type="dxa"/>
            </w:tcMar>
          </w:tcPr>
          <w:p>
            <w:r>
              <w:t>Inner confinement field</w:t>
            </w:r>
          </w:p>
        </w:tc>
        <w:tc>
          <w:tcPr>
            <w:tcW w:type="dxa" w:w="2484"/>
            <w:tcMar>
              <w:top w:w="80" w:type="dxa"/>
              <w:start w:w="90" w:type="dxa"/>
              <w:bottom w:w="80" w:type="dxa"/>
              <w:end w:w="90" w:type="dxa"/>
            </w:tcMar>
          </w:tcPr>
          <w:p>
            <w:r>
              <w:t>Prevents plasma collapse toward the hull and stabilizes reactor-adjacent interactions.</w:t>
            </w:r>
          </w:p>
        </w:tc>
        <w:tc>
          <w:tcPr>
            <w:tcW w:type="dxa" w:w="2484"/>
            <w:tcMar>
              <w:top w:w="80" w:type="dxa"/>
              <w:start w:w="90" w:type="dxa"/>
              <w:bottom w:w="80" w:type="dxa"/>
              <w:end w:w="90" w:type="dxa"/>
            </w:tcMar>
          </w:tcPr>
          <w:p>
            <w:r>
              <w:t>Field logic, not a structural layer.</w:t>
            </w:r>
          </w:p>
        </w:tc>
      </w:tr>
      <w:tr>
        <w:tc>
          <w:tcPr>
            <w:tcW w:type="dxa" w:w="2484"/>
            <w:tcMar>
              <w:top w:w="80" w:type="dxa"/>
              <w:start w:w="90" w:type="dxa"/>
              <w:bottom w:w="80" w:type="dxa"/>
              <w:end w:w="90" w:type="dxa"/>
            </w:tcMar>
          </w:tcPr>
          <w:p>
            <w:r>
              <w:t>2</w:t>
            </w:r>
          </w:p>
        </w:tc>
        <w:tc>
          <w:tcPr>
            <w:tcW w:type="dxa" w:w="2484"/>
            <w:tcMar>
              <w:top w:w="80" w:type="dxa"/>
              <w:start w:w="90" w:type="dxa"/>
              <w:bottom w:w="80" w:type="dxa"/>
              <w:end w:w="90" w:type="dxa"/>
            </w:tcMar>
          </w:tcPr>
          <w:p>
            <w:r>
              <w:t>Plasma veil</w:t>
            </w:r>
          </w:p>
        </w:tc>
        <w:tc>
          <w:tcPr>
            <w:tcW w:type="dxa" w:w="2484"/>
            <w:tcMar>
              <w:top w:w="80" w:type="dxa"/>
              <w:start w:w="90" w:type="dxa"/>
              <w:bottom w:w="80" w:type="dxa"/>
              <w:end w:w="90" w:type="dxa"/>
            </w:tcMar>
          </w:tcPr>
          <w:p>
            <w:r>
              <w:t>Serves as the sacrificial interaction medium for charged particles, plasma contact, and beam blooming.</w:t>
            </w:r>
          </w:p>
        </w:tc>
        <w:tc>
          <w:tcPr>
            <w:tcW w:type="dxa" w:w="2484"/>
            <w:tcMar>
              <w:top w:w="80" w:type="dxa"/>
              <w:start w:w="90" w:type="dxa"/>
              <w:bottom w:w="80" w:type="dxa"/>
              <w:end w:w="90" w:type="dxa"/>
            </w:tcMar>
          </w:tcPr>
          <w:p>
            <w:r>
              <w:t>Best against charged and moderate-energy threats.</w:t>
            </w:r>
          </w:p>
        </w:tc>
      </w:tr>
      <w:tr>
        <w:tc>
          <w:tcPr>
            <w:tcW w:type="dxa" w:w="2484"/>
            <w:tcMar>
              <w:top w:w="80" w:type="dxa"/>
              <w:start w:w="90" w:type="dxa"/>
              <w:bottom w:w="80" w:type="dxa"/>
              <w:end w:w="90" w:type="dxa"/>
            </w:tcMar>
          </w:tcPr>
          <w:p>
            <w:r>
              <w:t>3</w:t>
            </w:r>
          </w:p>
        </w:tc>
        <w:tc>
          <w:tcPr>
            <w:tcW w:type="dxa" w:w="2484"/>
            <w:tcMar>
              <w:top w:w="80" w:type="dxa"/>
              <w:start w:w="90" w:type="dxa"/>
              <w:bottom w:w="80" w:type="dxa"/>
              <w:end w:w="90" w:type="dxa"/>
            </w:tcMar>
          </w:tcPr>
          <w:p>
            <w:r>
              <w:t>Outer shaping field</w:t>
            </w:r>
          </w:p>
        </w:tc>
        <w:tc>
          <w:tcPr>
            <w:tcW w:type="dxa" w:w="2484"/>
            <w:tcMar>
              <w:top w:w="80" w:type="dxa"/>
              <w:start w:w="90" w:type="dxa"/>
              <w:bottom w:w="80" w:type="dxa"/>
              <w:end w:w="90" w:type="dxa"/>
            </w:tcMar>
          </w:tcPr>
          <w:p>
            <w:r>
              <w:t>Creates stand-off distance and biases incoming charged flow away from the vessel envelope.</w:t>
            </w:r>
          </w:p>
        </w:tc>
        <w:tc>
          <w:tcPr>
            <w:tcW w:type="dxa" w:w="2484"/>
            <w:tcMar>
              <w:top w:w="80" w:type="dxa"/>
              <w:start w:w="90" w:type="dxa"/>
              <w:bottom w:w="80" w:type="dxa"/>
              <w:end w:w="90" w:type="dxa"/>
            </w:tcMar>
          </w:tcPr>
          <w:p>
            <w:r>
              <w:t>Defines the interaction geometry.</w:t>
            </w:r>
          </w:p>
        </w:tc>
      </w:tr>
      <w:tr>
        <w:tc>
          <w:tcPr>
            <w:tcW w:type="dxa" w:w="2484"/>
            <w:tcMar>
              <w:top w:w="80" w:type="dxa"/>
              <w:start w:w="90" w:type="dxa"/>
              <w:bottom w:w="80" w:type="dxa"/>
              <w:end w:w="90" w:type="dxa"/>
            </w:tcMar>
          </w:tcPr>
          <w:p>
            <w:r>
              <w:t>4</w:t>
            </w:r>
          </w:p>
        </w:tc>
        <w:tc>
          <w:tcPr>
            <w:tcW w:type="dxa" w:w="2484"/>
            <w:tcMar>
              <w:top w:w="80" w:type="dxa"/>
              <w:start w:w="90" w:type="dxa"/>
              <w:bottom w:w="80" w:type="dxa"/>
              <w:end w:w="90" w:type="dxa"/>
            </w:tcMar>
          </w:tcPr>
          <w:p>
            <w:r>
              <w:t>Wraith Halo Lattice</w:t>
            </w:r>
          </w:p>
        </w:tc>
        <w:tc>
          <w:tcPr>
            <w:tcW w:type="dxa" w:w="2484"/>
            <w:tcMar>
              <w:top w:w="80" w:type="dxa"/>
              <w:start w:w="90" w:type="dxa"/>
              <w:bottom w:w="80" w:type="dxa"/>
              <w:end w:w="90" w:type="dxa"/>
            </w:tcMar>
          </w:tcPr>
          <w:p>
            <w:r>
              <w:t>Damps induced currents, redistributes thermal deposition, and stabilizes field-to-hardware coupling.</w:t>
            </w:r>
          </w:p>
        </w:tc>
        <w:tc>
          <w:tcPr>
            <w:tcW w:type="dxa" w:w="2484"/>
            <w:tcMar>
              <w:top w:w="80" w:type="dxa"/>
              <w:start w:w="90" w:type="dxa"/>
              <w:bottom w:w="80" w:type="dxa"/>
              <w:end w:w="90" w:type="dxa"/>
            </w:tcMar>
          </w:tcPr>
          <w:p>
            <w:r>
              <w:t>Programmable crystal mantle beneath the halo.</w:t>
            </w:r>
          </w:p>
        </w:tc>
      </w:tr>
    </w:tbl>
    <w:p>
      <w:pPr>
        <w:pStyle w:val="Heading1"/>
      </w:pPr>
      <w:r>
        <w:t>3. Wraith Halo Lattice Subsystem</w:t>
      </w:r>
    </w:p>
    <w:p>
      <w:pPr>
        <w:pStyle w:val="Heading2"/>
      </w:pPr>
      <w:r>
        <w:t>3.1 Crystal Lattice Core</w:t>
      </w:r>
    </w:p>
    <w:p>
      <w:r>
        <w:t>A programmable crystal lattice forms the primary dissipative shell. The material concept can be framed as a switchable lattice geometry with anisotropic conductivity, selective band-gap behavior, and local phase reconfiguration under field load.</w:t>
      </w:r>
    </w:p>
    <w:p>
      <w:pPr>
        <w:pStyle w:val="Heading2"/>
      </w:pPr>
      <w:r>
        <w:t>3.2 Photonic / Charge Routing Paths</w:t>
      </w:r>
    </w:p>
    <w:p>
      <w:r>
        <w:t>Embedded channels route fast transients away from sensitive hull sections and into designated sinks, edge capacitors, radiative panels, or sacrificial buffer elements. This reduces the chance that the stand-off shield simply transfers the emergency inward.</w:t>
      </w:r>
    </w:p>
    <w:p>
      <w:pPr>
        <w:pStyle w:val="Heading2"/>
      </w:pPr>
      <w:r>
        <w:t>3.3 Memory and Hardening Logic</w:t>
      </w:r>
    </w:p>
    <w:p>
      <w:r>
        <w:t>The lattice is intended to retain threat signatures in a limited operational sense: after repeated exposure to a certain loading pattern, local regions may shift toward a more protective routing state, increasing dissipation efficiency or local reflectivity during later events.</w:t>
      </w:r>
    </w:p>
    <w:p>
      <w:pPr>
        <w:pStyle w:val="Heading2"/>
      </w:pPr>
      <w:r>
        <w:t>3.4 Structural Interface</w:t>
      </w:r>
    </w:p>
    <w:p>
      <w:r>
        <w:t>The lattice is bonded between the halo-adjacent hardware and the structural hull. It therefore acts as a translator between high-field behavior and real material stress, reducing thermal shock, current concentration, and resonant hot spots.</w:t>
      </w:r>
    </w:p>
    <w:p>
      <w:pPr>
        <w:pStyle w:val="Heading1"/>
      </w:pPr>
      <w:r>
        <w:t>4. Operating Sequence</w:t>
      </w:r>
    </w:p>
    <w:p>
      <w:pPr/>
      <w:r>
        <w:rPr>
          <w:b/>
        </w:rPr>
        <w:t xml:space="preserve">1. Threat coupling at the halo: </w:t>
      </w:r>
      <w:r>
        <w:t>The outer shaping field and plasma veil intercept charged particles or directed energy before direct hull impact.</w:t>
      </w:r>
    </w:p>
    <w:p>
      <w:pPr/>
      <w:r>
        <w:rPr>
          <w:b/>
        </w:rPr>
        <w:t xml:space="preserve">2. Boundary penetration: </w:t>
      </w:r>
      <w:r>
        <w:t>A fraction of the induced energy couples through the stand-off shield as current spikes, thermal deposition, or localized field stress.</w:t>
      </w:r>
    </w:p>
    <w:p>
      <w:pPr/>
      <w:r>
        <w:rPr>
          <w:b/>
        </w:rPr>
        <w:t xml:space="preserve">3. Lattice response: </w:t>
      </w:r>
      <w:r>
        <w:t>The Wraith Halo Lattice shifts conductivity and local routing preference, spreading the load laterally instead of allowing narrow-point failure.</w:t>
      </w:r>
    </w:p>
    <w:p>
      <w:pPr/>
      <w:r>
        <w:rPr>
          <w:b/>
        </w:rPr>
        <w:t xml:space="preserve">4. Dissipation and recovery: </w:t>
      </w:r>
      <w:r>
        <w:t>Excess energy is redirected into sinks, radiative surfaces, or recovery subsystems where practical; the lattice then either relaxes or remains locally hardened depending on the previous event history.</w:t>
      </w:r>
    </w:p>
    <w:p>
      <w:pPr>
        <w:pStyle w:val="Heading1"/>
      </w:pPr>
      <w:r>
        <w:t>5. What the Lattice Does and Does Not Do</w:t>
      </w:r>
    </w:p>
    <w:tbl>
      <w:tblPr>
        <w:tblStyle w:val="TableGrid"/>
        <w:tblW w:type="auto" w:w="0"/>
        <w:jc w:val="center"/>
        <w:tblLook w:firstColumn="1" w:firstRow="1" w:lastColumn="0" w:lastRow="0" w:noHBand="0" w:noVBand="1" w:val="04A0"/>
      </w:tblPr>
      <w:tblGrid>
        <w:gridCol w:w="4968"/>
        <w:gridCol w:w="4968"/>
      </w:tblGrid>
      <w:tr>
        <w:tc>
          <w:tcPr>
            <w:tcW w:type="dxa" w:w="4968"/>
            <w:shd w:fill="EAF1F6"/>
          </w:tcPr>
          <w:p>
            <w:r>
              <w:rPr>
                <w:b/>
                <w:color w:val="1E3D59"/>
              </w:rPr>
              <w:t>Credible role</w:t>
            </w:r>
          </w:p>
        </w:tc>
        <w:tc>
          <w:tcPr>
            <w:tcW w:type="dxa" w:w="4968"/>
            <w:shd w:fill="EAF1F6"/>
          </w:tcPr>
          <w:p>
            <w:r>
              <w:rPr>
                <w:b/>
                <w:color w:val="1E3D59"/>
              </w:rPr>
              <w:t>Overclaim to avoid</w:t>
            </w:r>
          </w:p>
        </w:tc>
      </w:tr>
      <w:tr>
        <w:tc>
          <w:tcPr>
            <w:tcW w:type="dxa" w:w="4968"/>
            <w:tcMar>
              <w:top w:w="80" w:type="dxa"/>
              <w:start w:w="95" w:type="dxa"/>
              <w:bottom w:w="80" w:type="dxa"/>
              <w:end w:w="95" w:type="dxa"/>
            </w:tcMar>
          </w:tcPr>
          <w:p>
            <w:r>
              <w:t>Condition the boundary where intense fields meet hardware.</w:t>
            </w:r>
          </w:p>
        </w:tc>
        <w:tc>
          <w:tcPr>
            <w:tcW w:type="dxa" w:w="4968"/>
            <w:tcMar>
              <w:top w:w="80" w:type="dxa"/>
              <w:start w:w="95" w:type="dxa"/>
              <w:bottom w:w="80" w:type="dxa"/>
              <w:end w:w="95" w:type="dxa"/>
            </w:tcMar>
          </w:tcPr>
          <w:p>
            <w:r>
              <w:t>Perfectly contain electromagnetism like a sealed container.</w:t>
            </w:r>
          </w:p>
        </w:tc>
      </w:tr>
      <w:tr>
        <w:tc>
          <w:tcPr>
            <w:tcW w:type="dxa" w:w="4968"/>
            <w:tcMar>
              <w:top w:w="80" w:type="dxa"/>
              <w:start w:w="95" w:type="dxa"/>
              <w:bottom w:w="80" w:type="dxa"/>
              <w:end w:w="95" w:type="dxa"/>
            </w:tcMar>
          </w:tcPr>
          <w:p>
            <w:r>
              <w:t>Reduce induced-current concentration and local thermal shock.</w:t>
            </w:r>
          </w:p>
        </w:tc>
        <w:tc>
          <w:tcPr>
            <w:tcW w:type="dxa" w:w="4968"/>
            <w:tcMar>
              <w:top w:w="80" w:type="dxa"/>
              <w:start w:w="95" w:type="dxa"/>
              <w:bottom w:w="80" w:type="dxa"/>
              <w:end w:w="95" w:type="dxa"/>
            </w:tcMar>
          </w:tcPr>
          <w:p>
            <w:r>
              <w:t>Make the ship immune to all radiation or beam weapons.</w:t>
            </w:r>
          </w:p>
        </w:tc>
      </w:tr>
      <w:tr>
        <w:tc>
          <w:tcPr>
            <w:tcW w:type="dxa" w:w="4968"/>
            <w:tcMar>
              <w:top w:w="80" w:type="dxa"/>
              <w:start w:w="95" w:type="dxa"/>
              <w:bottom w:w="80" w:type="dxa"/>
              <w:end w:w="95" w:type="dxa"/>
            </w:tcMar>
          </w:tcPr>
          <w:p>
            <w:r>
              <w:t>Stabilize oscillation and spread damage laterally.</w:t>
            </w:r>
          </w:p>
        </w:tc>
        <w:tc>
          <w:tcPr>
            <w:tcW w:type="dxa" w:w="4968"/>
            <w:tcMar>
              <w:top w:w="80" w:type="dxa"/>
              <w:start w:w="95" w:type="dxa"/>
              <w:bottom w:w="80" w:type="dxa"/>
              <w:end w:w="95" w:type="dxa"/>
            </w:tcMar>
          </w:tcPr>
          <w:p>
            <w:r>
              <w:t>Replace mass shielding, thermal sinks, or structural armor.</w:t>
            </w:r>
          </w:p>
        </w:tc>
      </w:tr>
      <w:tr>
        <w:tc>
          <w:tcPr>
            <w:tcW w:type="dxa" w:w="4968"/>
            <w:tcMar>
              <w:top w:w="80" w:type="dxa"/>
              <w:start w:w="95" w:type="dxa"/>
              <w:bottom w:w="80" w:type="dxa"/>
              <w:end w:w="95" w:type="dxa"/>
            </w:tcMar>
          </w:tcPr>
          <w:p>
            <w:r>
              <w:t>Support adaptive hardening and selective rerouting.</w:t>
            </w:r>
          </w:p>
        </w:tc>
        <w:tc>
          <w:tcPr>
            <w:tcW w:type="dxa" w:w="4968"/>
            <w:tcMar>
              <w:top w:w="80" w:type="dxa"/>
              <w:start w:w="95" w:type="dxa"/>
              <w:bottom w:w="80" w:type="dxa"/>
              <w:end w:w="95" w:type="dxa"/>
            </w:tcMar>
          </w:tcPr>
          <w:p>
            <w:r>
              <w:t>Function as a free-energy source simply because it remembers pulses.</w:t>
            </w:r>
          </w:p>
        </w:tc>
      </w:tr>
    </w:tbl>
    <w:p>
      <w:pPr>
        <w:pStyle w:val="Heading1"/>
      </w:pPr>
      <w:r>
        <w:t>6. Candidate Materials and Functional Elements</w:t>
      </w:r>
    </w:p>
    <w:p>
      <w:r>
        <w:t>A first-pass material stack could combine a boron nitride / graphene-style reflective and conductive skin with a tunable crystal lattice capable of phase transition between softer routing states and harder shielding states. The details remain speculative, but the concept benefits from materials that are simultaneously thermally anisotropic, electrically configurable, and compatible with repeated pulsed loading.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AF4"/>
          </w:tcPr>
          <w:p>
            <w:r>
              <w:rPr>
                <w:b/>
                <w:color w:val="1E3D59"/>
              </w:rPr>
              <w:t>Element</w:t>
            </w:r>
          </w:p>
        </w:tc>
        <w:tc>
          <w:tcPr>
            <w:tcW w:type="dxa" w:w="3312"/>
            <w:shd w:fill="DCEAF4"/>
          </w:tcPr>
          <w:p>
            <w:r>
              <w:rPr>
                <w:b/>
                <w:color w:val="1E3D59"/>
              </w:rPr>
              <w:t>Purpose</w:t>
            </w:r>
          </w:p>
        </w:tc>
        <w:tc>
          <w:tcPr>
            <w:tcW w:type="dxa" w:w="3312"/>
            <w:shd w:fill="DCEAF4"/>
          </w:tcPr>
          <w:p>
            <w:r>
              <w:rPr>
                <w:b/>
                <w:color w:val="1E3D59"/>
              </w:rPr>
              <w:t>Desired behavior</w:t>
            </w:r>
          </w:p>
        </w:tc>
      </w:tr>
      <w:tr>
        <w:tc>
          <w:tcPr>
            <w:tcW w:type="dxa" w:w="3312"/>
            <w:tcMar>
              <w:top w:w="80" w:type="dxa"/>
              <w:start w:w="90" w:type="dxa"/>
              <w:bottom w:w="80" w:type="dxa"/>
              <w:end w:w="90" w:type="dxa"/>
            </w:tcMar>
          </w:tcPr>
          <w:p>
            <w:r>
              <w:t>Programmable lattice nodes</w:t>
            </w:r>
          </w:p>
        </w:tc>
        <w:tc>
          <w:tcPr>
            <w:tcW w:type="dxa" w:w="3312"/>
            <w:tcMar>
              <w:top w:w="80" w:type="dxa"/>
              <w:start w:w="90" w:type="dxa"/>
              <w:bottom w:w="80" w:type="dxa"/>
              <w:end w:w="90" w:type="dxa"/>
            </w:tcMar>
          </w:tcPr>
          <w:p>
            <w:r>
              <w:t>Local response and phase switching</w:t>
            </w:r>
          </w:p>
        </w:tc>
        <w:tc>
          <w:tcPr>
            <w:tcW w:type="dxa" w:w="3312"/>
            <w:tcMar>
              <w:top w:w="80" w:type="dxa"/>
              <w:start w:w="90" w:type="dxa"/>
              <w:bottom w:w="80" w:type="dxa"/>
              <w:end w:w="90" w:type="dxa"/>
            </w:tcMar>
          </w:tcPr>
          <w:p>
            <w:r>
              <w:t>Shift conductivity and local hardening under stress</w:t>
            </w:r>
          </w:p>
        </w:tc>
      </w:tr>
      <w:tr>
        <w:tc>
          <w:tcPr>
            <w:tcW w:type="dxa" w:w="3312"/>
            <w:tcMar>
              <w:top w:w="80" w:type="dxa"/>
              <w:start w:w="90" w:type="dxa"/>
              <w:bottom w:w="80" w:type="dxa"/>
              <w:end w:w="90" w:type="dxa"/>
            </w:tcMar>
          </w:tcPr>
          <w:p>
            <w:r>
              <w:t>Photonic memory veins</w:t>
            </w:r>
          </w:p>
        </w:tc>
        <w:tc>
          <w:tcPr>
            <w:tcW w:type="dxa" w:w="3312"/>
            <w:tcMar>
              <w:top w:w="80" w:type="dxa"/>
              <w:start w:w="90" w:type="dxa"/>
              <w:bottom w:w="80" w:type="dxa"/>
              <w:end w:w="90" w:type="dxa"/>
            </w:tcMar>
          </w:tcPr>
          <w:p>
            <w:r>
              <w:t>Fast routing of pulses</w:t>
            </w:r>
          </w:p>
        </w:tc>
        <w:tc>
          <w:tcPr>
            <w:tcW w:type="dxa" w:w="3312"/>
            <w:tcMar>
              <w:top w:w="80" w:type="dxa"/>
              <w:start w:w="90" w:type="dxa"/>
              <w:bottom w:w="80" w:type="dxa"/>
              <w:end w:w="90" w:type="dxa"/>
            </w:tcMar>
          </w:tcPr>
          <w:p>
            <w:r>
              <w:t>Move transient energy away from narrow hot spots</w:t>
            </w:r>
          </w:p>
        </w:tc>
      </w:tr>
      <w:tr>
        <w:tc>
          <w:tcPr>
            <w:tcW w:type="dxa" w:w="3312"/>
            <w:tcMar>
              <w:top w:w="80" w:type="dxa"/>
              <w:start w:w="90" w:type="dxa"/>
              <w:bottom w:w="80" w:type="dxa"/>
              <w:end w:w="90" w:type="dxa"/>
            </w:tcMar>
          </w:tcPr>
          <w:p>
            <w:r>
              <w:t>Reflective metamaterial skin</w:t>
            </w:r>
          </w:p>
        </w:tc>
        <w:tc>
          <w:tcPr>
            <w:tcW w:type="dxa" w:w="3312"/>
            <w:tcMar>
              <w:top w:w="80" w:type="dxa"/>
              <w:start w:w="90" w:type="dxa"/>
              <w:bottom w:w="80" w:type="dxa"/>
              <w:end w:w="90" w:type="dxa"/>
            </w:tcMar>
          </w:tcPr>
          <w:p>
            <w:r>
              <w:t>Surface conditioning</w:t>
            </w:r>
          </w:p>
        </w:tc>
        <w:tc>
          <w:tcPr>
            <w:tcW w:type="dxa" w:w="3312"/>
            <w:tcMar>
              <w:top w:w="80" w:type="dxa"/>
              <w:start w:w="90" w:type="dxa"/>
              <w:bottom w:w="80" w:type="dxa"/>
              <w:end w:w="90" w:type="dxa"/>
            </w:tcMar>
          </w:tcPr>
          <w:p>
            <w:r>
              <w:t>Bias reflection, dispersion, and selective absorption</w:t>
            </w:r>
          </w:p>
        </w:tc>
      </w:tr>
      <w:tr>
        <w:tc>
          <w:tcPr>
            <w:tcW w:type="dxa" w:w="3312"/>
            <w:tcMar>
              <w:top w:w="80" w:type="dxa"/>
              <w:start w:w="90" w:type="dxa"/>
              <w:bottom w:w="80" w:type="dxa"/>
              <w:end w:w="90" w:type="dxa"/>
            </w:tcMar>
          </w:tcPr>
          <w:p>
            <w:r>
              <w:t>Edge sinks / heat banks</w:t>
            </w:r>
          </w:p>
        </w:tc>
        <w:tc>
          <w:tcPr>
            <w:tcW w:type="dxa" w:w="3312"/>
            <w:tcMar>
              <w:top w:w="80" w:type="dxa"/>
              <w:start w:w="90" w:type="dxa"/>
              <w:bottom w:w="80" w:type="dxa"/>
              <w:end w:w="90" w:type="dxa"/>
            </w:tcMar>
          </w:tcPr>
          <w:p>
            <w:r>
              <w:t>Energy handling</w:t>
            </w:r>
          </w:p>
        </w:tc>
        <w:tc>
          <w:tcPr>
            <w:tcW w:type="dxa" w:w="3312"/>
            <w:tcMar>
              <w:top w:w="80" w:type="dxa"/>
              <w:start w:w="90" w:type="dxa"/>
              <w:bottom w:w="80" w:type="dxa"/>
              <w:end w:w="90" w:type="dxa"/>
            </w:tcMar>
          </w:tcPr>
          <w:p>
            <w:r>
              <w:t>Accept redirected load without immediate structural damage</w:t>
            </w:r>
          </w:p>
        </w:tc>
      </w:tr>
    </w:tbl>
    <w:p>
      <w:pPr>
        <w:pStyle w:val="Heading1"/>
      </w:pPr>
      <w:r>
        <w:t>7. Bench-Scale PoC Roadmap</w:t>
      </w:r>
    </w:p>
    <w:p>
      <w:r>
        <w:t>The proof-of-concept path should validate damping and routing behavior first. No claim of full spacecraft shielding is needed for the PoC.</w:t>
      </w:r>
    </w:p>
    <w:p>
      <w:pPr/>
      <w:r>
        <w:rPr>
          <w:b/>
        </w:rPr>
        <w:t xml:space="preserve">Phase I — coupon tests: </w:t>
      </w:r>
      <w:r>
        <w:t>Expose candidate lattice coupons to pulsed current, thermal gradients, and RF/EM stress. Measure temperature spread, current concentration, and recovery behavior.</w:t>
      </w:r>
    </w:p>
    <w:p>
      <w:pPr/>
      <w:r>
        <w:rPr>
          <w:b/>
        </w:rPr>
        <w:t xml:space="preserve">Phase II — programmable cell array: </w:t>
      </w:r>
      <w:r>
        <w:t>Build a small adaptive lattice panel with switchable routing states. Demonstrate that the panel can move heat and current differently after repeated load events.</w:t>
      </w:r>
    </w:p>
    <w:p>
      <w:pPr/>
      <w:r>
        <w:rPr>
          <w:b/>
        </w:rPr>
        <w:t xml:space="preserve">Phase III — field-coupled mockup: </w:t>
      </w:r>
      <w:r>
        <w:t>Place the panel behind a plasma or EM test region to evaluate whether the sublayer reduces boundary hot spots and transient penetration into instrumented structure.</w:t>
      </w:r>
    </w:p>
    <w:p>
      <w:pPr/>
      <w:r>
        <w:rPr>
          <w:b/>
        </w:rPr>
        <w:t xml:space="preserve">Phase IV — integrated halo-lattice demonstrator: </w:t>
      </w:r>
      <w:r>
        <w:t>Bench a small magnetoplasma stand-off assembly with lattice backing and compare it against an unbacked control target.</w:t>
      </w:r>
    </w:p>
    <w:p>
      <w:pPr>
        <w:pStyle w:val="Heading1"/>
      </w:pPr>
      <w:r>
        <w:t>8. Measures of Success</w:t>
      </w:r>
    </w:p>
    <w:p>
      <w:pPr>
        <w:pStyle w:val="ListBullet"/>
      </w:pPr>
      <w:r>
        <w:t>Lower peak temperature at the structural interface during pulsed load events.</w:t>
      </w:r>
    </w:p>
    <w:p>
      <w:pPr>
        <w:pStyle w:val="ListBullet"/>
      </w:pPr>
      <w:r>
        <w:t>Reduction in localized current density compared with a non-programmable backing layer.</w:t>
      </w:r>
    </w:p>
    <w:p>
      <w:pPr>
        <w:pStyle w:val="ListBullet"/>
      </w:pPr>
      <w:r>
        <w:t>Repeatable adaptive behavior after multiple exposures rather than one-time sacrificial failure.</w:t>
      </w:r>
    </w:p>
    <w:p>
      <w:pPr>
        <w:pStyle w:val="ListBullet"/>
      </w:pPr>
      <w:r>
        <w:t>Improved survivability of sensors, conductors, and bonded structural elements positioned behind the test panel.</w:t>
      </w:r>
    </w:p>
    <w:p>
      <w:pPr>
        <w:pStyle w:val="Heading1"/>
      </w:pPr>
      <w:r>
        <w:t>9. Integration Notes</w:t>
      </w:r>
    </w:p>
    <w:p>
      <w:r>
        <w:t>Within the broader archive logic, Glass Halo remains the stand-off shield and Wraith Halo Lattice becomes its inner stabilizing mantle. This pairing is stronger than either concept alone: the halo buys distance and degrades incoming interaction, while the lattice manages the price of that interaction once it reaches hardware. The result is not invulnerability, but a more believable layered defense architecture.</w:t>
      </w:r>
    </w:p>
    <w:p>
      <w:pPr>
        <w:pStyle w:val="Heading1"/>
      </w:pPr>
      <w:r>
        <w:t>10. Conclusion</w:t>
      </w:r>
    </w:p>
    <w:p>
      <w:r>
        <w:t>Wraith Halo Lattice is best understood as a programmable crystal-mantle that sits beneath a magnetoplasma shield and keeps that shield from becoming the next emergency. It is a dissipation and stabilization system, not a miracle barrier. Framed that way, it becomes one of the more coherent evolutions of the GhostCore defensive stack: outer fields to intercept, plasma to interact, lattice to endure, and hull mass to survive the rest.</w:t>
      </w:r>
    </w:p>
    <w:p/>
    <w:p>
      <w:pPr>
        <w:pStyle w:val="SmallGrey"/>
        <w:jc w:val="center"/>
      </w:pPr>
      <w:r>
        <w:rPr>
          <w:i/>
        </w:rPr>
        <w:t>Prepared as a conceptual GhostCore proof-of-concept white paper for archive continuity.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E3D5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D55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hostTitle">
    <w:name w:val="GhostTitle"/>
    <w:rPr>
      <w:rFonts w:ascii="Aptos Display" w:hAnsi="Aptos Display"/>
      <w:b/>
      <w:color w:val="1A2835"/>
      <w:sz w:val="48"/>
    </w:rPr>
  </w:style>
  <w:style w:type="paragraph" w:customStyle="1" w:styleId="GhostSubtitle">
    <w:name w:val="GhostSubtitle"/>
    <w:rPr>
      <w:rFonts w:ascii="Aptos" w:hAnsi="Aptos"/>
      <w:i/>
      <w:color w:val="5A6773"/>
      <w:sz w:val="22"/>
    </w:rPr>
  </w:style>
  <w:style w:type="paragraph" w:customStyle="1" w:styleId="Callout">
    <w:name w:val="Callout"/>
    <w:basedOn w:val="Normal"/>
    <w:pPr>
      <w:spacing w:before="80" w:after="120"/>
      <w:ind w:left="288" w:right="288"/>
    </w:pPr>
    <w:rPr>
      <w:rFonts w:ascii="Aptos" w:hAnsi="Aptos"/>
      <w:i/>
      <w:color w:val="203A43"/>
      <w:sz w:val="21"/>
    </w:rPr>
  </w:style>
  <w:style w:type="paragraph" w:customStyle="1" w:styleId="SmallGrey">
    <w:name w:val="SmallGrey"/>
    <w:basedOn w:val="Normal"/>
    <w:rPr>
      <w:color w:val="6B72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