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EFRS Addendum A-05</w:t>
        <w:br/>
      </w:r>
      <w:r>
        <w:t>Distributed Electromagnetic Field Shaping</w:t>
        <w:br/>
        <w:t>and Localized Protection Architecture</w:t>
      </w:r>
    </w:p>
    <w:p>
      <w:pPr>
        <w:jc w:val="center"/>
      </w:pPr>
      <w:r>
        <w:rPr>
          <w:b/>
        </w:rPr>
        <w:t>Proof-of-Concept Technical White Paper</w:t>
      </w:r>
    </w:p>
    <w:p>
      <w:pPr>
        <w:jc w:val="center"/>
      </w:pPr>
      <w:r>
        <w:rPr>
          <w:i/>
        </w:rPr>
        <w:t>Distributed field nodes, localized magnetic reinforcement, and fault-tolerant spacecraft integration</w:t>
      </w:r>
    </w:p>
    <w:tbl>
      <w:tblPr>
        <w:tblStyle w:val="LightShading-Accent1"/>
        <w:tblW w:type="auto" w:w="0"/>
        <w:tblLook w:firstColumn="1" w:firstRow="1" w:lastColumn="0" w:lastRow="0" w:noHBand="0" w:noVBand="1" w:val="04A0"/>
      </w:tblPr>
      <w:tblGrid>
        <w:gridCol w:w="5040"/>
        <w:gridCol w:w="5040"/>
      </w:tblGrid>
      <w:tr>
        <w:tc>
          <w:tcPr>
            <w:tcW w:type="dxa" w:w="5040"/>
          </w:tcPr>
          <w:p>
            <w:r>
              <w:t>Parent Architecture</w:t>
            </w:r>
          </w:p>
        </w:tc>
        <w:tc>
          <w:tcPr>
            <w:tcW w:type="dxa" w:w="5040"/>
          </w:tcPr>
          <w:p>
            <w:r>
              <w:t>EFRS — Electrochemical Fuel-Rod Storage</w:t>
            </w:r>
          </w:p>
        </w:tc>
      </w:tr>
      <w:tr>
        <w:tc>
          <w:tcPr>
            <w:tcW w:type="dxa" w:w="5040"/>
          </w:tcPr>
          <w:p>
            <w:r>
              <w:t>Addendum</w:t>
            </w:r>
          </w:p>
        </w:tc>
        <w:tc>
          <w:tcPr>
            <w:tcW w:type="dxa" w:w="5040"/>
          </w:tcPr>
          <w:p>
            <w:r>
              <w:t>A-05</w:t>
            </w:r>
          </w:p>
        </w:tc>
      </w:tr>
      <w:tr>
        <w:tc>
          <w:tcPr>
            <w:tcW w:type="dxa" w:w="5040"/>
          </w:tcPr>
          <w:p>
            <w:r>
              <w:t>Development Stage</w:t>
            </w:r>
          </w:p>
        </w:tc>
        <w:tc>
          <w:tcPr>
            <w:tcW w:type="dxa" w:w="5040"/>
          </w:tcPr>
          <w:p>
            <w:r>
              <w:t>TRL 1–2</w:t>
            </w:r>
          </w:p>
        </w:tc>
      </w:tr>
      <w:tr>
        <w:tc>
          <w:tcPr>
            <w:tcW w:type="dxa" w:w="5040"/>
          </w:tcPr>
          <w:p>
            <w:r>
              <w:t>Status</w:t>
            </w:r>
          </w:p>
        </w:tc>
        <w:tc>
          <w:tcPr>
            <w:tcW w:type="dxa" w:w="5040"/>
          </w:tcPr>
          <w:p>
            <w:r>
              <w:t>Unvalidated experimental architecture</w:t>
            </w:r>
          </w:p>
        </w:tc>
      </w:tr>
      <w:tr>
        <w:tc>
          <w:tcPr>
            <w:tcW w:type="dxa" w:w="5040"/>
          </w:tcPr>
          <w:p>
            <w:r>
              <w:t>Primary Fields</w:t>
            </w:r>
          </w:p>
        </w:tc>
        <w:tc>
          <w:tcPr>
            <w:tcW w:type="dxa" w:w="5040"/>
          </w:tcPr>
          <w:p>
            <w:r>
              <w:t>Spacecraft power, electromagnetic field control, charged-particle mitigation, distributed actuation</w:t>
            </w:r>
          </w:p>
        </w:tc>
      </w:tr>
      <w:tr>
        <w:tc>
          <w:tcPr>
            <w:tcW w:type="dxa" w:w="5040"/>
          </w:tcPr>
          <w:p>
            <w:r>
              <w:t>Core Claim</w:t>
            </w:r>
          </w:p>
        </w:tc>
        <w:tc>
          <w:tcPr>
            <w:tcW w:type="dxa" w:w="5040"/>
          </w:tcPr>
          <w:p>
            <w:r>
              <w:t>Distributed independently driven coils may reshape a larger magnetic field; protection effectiveness is threat-dependent</w:t>
            </w:r>
          </w:p>
        </w:tc>
      </w:tr>
      <w:tr>
        <w:tc>
          <w:tcPr>
            <w:tcW w:type="dxa" w:w="5040"/>
          </w:tcPr>
          <w:p>
            <w:r>
              <w:t>Physics Boundary</w:t>
            </w:r>
          </w:p>
        </w:tc>
        <w:tc>
          <w:tcPr>
            <w:tcW w:type="dxa" w:w="5040"/>
          </w:tcPr>
          <w:p>
            <w:r>
              <w:t>Magnetic fields do not constitute a universal shield against neutral debris or radiation</w:t>
            </w:r>
          </w:p>
        </w:tc>
      </w:tr>
    </w:tbl>
    <w:p>
      <w:pPr>
        <w:pStyle w:val="Heading1"/>
      </w:pPr>
      <w:r>
        <w:t>Abstract</w:t>
      </w:r>
    </w:p>
    <w:p>
      <w:r>
        <w:t>EFRS Addendum A-05 proposes a Distributed Electromagnetic Field Shaping and Localized Protection Architecture in which independently controlled electromagnetic field nodes are mechanically associated with, but electrically and thermally isolated from, distributed EFRS energy-storage locations. A larger primary spacecraft field network supplies the baseline magnetic topology while local nodes selectively reinforce, oppose, translate, or reshape portions of that field.</w:t>
      </w:r>
    </w:p>
    <w:p>
      <w:r>
        <w:t>The architecture does not assume a science-fiction force field. Its most defensible targets are charged particles and experimentally characterized interactions with selected conductive or magnetic objects. Neutral macroscopic debris remains primarily a physical-shielding problem. The proof of concept therefore begins with magnetic-field mapping and charged-particle trajectory control, not full-scale spacecraft protection.</w:t>
      </w:r>
    </w:p>
    <w:p>
      <w:r>
        <w:t>The central question is whether distributed field actuators can produce useful local changes in field magnitude and gradient without requiring the central field source to change operating power, and whether those changes can be commanded safely without compromising EFRS electrochemical, thermal, sensing, or fault-isolation functions.</w:t>
      </w:r>
    </w:p>
    <w:p>
      <w:pPr>
        <w:pStyle w:val="Heading1"/>
      </w:pPr>
      <w:r>
        <w:t>1. Relationship to the EFRS Architecture</w:t>
      </w:r>
    </w:p>
    <w:p>
      <w:r>
        <w:t>EFRS reorganizes electrochemical storage into removable, individually monitored rod-form cartridges connected through a thermally managed and electrically isolated manifold. A-05 preserves that architecture. It does not require the electrochemical cell itself to become an electromagnet.</w:t>
      </w:r>
    </w:p>
    <w:p>
      <w:r>
        <w:t>Instead, A-05 introduces a field-node layer around the cartridge housing, manifold, or a dedicated field cartridge. This separation is deliberate: strong or rapidly varying magnetic fields can induce currents, heat conductive structures, disturb sensors, and couple into power electronics.</w:t>
      </w:r>
    </w:p>
    <w:p>
      <w:r>
        <w:t>Functional separation: EFRS stores and distributes electrical energy; the field node converts commanded electrical power into magnetic-field topology; the spacecraft controller determines when and where field shaping is permitted.</w:t>
      </w:r>
    </w:p>
    <w:p>
      <w:pPr>
        <w:pStyle w:val="Heading1"/>
      </w:pPr>
      <w:r>
        <w:t>2. Core Research Hypothesis</w:t>
      </w:r>
    </w:p>
    <w:p>
      <w:r>
        <w:t>Can independently powered electromagnetic nodes distributed through an EFRS-equipped spacecraft dynamically reshape a larger magnetic field, concentrating field strength or gradients around a selected region while holding the primary field source approximately constant?</w:t>
      </w:r>
    </w:p>
    <w:p>
      <w:r>
        <w:t>A secondary question is whether localized shaping can reduce the duration or magnitude of ship-wide field operation for a defined charged-particle threat scenario. That energy benefit is not assumed; it must be measured.</w:t>
      </w:r>
    </w:p>
    <w:p>
      <w:pPr>
        <w:pStyle w:val="Heading1"/>
      </w:pPr>
      <w:r>
        <w:t>3. Governing Physics</w:t>
      </w:r>
    </w:p>
    <w:p>
      <w:r>
        <w:t>For quasi-static conditions, the total magnetic field can be treated approximately by superposition:</w:t>
      </w:r>
    </w:p>
    <w:p>
      <w:r>
        <w:t>B_total(r,t) = B_main(r,t) + Σ B_i(r,t; I_i, s_i)</w:t>
      </w:r>
    </w:p>
    <w:p>
      <w:r>
        <w:t>where B_main is the primary field, B_i is the contribution of local node i, I_i is its drive current, and s_i represents commanded polarity/orientation.</w:t>
      </w:r>
    </w:p>
    <w:p>
      <w:r>
        <w:t>A charged particle experiences the Lorentz force F = q(E + v × B). For a particle entering a magnetic field, a useful scale is the Larmor radius r_L = m v_perp / (|q| B). Increasing B can reduce curvature radius for a given particle species and velocity, but practical protection depends on field strength, spatial extent, particle energy, incident direction, and spacecraft geometry.</w:t>
      </w:r>
    </w:p>
    <w:p>
      <w:r>
        <w:t>Changing magnetic flux can also induce electric fields and eddy currents according to Faraday's law. Conductive structures and objects can therefore experience induced currents and forces, but effectiveness against macroscopic debris must be demonstrated rather than inferred.</w:t>
      </w:r>
    </w:p>
    <w:p>
      <w:pPr>
        <w:pStyle w:val="Heading1"/>
      </w:pPr>
      <w:r>
        <w:t>4. Threat / Interaction Boundary</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Threat class</w:t>
            </w:r>
          </w:p>
        </w:tc>
        <w:tc>
          <w:tcPr>
            <w:tcW w:type="dxa" w:w="2520"/>
          </w:tcPr>
          <w:p>
            <w:r>
              <w:t>Expected EM interaction</w:t>
            </w:r>
          </w:p>
        </w:tc>
        <w:tc>
          <w:tcPr>
            <w:tcW w:type="dxa" w:w="2520"/>
          </w:tcPr>
          <w:p>
            <w:r>
              <w:t>A-05 role</w:t>
            </w:r>
          </w:p>
        </w:tc>
        <w:tc>
          <w:tcPr>
            <w:tcW w:type="dxa" w:w="2520"/>
          </w:tcPr>
          <w:p>
            <w:r>
              <w:t>Baseline protection</w:t>
            </w:r>
          </w:p>
        </w:tc>
      </w:tr>
      <w:tr>
        <w:tc>
          <w:tcPr>
            <w:tcW w:type="dxa" w:w="2520"/>
          </w:tcPr>
          <w:p>
            <w:r>
              <w:t>Electrons / ions / protons</w:t>
            </w:r>
          </w:p>
        </w:tc>
        <w:tc>
          <w:tcPr>
            <w:tcW w:type="dxa" w:w="2520"/>
          </w:tcPr>
          <w:p>
            <w:r>
              <w:t>Direct Lorentz-force interaction</w:t>
            </w:r>
          </w:p>
        </w:tc>
        <w:tc>
          <w:tcPr>
            <w:tcW w:type="dxa" w:w="2520"/>
          </w:tcPr>
          <w:p>
            <w:r>
              <w:t>Primary POC target</w:t>
            </w:r>
          </w:p>
        </w:tc>
        <w:tc>
          <w:tcPr>
            <w:tcW w:type="dxa" w:w="2520"/>
          </w:tcPr>
          <w:p>
            <w:r>
              <w:t>Field shaping + conventional spacecraft design</w:t>
            </w:r>
          </w:p>
        </w:tc>
      </w:tr>
      <w:tr>
        <w:tc>
          <w:tcPr>
            <w:tcW w:type="dxa" w:w="2520"/>
          </w:tcPr>
          <w:p>
            <w:r>
              <w:t>Plasma / charged plume</w:t>
            </w:r>
          </w:p>
        </w:tc>
        <w:tc>
          <w:tcPr>
            <w:tcW w:type="dxa" w:w="2520"/>
          </w:tcPr>
          <w:p>
            <w:r>
              <w:t>Strong field-sensitive behavior</w:t>
            </w:r>
          </w:p>
        </w:tc>
        <w:tc>
          <w:tcPr>
            <w:tcW w:type="dxa" w:w="2520"/>
          </w:tcPr>
          <w:p>
            <w:r>
              <w:t>Control / deflection research</w:t>
            </w:r>
          </w:p>
        </w:tc>
        <w:tc>
          <w:tcPr>
            <w:tcW w:type="dxa" w:w="2520"/>
          </w:tcPr>
          <w:p>
            <w:r>
              <w:t>Magnetic/electric control</w:t>
            </w:r>
          </w:p>
        </w:tc>
      </w:tr>
      <w:tr>
        <w:tc>
          <w:tcPr>
            <w:tcW w:type="dxa" w:w="2520"/>
          </w:tcPr>
          <w:p>
            <w:r>
              <w:t>Conductive debris</w:t>
            </w:r>
          </w:p>
        </w:tc>
        <w:tc>
          <w:tcPr>
            <w:tcW w:type="dxa" w:w="2520"/>
          </w:tcPr>
          <w:p>
            <w:r>
              <w:t>Possible eddy-current interaction</w:t>
            </w:r>
          </w:p>
        </w:tc>
        <w:tc>
          <w:tcPr>
            <w:tcW w:type="dxa" w:w="2520"/>
          </w:tcPr>
          <w:p>
            <w:r>
              <w:t>Later experimental branch</w:t>
            </w:r>
          </w:p>
        </w:tc>
        <w:tc>
          <w:tcPr>
            <w:tcW w:type="dxa" w:w="2520"/>
          </w:tcPr>
          <w:p>
            <w:r>
              <w:t>Physical shielding remains required</w:t>
            </w:r>
          </w:p>
        </w:tc>
      </w:tr>
      <w:tr>
        <w:tc>
          <w:tcPr>
            <w:tcW w:type="dxa" w:w="2520"/>
          </w:tcPr>
          <w:p>
            <w:r>
              <w:t>Ferromagnetic debris</w:t>
            </w:r>
          </w:p>
        </w:tc>
        <w:tc>
          <w:tcPr>
            <w:tcW w:type="dxa" w:w="2520"/>
          </w:tcPr>
          <w:p>
            <w:r>
              <w:t>Field-gradient interaction</w:t>
            </w:r>
          </w:p>
        </w:tc>
        <w:tc>
          <w:tcPr>
            <w:tcW w:type="dxa" w:w="2520"/>
          </w:tcPr>
          <w:p>
            <w:r>
              <w:t>Later experimental branch</w:t>
            </w:r>
          </w:p>
        </w:tc>
        <w:tc>
          <w:tcPr>
            <w:tcW w:type="dxa" w:w="2520"/>
          </w:tcPr>
          <w:p>
            <w:r>
              <w:t>Physical shielding remains required</w:t>
            </w:r>
          </w:p>
        </w:tc>
      </w:tr>
      <w:tr>
        <w:tc>
          <w:tcPr>
            <w:tcW w:type="dxa" w:w="2520"/>
          </w:tcPr>
          <w:p>
            <w:r>
              <w:t>Neutral silicate / dielectric debris</w:t>
            </w:r>
          </w:p>
        </w:tc>
        <w:tc>
          <w:tcPr>
            <w:tcW w:type="dxa" w:w="2520"/>
          </w:tcPr>
          <w:p>
            <w:r>
              <w:t>Weak or negligible direct magnetic response</w:t>
            </w:r>
          </w:p>
        </w:tc>
        <w:tc>
          <w:tcPr>
            <w:tcW w:type="dxa" w:w="2520"/>
          </w:tcPr>
          <w:p>
            <w:r>
              <w:t>Not a primary EM target</w:t>
            </w:r>
          </w:p>
        </w:tc>
        <w:tc>
          <w:tcPr>
            <w:tcW w:type="dxa" w:w="2520"/>
          </w:tcPr>
          <w:p>
            <w:r>
              <w:t>Whipple / multilayer physical shielding</w:t>
            </w:r>
          </w:p>
        </w:tc>
      </w:tr>
      <w:tr>
        <w:tc>
          <w:tcPr>
            <w:tcW w:type="dxa" w:w="2520"/>
          </w:tcPr>
          <w:p>
            <w:r>
              <w:t>Photons / gamma rays</w:t>
            </w:r>
          </w:p>
        </w:tc>
        <w:tc>
          <w:tcPr>
            <w:tcW w:type="dxa" w:w="2520"/>
          </w:tcPr>
          <w:p>
            <w:r>
              <w:t>Not generally deflected by ordinary magnetic field</w:t>
            </w:r>
          </w:p>
        </w:tc>
        <w:tc>
          <w:tcPr>
            <w:tcW w:type="dxa" w:w="2520"/>
          </w:tcPr>
          <w:p>
            <w:r>
              <w:t>Outside A-05 magnetic shielding claim</w:t>
            </w:r>
          </w:p>
        </w:tc>
        <w:tc>
          <w:tcPr>
            <w:tcW w:type="dxa" w:w="2520"/>
          </w:tcPr>
          <w:p>
            <w:r>
              <w:t>Material / geometry / mission-specific shielding</w:t>
            </w:r>
          </w:p>
        </w:tc>
      </w:tr>
    </w:tbl>
    <w:p>
      <w:pPr>
        <w:pStyle w:val="Heading1"/>
      </w:pPr>
      <w:r>
        <w:t>5. Proposed Physical Architecture</w:t>
      </w:r>
    </w:p>
    <w:p>
      <w:r>
        <w:t>The spacecraft carries a primary field network and multiple local field nodes. Local nodes may be integrated into EFRS manifold structure or implemented as dedicated cartridges sharing standardized power, data, cooling, and isolation interfaces.</w:t>
      </w:r>
    </w:p>
    <w:p>
      <w:r>
        <w:t>Conceptual chain:</w:t>
      </w:r>
    </w:p>
    <w:p>
      <w:r>
        <w:t>Threat / environment sensors → Field-shaping controller → Main field source + selected local nodes → Measured field topology → Protection / trajectory response</w:t>
      </w:r>
    </w:p>
    <w:p>
      <w:r>
        <w:t>Recommended local stack:</w:t>
      </w:r>
    </w:p>
    <w:p>
      <w:pPr>
        <w:pStyle w:val="ListBullet"/>
      </w:pPr>
      <w:r>
        <w:t>Outer field coil or segmented winding.</w:t>
      </w:r>
    </w:p>
    <w:p>
      <w:pPr>
        <w:pStyle w:val="ListBullet"/>
      </w:pPr>
      <w:r>
        <w:t>Electrical insulation and magnetic/thermal isolation layer.</w:t>
      </w:r>
    </w:p>
    <w:p>
      <w:pPr>
        <w:pStyle w:val="ListBullet"/>
      </w:pPr>
      <w:r>
        <w:t>Local current driver, polarity switch, current sensor, temperature sensor, and interlock.</w:t>
      </w:r>
    </w:p>
    <w:p>
      <w:pPr>
        <w:pStyle w:val="ListBullet"/>
      </w:pPr>
      <w:r>
        <w:t>Optional EFRS cartridge or dedicated high-power buffer behind the isolated field layer.</w:t>
      </w:r>
    </w:p>
    <w:p>
      <w:pPr>
        <w:pStyle w:val="ListBullet"/>
      </w:pPr>
      <w:r>
        <w:t>Independent cooling path where coil duty cycle requires it.</w:t>
      </w:r>
    </w:p>
    <w:p>
      <w:pPr>
        <w:pStyle w:val="ListBullet"/>
      </w:pPr>
      <w:r>
        <w:t>Shielded data interface to the supervisory controller.</w:t>
      </w:r>
    </w:p>
    <w:p>
      <w:pPr>
        <w:pStyle w:val="Heading1"/>
      </w:pPr>
      <w:r>
        <w:t>6. Why the Coil Should Not Simply Be the Battery</w:t>
      </w:r>
    </w:p>
    <w:p>
      <w:r>
        <w:t>A-05 treats the battery and field actuator as adjacent modules rather than the same physical element. Time-varying fields may induce currents in cell cans, busbars, cooling hardware, current collectors, and nearby structure. They may also disturb Hall sensors, magnetometers, BMS electronics, communication links, and precision instruments.</w:t>
      </w:r>
    </w:p>
    <w:p>
      <w:r>
        <w:t>The POC must therefore establish electromagnetic compatibility before field nodes are wrapped tightly around live electrochemical cartridges. Initial tests should use inert EFRS mechanical surrogates, followed by low-energy commercial cells only after induced-current and thermal behavior are understood.</w:t>
      </w:r>
    </w:p>
    <w:p>
      <w:pPr>
        <w:pStyle w:val="Heading1"/>
      </w:pPr>
      <w:r>
        <w:t>7. Distributed Control States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Mode</w:t>
            </w:r>
          </w:p>
        </w:tc>
        <w:tc>
          <w:tcPr>
            <w:tcW w:type="dxa" w:w="3360"/>
          </w:tcPr>
          <w:p>
            <w:r>
              <w:t>Field-node behavior</w:t>
            </w:r>
          </w:p>
        </w:tc>
        <w:tc>
          <w:tcPr>
            <w:tcW w:type="dxa" w:w="3360"/>
          </w:tcPr>
          <w:p>
            <w:r>
              <w:t>Purpose</w:t>
            </w:r>
          </w:p>
        </w:tc>
      </w:tr>
      <w:tr>
        <w:tc>
          <w:tcPr>
            <w:tcW w:type="dxa" w:w="3360"/>
          </w:tcPr>
          <w:p>
            <w:r>
              <w:t>Standby</w:t>
            </w:r>
          </w:p>
        </w:tc>
        <w:tc>
          <w:tcPr>
            <w:tcW w:type="dxa" w:w="3360"/>
          </w:tcPr>
          <w:p>
            <w:r>
              <w:t>Local nodes de-energized; main field nominal</w:t>
            </w:r>
          </w:p>
        </w:tc>
        <w:tc>
          <w:tcPr>
            <w:tcW w:type="dxa" w:w="3360"/>
          </w:tcPr>
          <w:p>
            <w:r>
              <w:t>Lowest auxiliary load</w:t>
            </w:r>
          </w:p>
        </w:tc>
      </w:tr>
      <w:tr>
        <w:tc>
          <w:tcPr>
            <w:tcW w:type="dxa" w:w="3360"/>
          </w:tcPr>
          <w:p>
            <w:r>
              <w:t>Reinforcement</w:t>
            </w:r>
          </w:p>
        </w:tc>
        <w:tc>
          <w:tcPr>
            <w:tcW w:type="dxa" w:w="3360"/>
          </w:tcPr>
          <w:p>
            <w:r>
              <w:t>Selected nodes add to local B_main</w:t>
            </w:r>
          </w:p>
        </w:tc>
        <w:tc>
          <w:tcPr>
            <w:tcW w:type="dxa" w:w="3360"/>
          </w:tcPr>
          <w:p>
            <w:r>
              <w:t>Increase local field magnitude</w:t>
            </w:r>
          </w:p>
        </w:tc>
      </w:tr>
      <w:tr>
        <w:tc>
          <w:tcPr>
            <w:tcW w:type="dxa" w:w="3360"/>
          </w:tcPr>
          <w:p>
            <w:r>
              <w:t>Gradient</w:t>
            </w:r>
          </w:p>
        </w:tc>
        <w:tc>
          <w:tcPr>
            <w:tcW w:type="dxa" w:w="3360"/>
          </w:tcPr>
          <w:p>
            <w:r>
              <w:t>Adjacent nodes use unequal amplitude/orientation</w:t>
            </w:r>
          </w:p>
        </w:tc>
        <w:tc>
          <w:tcPr>
            <w:tcW w:type="dxa" w:w="3360"/>
          </w:tcPr>
          <w:p>
            <w:r>
              <w:t>Create controlled spatial gradient</w:t>
            </w:r>
          </w:p>
        </w:tc>
      </w:tr>
      <w:tr>
        <w:tc>
          <w:tcPr>
            <w:tcW w:type="dxa" w:w="3360"/>
          </w:tcPr>
          <w:p>
            <w:r>
              <w:t>Opposition / Null</w:t>
            </w:r>
          </w:p>
        </w:tc>
        <w:tc>
          <w:tcPr>
            <w:tcW w:type="dxa" w:w="3360"/>
          </w:tcPr>
          <w:p>
            <w:r>
              <w:t>Node field opposes part of B_main</w:t>
            </w:r>
          </w:p>
        </w:tc>
        <w:tc>
          <w:tcPr>
            <w:tcW w:type="dxa" w:w="3360"/>
          </w:tcPr>
          <w:p>
            <w:r>
              <w:t>Translate or create a local minimum where safe</w:t>
            </w:r>
          </w:p>
        </w:tc>
      </w:tr>
      <w:tr>
        <w:tc>
          <w:tcPr>
            <w:tcW w:type="dxa" w:w="3360"/>
          </w:tcPr>
          <w:p>
            <w:r>
              <w:t>Transient Local Boost</w:t>
            </w:r>
          </w:p>
        </w:tc>
        <w:tc>
          <w:tcPr>
            <w:tcW w:type="dxa" w:w="3360"/>
          </w:tcPr>
          <w:p>
            <w:r>
              <w:t>Short duty-cycle reinforcement</w:t>
            </w:r>
          </w:p>
        </w:tc>
        <w:tc>
          <w:tcPr>
            <w:tcW w:type="dxa" w:w="3360"/>
          </w:tcPr>
          <w:p>
            <w:r>
              <w:t>Test localized response with bounded thermal load</w:t>
            </w:r>
          </w:p>
        </w:tc>
      </w:tr>
      <w:tr>
        <w:tc>
          <w:tcPr>
            <w:tcW w:type="dxa" w:w="3360"/>
          </w:tcPr>
          <w:p>
            <w:r>
              <w:t>Fault Isolation</w:t>
            </w:r>
          </w:p>
        </w:tc>
        <w:tc>
          <w:tcPr>
            <w:tcW w:type="dxa" w:w="3360"/>
          </w:tcPr>
          <w:p>
            <w:r>
              <w:t>Affected node opens and reports unavailable</w:t>
            </w:r>
          </w:p>
        </w:tc>
        <w:tc>
          <w:tcPr>
            <w:tcW w:type="dxa" w:w="3360"/>
          </w:tcPr>
          <w:p>
            <w:r>
              <w:t>Prevent a single actuator fault from disabling the network</w:t>
            </w:r>
          </w:p>
        </w:tc>
      </w:tr>
      <w:tr>
        <w:tc>
          <w:tcPr>
            <w:tcW w:type="dxa" w:w="3360"/>
          </w:tcPr>
          <w:p>
            <w:r>
              <w:t>Safe State</w:t>
            </w:r>
          </w:p>
        </w:tc>
        <w:tc>
          <w:tcPr>
            <w:tcW w:type="dxa" w:w="3360"/>
          </w:tcPr>
          <w:p>
            <w:r>
              <w:t>All optional local excitation removed</w:t>
            </w:r>
          </w:p>
        </w:tc>
        <w:tc>
          <w:tcPr>
            <w:tcW w:type="dxa" w:w="3360"/>
          </w:tcPr>
          <w:p>
            <w:r>
              <w:t>Preserve EFRS and spacecraft essential power</w:t>
            </w:r>
          </w:p>
        </w:tc>
      </w:tr>
    </w:tbl>
    <w:p>
      <w:pPr>
        <w:pStyle w:val="Heading1"/>
      </w:pPr>
      <w:r>
        <w:t>8. Power Architecture</w:t>
      </w:r>
    </w:p>
    <w:p>
      <w:r>
        <w:t>Field power must remain subordinate to spacecraft energy-management priorities. A hybrid EFRS installation could conceptually allocate high-power cartridges or a separate pulse buffer to field transients while high-energy cartridges supply sustained spacecraft loads.</w:t>
      </w:r>
    </w:p>
    <w:p>
      <w:r>
        <w:t>For node i, electrical input is measured as P_i(t) = V_i(t) I_i(t), and energy consumed during an event is E_i = ∫P_i(t)dt. The complete experiment compares localized-node energy against an equivalent change produced by the primary field source.</w:t>
      </w:r>
    </w:p>
    <w:p>
      <w:r>
        <w:t>A-05 does not assume that local reinforcement saves energy. Additional coils introduce resistive, switching, cooling, structural, and conversion losses.</w:t>
      </w:r>
    </w:p>
    <w:p>
      <w:pPr>
        <w:pStyle w:val="Heading1"/>
      </w:pPr>
      <w:r>
        <w:t>9. Protection-Zone Concept</w:t>
      </w:r>
    </w:p>
    <w:p>
      <w:r>
        <w:t>The field controller does not create a hard wall. It commands a three-dimensional region in which B, ∇B, and field orientation differ from the baseline configuration. A threat-direction estimate may select nodes nearest the predicted approach vector.</w:t>
      </w:r>
    </w:p>
    <w:p>
      <w:r>
        <w:t>The relevant output is therefore a measured field map B(x,y,z,t), not a graphic 'shield bubble.' Any protection claim must be tied to a defined particle species, energy, trajectory, field geometry, and experimentally observed deflection.</w:t>
      </w:r>
    </w:p>
    <w:p>
      <w:pPr>
        <w:pStyle w:val="Heading1"/>
      </w:pPr>
      <w:r>
        <w:t>10. Proof-of-Concept Development Sequence</w:t>
      </w:r>
    </w:p>
    <w:p>
      <w:r>
        <w:rPr>
          <w:b/>
        </w:rPr>
        <w:t xml:space="preserve">A05-0 — Numerical model: </w:t>
      </w:r>
      <w:r>
        <w:t>Model main coil plus 4–8 independently driven satellite coils; predict B-field maps, gradients, power, heating, and forces.</w:t>
      </w:r>
    </w:p>
    <w:p>
      <w:r>
        <w:rPr>
          <w:b/>
        </w:rPr>
        <w:t xml:space="preserve">A05-1 — Passive geometry: </w:t>
      </w:r>
      <w:r>
        <w:t>Build non-energized EFRS/coil mock-ups and verify spacing, insulation, sensor locations, and mechanical clearances.</w:t>
      </w:r>
    </w:p>
    <w:p>
      <w:r>
        <w:rPr>
          <w:b/>
        </w:rPr>
        <w:t xml:space="preserve">A05-2 — Main-field baseline: </w:t>
      </w:r>
      <w:r>
        <w:t>Energize the central coil alone and map B(x,y,z) over the test volume.</w:t>
      </w:r>
    </w:p>
    <w:p>
      <w:r>
        <w:rPr>
          <w:b/>
        </w:rPr>
        <w:t xml:space="preserve">A05-3 — Single-node superposition: </w:t>
      </w:r>
      <w:r>
        <w:t>Energize one satellite node at multiple amplitudes and polarities; compare measured and predicted field changes.</w:t>
      </w:r>
    </w:p>
    <w:p>
      <w:r>
        <w:rPr>
          <w:b/>
        </w:rPr>
        <w:t xml:space="preserve">A05-4 — Multi-node shaping: </w:t>
      </w:r>
      <w:r>
        <w:t>Command combinations that create a translated maximum, localized reinforcement region, gradient, and controlled null.</w:t>
      </w:r>
    </w:p>
    <w:p>
      <w:r>
        <w:rPr>
          <w:b/>
        </w:rPr>
        <w:t xml:space="preserve">A05-5 — Dynamic response: </w:t>
      </w:r>
      <w:r>
        <w:t>Measure command-to-field latency, overshoot, switching transients, induced voltages, and thermal rise.</w:t>
      </w:r>
    </w:p>
    <w:p>
      <w:r>
        <w:rPr>
          <w:b/>
        </w:rPr>
        <w:t xml:space="preserve">A05-6 — Charged-particle surrogate: </w:t>
      </w:r>
      <w:r>
        <w:t>In an appropriate laboratory apparatus, test whether a low-energy charged-particle or plasma trajectory responds as predicted to the mapped field.</w:t>
      </w:r>
    </w:p>
    <w:p>
      <w:r>
        <w:rPr>
          <w:b/>
        </w:rPr>
        <w:t xml:space="preserve">A05-7 — EMC / inert EFRS: </w:t>
      </w:r>
      <w:r>
        <w:t>Place instrumented inert cartridge surrogates within representative nodes and quantify induced currents, sensor interference, and heating.</w:t>
      </w:r>
    </w:p>
    <w:p>
      <w:r>
        <w:rPr>
          <w:b/>
        </w:rPr>
        <w:t xml:space="preserve">A05-8 — Low-energy EFRS integration: </w:t>
      </w:r>
      <w:r>
        <w:t>Only after EMC validation, operate a low-energy EFRS demonstrator adjacent to the field nodes and monitor cell/BMS behavior.</w:t>
      </w:r>
    </w:p>
    <w:p>
      <w:r>
        <w:rPr>
          <w:b/>
        </w:rPr>
        <w:t xml:space="preserve">A05-9 — Fault testing: </w:t>
      </w:r>
      <w:r>
        <w:t>Open/short/sensor-loss simulations at the controller level; verify node isolation and preservation of essential EFRS functions.</w:t>
      </w:r>
    </w:p>
    <w:p>
      <w:r>
        <w:rPr>
          <w:b/>
        </w:rPr>
        <w:t xml:space="preserve">A05-10 — Local-vs-global comparison: </w:t>
      </w:r>
      <w:r>
        <w:t>Compare energy and field effectiveness of local reinforcement against changing the main field for the same defined test objective.</w:t>
      </w:r>
    </w:p>
    <w:p>
      <w:pPr>
        <w:pStyle w:val="Heading1"/>
      </w:pPr>
      <w:r>
        <w:t>11. Instrumentation</w:t>
      </w:r>
    </w:p>
    <w:p>
      <w:pPr>
        <w:pStyle w:val="ListBullet"/>
      </w:pPr>
      <w:r>
        <w:t>Three-axis magnetic-field probes on a mapped spatial grid.</w:t>
      </w:r>
    </w:p>
    <w:p>
      <w:pPr>
        <w:pStyle w:val="ListBullet"/>
      </w:pPr>
      <w:r>
        <w:t>Node voltage, current, switching state, phase/polarity, and cumulative energy.</w:t>
      </w:r>
    </w:p>
    <w:p>
      <w:pPr>
        <w:pStyle w:val="ListBullet"/>
      </w:pPr>
      <w:r>
        <w:t>Coil, manifold, busbar, cartridge-surrogate, and coolant temperatures.</w:t>
      </w:r>
    </w:p>
    <w:p>
      <w:pPr>
        <w:pStyle w:val="ListBullet"/>
      </w:pPr>
      <w:r>
        <w:t>Induced voltage/current probes on representative conductive structures.</w:t>
      </w:r>
    </w:p>
    <w:p>
      <w:pPr>
        <w:pStyle w:val="ListBullet"/>
      </w:pPr>
      <w:r>
        <w:t>EMI monitoring near BMS, communications, navigation, and sensor electronics.</w:t>
      </w:r>
    </w:p>
    <w:p>
      <w:pPr>
        <w:pStyle w:val="ListBullet"/>
      </w:pPr>
      <w:r>
        <w:t>Force/strain measurement on coils and supports where magnetic interaction is significant.</w:t>
      </w:r>
    </w:p>
    <w:p>
      <w:pPr>
        <w:pStyle w:val="ListBullet"/>
      </w:pPr>
      <w:r>
        <w:t>For particle/plasma tests: source conditions, trajectory/plume imaging, detector position, and repeatability.</w:t>
      </w:r>
    </w:p>
    <w:p>
      <w:pPr>
        <w:pStyle w:val="ListBullet"/>
      </w:pPr>
      <w:r>
        <w:t>Independent timing reference so field commands can be correlated with measured response.</w:t>
      </w:r>
    </w:p>
    <w:p>
      <w:pPr>
        <w:pStyle w:val="Heading1"/>
      </w:pPr>
      <w:r>
        <w:t>12. Primary Metrics</w:t>
      </w:r>
    </w:p>
    <w:p>
      <w:r>
        <w:t>Field reinforcement ratio: R_B = B_local,on / B_local,baseline at a defined point or volume.</w:t>
      </w:r>
    </w:p>
    <w:p>
      <w:r>
        <w:t>Localization ratio: L_B = ΔB_target / max(|ΔB_non-target|) for predefined target and protected/non-target regions.</w:t>
      </w:r>
    </w:p>
    <w:p>
      <w:r>
        <w:t>Field-map error: difference between modeled and measured B(x,y,z) over the mapped volume.</w:t>
      </w:r>
    </w:p>
    <w:p>
      <w:r>
        <w:t>Energy per shaping event: E_shape = Σ∫V_i I_i dt.</w:t>
      </w:r>
    </w:p>
    <w:p>
      <w:r>
        <w:t>Thermal penalty: maximum coil/manifold/cartridge temperature rise per event.</w:t>
      </w:r>
    </w:p>
    <w:p>
      <w:r>
        <w:t>Response time: command-to-field-settle interval.</w:t>
      </w:r>
    </w:p>
    <w:p>
      <w:r>
        <w:t>Particle-deflection metric: measured trajectory displacement or angular change at a specified particle energy and geometry.</w:t>
      </w:r>
    </w:p>
    <w:p>
      <w:r>
        <w:t>EMC margin: induced disturbance relative to the permitted operating range of affected spacecraft electronics.</w:t>
      </w:r>
    </w:p>
    <w:p>
      <w:pPr>
        <w:pStyle w:val="Heading1"/>
      </w:pPr>
      <w:r>
        <w:t>13. Critical Experiments</w:t>
      </w:r>
    </w:p>
    <w:p>
      <w:r>
        <w:t>Experiment 1 — Field translation: hold main-coil current constant. Command satellite nodes to move the measured field maximum or high-gradient region between predefined spatial locations.</w:t>
      </w:r>
    </w:p>
    <w:p>
      <w:r>
        <w:t>Experiment 2 — Polarity reversal: reverse a selected node and verify that the measured field topology changes in the predicted direction. Polarity reversal is treated as field reshaping, not automatic repulsion.</w:t>
      </w:r>
    </w:p>
    <w:p>
      <w:r>
        <w:t>Experiment 3 — Local-versus-global energy: produce a defined ΔB in the target region first by increasing the main field and then by local nodes. Compare total electrical and thermal cost.</w:t>
      </w:r>
    </w:p>
    <w:p>
      <w:r>
        <w:t>Experiment 4 — Interaction validation: expose a controlled low-energy charged-particle/plasma surrogate to the mapped configurations and verify that trajectory changes agree with ordinary Lorentz-force predictions.</w:t>
      </w:r>
    </w:p>
    <w:p>
      <w:r>
        <w:t>Experiment 5 — EFRS coexistence: repeat representative field commands near an instrumented low-energy EFRS assembly and demonstrate no unacceptable heating, BMS upset, isolation failure, or sensor corruption.</w:t>
      </w:r>
    </w:p>
    <w:p>
      <w:pPr>
        <w:pStyle w:val="Heading1"/>
      </w:pPr>
      <w:r>
        <w:t>14. False Positives and Confounders</w:t>
      </w:r>
    </w:p>
    <w:p>
      <w:pPr>
        <w:pStyle w:val="ListBullet"/>
      </w:pPr>
      <w:r>
        <w:t>Probe saturation, calibration drift, or orientation error mistaken for field amplification.</w:t>
      </w:r>
    </w:p>
    <w:p>
      <w:pPr>
        <w:pStyle w:val="ListBullet"/>
      </w:pPr>
      <w:r>
        <w:t>Mechanical motion of probes or coils under magnetic force.</w:t>
      </w:r>
    </w:p>
    <w:p>
      <w:pPr>
        <w:pStyle w:val="ListBullet"/>
      </w:pPr>
      <w:r>
        <w:t>Inductive pickup in measurement wiring.</w:t>
      </w:r>
    </w:p>
    <w:p>
      <w:pPr>
        <w:pStyle w:val="ListBullet"/>
      </w:pPr>
      <w:r>
        <w:t>Ground loops and switching noise interpreted as sensor response.</w:t>
      </w:r>
    </w:p>
    <w:p>
      <w:pPr>
        <w:pStyle w:val="ListBullet"/>
      </w:pPr>
      <w:r>
        <w:t>Thermal drift in current sensors or magnetic probes.</w:t>
      </w:r>
    </w:p>
    <w:p>
      <w:pPr>
        <w:pStyle w:val="ListBullet"/>
      </w:pPr>
      <w:r>
        <w:t>Particle-source instability mistaken for magnetic deflection.</w:t>
      </w:r>
    </w:p>
    <w:p>
      <w:pPr>
        <w:pStyle w:val="ListBullet"/>
      </w:pPr>
      <w:r>
        <w:t>Electrostatic fields contributing to trajectory changes attributed solely to B.</w:t>
      </w:r>
    </w:p>
    <w:p>
      <w:pPr>
        <w:pStyle w:val="ListBullet"/>
      </w:pPr>
      <w:r>
        <w:t>Unmodeled ferromagnetic laboratory structures distorting the field.</w:t>
      </w:r>
    </w:p>
    <w:p>
      <w:pPr>
        <w:pStyle w:val="Heading1"/>
      </w:pPr>
      <w:r>
        <w:t>15. Safety and Fault Containment</w:t>
      </w:r>
    </w:p>
    <w:p>
      <w:r>
        <w:t>The initial POC is low-energy and unmanned. Coil systems can still produce hazardous stored energy, heating, mechanical forces, high current, induced voltage, and interference with electronics. Appropriate current limiting, thermal cutoffs, interlocks, discharge paths, and physical exclusion distances are required.</w:t>
      </w:r>
    </w:p>
    <w:p>
      <w:r>
        <w:t>EFRS safety remains independent. A field-node fault must not defeat cartridge isolation, thermal monitoring, BMS operation, or emergency power availability. Crew-space integration is outside the early POC and would require separate human-exposure, medical-device, electronics, structural-current, and certification analysis.</w:t>
      </w:r>
    </w:p>
    <w:p>
      <w:pPr>
        <w:pStyle w:val="Heading1"/>
      </w:pPr>
      <w:r>
        <w:t>16. Success Criteria</w:t>
      </w:r>
    </w:p>
    <w:p>
      <w:pPr>
        <w:pStyle w:val="ListBullet"/>
      </w:pPr>
      <w:r>
        <w:t>Measured field maps agree sufficiently with the model to permit predictive control.</w:t>
      </w:r>
    </w:p>
    <w:p>
      <w:pPr>
        <w:pStyle w:val="ListBullet"/>
      </w:pPr>
      <w:r>
        <w:t>Selected nodes can reproducibly reinforce, oppose, or translate local field features while the main source remains fixed.</w:t>
      </w:r>
    </w:p>
    <w:p>
      <w:pPr>
        <w:pStyle w:val="ListBullet"/>
      </w:pPr>
      <w:r>
        <w:t>Dynamic commands remain within established electrical, mechanical, and thermal limits.</w:t>
      </w:r>
    </w:p>
    <w:p>
      <w:pPr>
        <w:pStyle w:val="ListBullet"/>
      </w:pPr>
      <w:r>
        <w:t>A controlled charged-particle/plasma surrogate exhibits trajectory changes consistent with the measured field.</w:t>
      </w:r>
    </w:p>
    <w:p>
      <w:pPr>
        <w:pStyle w:val="ListBullet"/>
      </w:pPr>
      <w:r>
        <w:t>Field-node operation does not cause unacceptable interference or heating in the representative EFRS assembly.</w:t>
      </w:r>
    </w:p>
    <w:p>
      <w:pPr>
        <w:pStyle w:val="ListBullet"/>
      </w:pPr>
      <w:r>
        <w:t>A failed node can be isolated while remaining nodes and EFRS essential functions continue.</w:t>
      </w:r>
    </w:p>
    <w:p>
      <w:pPr>
        <w:pStyle w:val="ListBullet"/>
      </w:pPr>
      <w:r>
        <w:t>Any claimed energy advantage of localized shaping survives complete electrical and thermal accounting.</w:t>
      </w:r>
    </w:p>
    <w:p>
      <w:pPr>
        <w:pStyle w:val="Heading1"/>
      </w:pPr>
      <w:r>
        <w:t>17. Falsification / Redesign Criteria</w:t>
      </w:r>
    </w:p>
    <w:p>
      <w:r>
        <w:t>The architecture should be redesigned or rejected for a proposed application if useful localization cannot be produced without comparable field changes throughout the vehicle; if node power/cooling/mass exceeds the benefit of a simpler main-field architecture; if EFRS or avionics compatibility cannot be maintained; if charged-particle response is materially weaker than predicted; or if protection claims depend on neutral-debris deflection that the measured fields cannot provide.</w:t>
      </w:r>
    </w:p>
    <w:p>
      <w:r>
        <w:t>A negative debris result does not invalidate distributed field shaping. It limits the threat classes for which the architecture is useful.</w:t>
      </w:r>
    </w:p>
    <w:p>
      <w:pPr>
        <w:pStyle w:val="Heading1"/>
      </w:pPr>
      <w:r>
        <w:t>18. Integration with Physical Shielding</w:t>
      </w:r>
    </w:p>
    <w:p>
      <w:r>
        <w:t>A-05 is complementary to, not a replacement for, conventional spacecraft protection. Neutral micrometeoroids and many debris threats require physical shielding, spacing, sacrificial layers, avoidance maneuvers, or other established protection. The strongest architecture is layered: sensing and navigation + physical debris shielding + radiation/material protection + electromagnetic control for threat classes that actually couple to the field.</w:t>
      </w:r>
    </w:p>
    <w:p>
      <w:pPr>
        <w:pStyle w:val="Heading1"/>
      </w:pPr>
      <w:r>
        <w:t>19. Development Decision Gate</w:t>
      </w:r>
    </w:p>
    <w:p>
      <w:r>
        <w:t>After A05-10, advancement requires three demonstrated facts: (1) predictable spatial field shaping, (2) acceptable compatibility with the energy system, and (3) a quantitatively useful interaction with a defined threat surrogate. Without all three, the concept remains a field-control experiment rather than a spacecraft protection system.</w:t>
      </w:r>
    </w:p>
    <w:p>
      <w:pPr>
        <w:pStyle w:val="Heading1"/>
      </w:pPr>
      <w:r>
        <w:t>20. Final Integrated Architecture</w:t>
      </w:r>
    </w:p>
    <w:p>
      <w:r>
        <w:t>Primary field network → baseline B-field.</w:t>
      </w:r>
    </w:p>
    <w:p>
      <w:r>
        <w:t>Distributed EFRS-associated field nodes → localized ΔB and ∇B.</w:t>
      </w:r>
    </w:p>
    <w:p>
      <w:r>
        <w:t>Threat/environment sensors → predicted approach vector and field command.</w:t>
      </w:r>
    </w:p>
    <w:p>
      <w:r>
        <w:t>Field controller → node amplitude, polarity, timing, isolation, and thermal limits.</w:t>
      </w:r>
    </w:p>
    <w:p>
      <w:r>
        <w:t>EFRS/high-power buffer → conditioned electrical supply.</w:t>
      </w:r>
    </w:p>
    <w:p>
      <w:r>
        <w:t>Physical spacecraft shielding → protection for neutral/macroscopic debris and threat classes not controllable electromagnetically.</w:t>
      </w:r>
    </w:p>
    <w:p>
      <w:pPr>
        <w:pStyle w:val="Heading1"/>
      </w:pPr>
      <w:r>
        <w:t>21. Research Question</w:t>
      </w:r>
    </w:p>
    <w:p>
      <w:r>
        <w:t>Can a distributed network of independently controlled electromagnetic nodes, integrated safely with an EFRS spacecraft power architecture, reshape a larger magnetic field quickly and locally enough to provide measurable charged-particle trajectory control or other validated protective effects at a lower operational penalty than changing the entire ship-wide field?</w:t>
      </w:r>
    </w:p>
    <w:p>
      <w:pPr>
        <w:pStyle w:val="Heading1"/>
      </w:pPr>
      <w:r>
        <w:t>22. Conclusion</w:t>
      </w:r>
    </w:p>
    <w:p>
      <w:r>
        <w:t>A-05 converts the proposed red-main-field / green-distributed-battery-node geometry into a falsifiable field-control architecture. Its first milestone is intentionally narrower than a spacecraft shield: keep the central field fixed and prove that distributed nodes can move, reinforce, oppose, or localize measurable magnetic-field features.</w:t>
      </w:r>
    </w:p>
    <w:p>
      <w:r>
        <w:t>Only after that result survives field mapping, energy accounting, EMC testing, and charged-particle validation should the program use the word protection. The batteries provide the energy; the coils provide the field; the controller provides the geometry. Whether that geometry becomes useful protection is an experimental question—and therefore one worth asking.</w:t>
      </w:r>
    </w:p>
    <w:p>
      <w:pPr>
        <w:pStyle w:val="Heading1"/>
      </w:pPr>
      <w:r>
        <w:t>Appendix A — Relationship to Existing EFRS Addenda</w:t>
      </w:r>
    </w:p>
    <w:p>
      <w:pPr>
        <w:pStyle w:val="ListBullet"/>
      </w:pPr>
      <w:r>
        <w:t>Base EFRS: removable, independently monitored electrochemical cartridges and fault-tolerant power distribution remain unchanged.</w:t>
      </w:r>
    </w:p>
    <w:p>
      <w:pPr>
        <w:pStyle w:val="ListBullet"/>
      </w:pPr>
      <w:r>
        <w:t>A-01 TPV Recovery: energy recovery remains an auxiliary source; A-05 does not assume TPV can supply field power or increase stored energy.</w:t>
      </w:r>
    </w:p>
    <w:p>
      <w:pPr>
        <w:pStyle w:val="ListBullet"/>
      </w:pPr>
      <w:r>
        <w:t>A-03 SHADER-ALS: life-support and breathing-air systems remain process-isolated from energetic field hardware. Strong-field integration near occupied compartments is a separate later safety study.</w:t>
      </w:r>
    </w:p>
    <w:p>
      <w:pPr>
        <w:pStyle w:val="ListBullet"/>
      </w:pPr>
      <w:r>
        <w:t>Hybrid EFRS: high-power cartridges or buffers are candidate transient supplies for field nodes, subject to measured electrical and thermal limits.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Concept / Proof-of-Concept • Unvalidated Experimental Architecture • September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EFRS ADDENDUM A-05  |  DISTRIBUTED EM FIELD SHAPING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