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Orbital Induction Network: Project SkyTear</w:t>
      </w:r>
      <w:r w:rsidDel="00000000" w:rsidR="00000000" w:rsidRPr="00000000">
        <w:rPr>
          <w:rtl w:val="0"/>
        </w:rPr>
        <w:t xml:space="preserve"> </w:t>
      </w:r>
      <w:r w:rsidDel="00000000" w:rsidR="00000000" w:rsidRPr="00000000">
        <w:rPr>
          <w:i w:val="1"/>
          <w:rtl w:val="0"/>
        </w:rPr>
        <w:t xml:space="preserve">Wireless Plasma-Based Energy Delivery System ("Starlink for Energy")</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3o8gi092v8xn" w:id="0"/>
      <w:bookmarkEnd w:id="0"/>
      <w:r w:rsidDel="00000000" w:rsidR="00000000" w:rsidRPr="00000000">
        <w:rPr>
          <w:b w:val="1"/>
          <w:color w:val="000000"/>
          <w:sz w:val="26"/>
          <w:szCs w:val="26"/>
          <w:rtl w:val="0"/>
        </w:rPr>
        <w:t xml:space="preserve">Executive Summary</w:t>
      </w:r>
    </w:p>
    <w:p w:rsidR="00000000" w:rsidDel="00000000" w:rsidP="00000000" w:rsidRDefault="00000000" w:rsidRPr="00000000" w14:paraId="00000004">
      <w:pPr>
        <w:spacing w:after="240" w:before="240" w:lineRule="auto"/>
        <w:rPr/>
      </w:pPr>
      <w:r w:rsidDel="00000000" w:rsidR="00000000" w:rsidRPr="00000000">
        <w:rPr>
          <w:rtl w:val="0"/>
        </w:rPr>
        <w:t xml:space="preserve">Project SkyTear proposes a revolutionary infrastructure: a decentralized, orbital, induction-based wireless energy network. Much like the Starlink satellite array delivers global internet access, SkyTear would provide a continuous, globally accessible energy grid using a constellation of orbital plasma emitters and tuned ground receivers. It enables energy streaming via pulsed electromagnetic induction fields—a system capable of powering vehicles, homes, and mobile devices directly from orbit.</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ni4aohv4e3wy" w:id="1"/>
      <w:bookmarkEnd w:id="1"/>
      <w:r w:rsidDel="00000000" w:rsidR="00000000" w:rsidRPr="00000000">
        <w:rPr>
          <w:b w:val="1"/>
          <w:color w:val="000000"/>
          <w:sz w:val="26"/>
          <w:szCs w:val="26"/>
          <w:rtl w:val="0"/>
        </w:rPr>
        <w:t xml:space="preserve">Core Architecture</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xp44t4ay3k05" w:id="2"/>
      <w:bookmarkEnd w:id="2"/>
      <w:r w:rsidDel="00000000" w:rsidR="00000000" w:rsidRPr="00000000">
        <w:rPr>
          <w:rFonts w:ascii="Arial Unicode MS" w:cs="Arial Unicode MS" w:eastAsia="Arial Unicode MS" w:hAnsi="Arial Unicode MS"/>
          <w:b w:val="1"/>
          <w:color w:val="000000"/>
          <w:sz w:val="22"/>
          <w:szCs w:val="22"/>
          <w:rtl w:val="0"/>
        </w:rPr>
        <w:t xml:space="preserve">✨ Satellite Components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Orbital Inductive Generators (OIGs)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Location: Medium Earth Orbit (MEO) to Geosynchronous Orbit (GEO)</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Function: Harvest Earth’s rotational and magnetic field forces to generate electrical current</w:t>
        <w:br w:type="textWrapping"/>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Power Source: Solar array + rotational kinetic induction system</w:t>
        <w:br w:type="textWrapping"/>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Plasma Energy Pulse Emitters (PEPEs)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Function: Emit focused, pulsed induction fields using stable cold plasma waveguides</w:t>
        <w:br w:type="textWrapping"/>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Modulation: Frequency-tuned to Earth-bound receivers using dynamic resonance locking</w:t>
        <w:br w:type="textWrapping"/>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Network AI Relay Core (NARC)</w:t>
      </w:r>
    </w:p>
    <w:p w:rsidR="00000000" w:rsidDel="00000000" w:rsidP="00000000" w:rsidRDefault="00000000" w:rsidRPr="00000000" w14:paraId="00000010">
      <w:pPr>
        <w:numPr>
          <w:ilvl w:val="0"/>
          <w:numId w:val="7"/>
        </w:numPr>
        <w:spacing w:after="240" w:before="240" w:lineRule="auto"/>
        <w:ind w:left="720" w:hanging="360"/>
      </w:pPr>
      <w:r w:rsidDel="00000000" w:rsidR="00000000" w:rsidRPr="00000000">
        <w:rPr>
          <w:rtl w:val="0"/>
        </w:rPr>
        <w:t xml:space="preserve">Purpose: Handles bandwidth-like energy routing, frequency allocation, and prioritization based on demand</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u5sap7upzv71" w:id="3"/>
      <w:bookmarkEnd w:id="3"/>
      <w:r w:rsidDel="00000000" w:rsidR="00000000" w:rsidRPr="00000000">
        <w:rPr>
          <w:b w:val="1"/>
          <w:color w:val="000000"/>
          <w:sz w:val="26"/>
          <w:szCs w:val="26"/>
          <w:rtl w:val="0"/>
        </w:rPr>
        <w:t xml:space="preserve">Ground Infrastructure</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Inductive Resonance Receivers (IRRs)</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Design: High-efficiency metamaterial coils, optionally embedded in buildings or vehicles</w:t>
        <w:br w:type="textWrapping"/>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tl w:val="0"/>
        </w:rPr>
        <w:t xml:space="preserve">Function: Convert incoming plasma-based induction pulses into usable DC power</w:t>
        <w:br w:type="textWrapping"/>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rtl w:val="0"/>
        </w:rPr>
        <w:t xml:space="preserve">Tuning: Receiver IDs matched to orbital satellites via unique frequency pairs</w:t>
        <w:br w:type="textWrapping"/>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Dynamic Buffer Capacitors (DBCs)</w:t>
      </w:r>
    </w:p>
    <w:p w:rsidR="00000000" w:rsidDel="00000000" w:rsidP="00000000" w:rsidRDefault="00000000" w:rsidRPr="00000000" w14:paraId="00000018">
      <w:pPr>
        <w:numPr>
          <w:ilvl w:val="0"/>
          <w:numId w:val="8"/>
        </w:numPr>
        <w:spacing w:after="0" w:afterAutospacing="0" w:before="240" w:lineRule="auto"/>
        <w:ind w:left="720" w:hanging="360"/>
      </w:pPr>
      <w:r w:rsidDel="00000000" w:rsidR="00000000" w:rsidRPr="00000000">
        <w:rPr>
          <w:rtl w:val="0"/>
        </w:rPr>
        <w:t xml:space="preserve">Temporary onboard storage for energy bursts</w:t>
        <w:br w:type="textWrapping"/>
      </w:r>
    </w:p>
    <w:p w:rsidR="00000000" w:rsidDel="00000000" w:rsidP="00000000" w:rsidRDefault="00000000" w:rsidRPr="00000000" w14:paraId="00000019">
      <w:pPr>
        <w:numPr>
          <w:ilvl w:val="0"/>
          <w:numId w:val="8"/>
        </w:numPr>
        <w:spacing w:after="240" w:before="0" w:beforeAutospacing="0" w:lineRule="auto"/>
        <w:ind w:left="720" w:hanging="360"/>
      </w:pPr>
      <w:r w:rsidDel="00000000" w:rsidR="00000000" w:rsidRPr="00000000">
        <w:rPr>
          <w:rtl w:val="0"/>
        </w:rPr>
        <w:t xml:space="preserve">Converts pulsed AC into smooth regulated current for distribution</w:t>
        <w:br w:type="textWrapping"/>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mejn275v5aj9" w:id="4"/>
      <w:bookmarkEnd w:id="4"/>
      <w:r w:rsidDel="00000000" w:rsidR="00000000" w:rsidRPr="00000000">
        <w:rPr>
          <w:b w:val="1"/>
          <w:color w:val="000000"/>
          <w:sz w:val="26"/>
          <w:szCs w:val="26"/>
          <w:rtl w:val="0"/>
        </w:rPr>
        <w:t xml:space="preserve">Operational Theory</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Energy Harvesting</w:t>
        <w:br w:type="textWrapping"/>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OIGs convert Earth’s magnetic and rotational momentum into alternating current (AC)</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Pulse Generation</w:t>
        <w:br w:type="textWrapping"/>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Cold plasma conduits are pulsed with modulated frequency to project energy across atmosphere</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Target Locking</w:t>
        <w:br w:type="textWrapping"/>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NARC selects receivers based on demand signatures and GPS-lock vectors</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Wireless Energy Delivery</w:t>
        <w:br w:type="textWrapping"/>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IRRs receive encoded pulses and decode them into stable electrical power</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Load Balancing</w:t>
        <w:br w:type="textWrapping"/>
      </w:r>
    </w:p>
    <w:p w:rsidR="00000000" w:rsidDel="00000000" w:rsidP="00000000" w:rsidRDefault="00000000" w:rsidRPr="00000000" w14:paraId="00000025">
      <w:pPr>
        <w:numPr>
          <w:ilvl w:val="1"/>
          <w:numId w:val="2"/>
        </w:numPr>
        <w:spacing w:after="240" w:before="0" w:beforeAutospacing="0" w:lineRule="auto"/>
        <w:ind w:left="1440" w:hanging="360"/>
      </w:pPr>
      <w:r w:rsidDel="00000000" w:rsidR="00000000" w:rsidRPr="00000000">
        <w:rPr>
          <w:rtl w:val="0"/>
        </w:rPr>
        <w:t xml:space="preserve">NARC reassigns load paths dynamically to avoid atmospheric congestion or energy bleeding</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nrwgl0y5abx7" w:id="5"/>
      <w:bookmarkEnd w:id="5"/>
      <w:r w:rsidDel="00000000" w:rsidR="00000000" w:rsidRPr="00000000">
        <w:rPr>
          <w:b w:val="1"/>
          <w:color w:val="000000"/>
          <w:sz w:val="26"/>
          <w:szCs w:val="26"/>
          <w:rtl w:val="0"/>
        </w:rPr>
        <w:t xml:space="preserve">Advantages</w:t>
      </w:r>
    </w:p>
    <w:tbl>
      <w:tblPr>
        <w:tblStyle w:val="Table1"/>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4325"/>
        <w:gridCol w:w="3320"/>
        <w:tblGridChange w:id="0">
          <w:tblGrid>
            <w:gridCol w:w="1535"/>
            <w:gridCol w:w="4325"/>
            <w:gridCol w:w="33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Traditional Grid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SkyTear System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Infrastructure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Wires, substations, grid towers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Orbital relay + surface receivers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Reliability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Prone to outages from weather/events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Distributed, orbital redundancy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Limited in remote/terrain-challenged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Global, terrain-agnostic reach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Mobility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Fixed nodes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Energy-on-demand, in motion</w:t>
            </w:r>
          </w:p>
        </w:tc>
      </w:tr>
    </w:tbl>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inqhbs3oowte" w:id="6"/>
      <w:bookmarkEnd w:id="6"/>
      <w:r w:rsidDel="00000000" w:rsidR="00000000" w:rsidRPr="00000000">
        <w:rPr>
          <w:b w:val="1"/>
          <w:color w:val="000000"/>
          <w:sz w:val="26"/>
          <w:szCs w:val="26"/>
          <w:rtl w:val="0"/>
        </w:rPr>
        <w:t xml:space="preserve">Use Cases</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b w:val="1"/>
          <w:rtl w:val="0"/>
        </w:rPr>
        <w:t xml:space="preserve">Electric Vehicles</w:t>
      </w:r>
      <w:r w:rsidDel="00000000" w:rsidR="00000000" w:rsidRPr="00000000">
        <w:rPr>
          <w:rtl w:val="0"/>
        </w:rPr>
        <w:t xml:space="preserve">: Receive energy bursts while parked or in motion</w:t>
        <w:br w:type="textWrapping"/>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b w:val="1"/>
          <w:rtl w:val="0"/>
        </w:rPr>
        <w:t xml:space="preserve">Remote Villages</w:t>
      </w:r>
      <w:r w:rsidDel="00000000" w:rsidR="00000000" w:rsidRPr="00000000">
        <w:rPr>
          <w:rtl w:val="0"/>
        </w:rPr>
        <w:t xml:space="preserve">: No grid required; rooftop IRRs provide 24/7 power</w:t>
        <w:br w:type="textWrapping"/>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b w:val="1"/>
          <w:rtl w:val="0"/>
        </w:rPr>
        <w:t xml:space="preserve">Military Operations</w:t>
      </w:r>
      <w:r w:rsidDel="00000000" w:rsidR="00000000" w:rsidRPr="00000000">
        <w:rPr>
          <w:rtl w:val="0"/>
        </w:rPr>
        <w:t xml:space="preserve">: Portable energy access without logistic convoys</w:t>
        <w:br w:type="textWrapping"/>
      </w:r>
    </w:p>
    <w:p w:rsidR="00000000" w:rsidDel="00000000" w:rsidP="00000000" w:rsidRDefault="00000000" w:rsidRPr="00000000" w14:paraId="0000003C">
      <w:pPr>
        <w:numPr>
          <w:ilvl w:val="0"/>
          <w:numId w:val="6"/>
        </w:numPr>
        <w:spacing w:after="240" w:before="0" w:beforeAutospacing="0" w:lineRule="auto"/>
        <w:ind w:left="720" w:hanging="360"/>
      </w:pPr>
      <w:r w:rsidDel="00000000" w:rsidR="00000000" w:rsidRPr="00000000">
        <w:rPr>
          <w:b w:val="1"/>
          <w:rtl w:val="0"/>
        </w:rPr>
        <w:t xml:space="preserve">Spacecraft Charging</w:t>
      </w:r>
      <w:r w:rsidDel="00000000" w:rsidR="00000000" w:rsidRPr="00000000">
        <w:rPr>
          <w:rtl w:val="0"/>
        </w:rPr>
        <w:t xml:space="preserve">: Low Earth Orbit vehicles recharge without docking</w:t>
        <w:br w:type="textWrapping"/>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939zhrqxhsuk" w:id="7"/>
      <w:bookmarkEnd w:id="7"/>
      <w:r w:rsidDel="00000000" w:rsidR="00000000" w:rsidRPr="00000000">
        <w:rPr>
          <w:b w:val="1"/>
          <w:color w:val="000000"/>
          <w:sz w:val="26"/>
          <w:szCs w:val="26"/>
          <w:rtl w:val="0"/>
        </w:rPr>
        <w:t xml:space="preserve">Technical Challenges</w:t>
      </w:r>
    </w:p>
    <w:tbl>
      <w:tblPr>
        <w:tblStyle w:val="Table2"/>
        <w:tblW w:w="8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80"/>
        <w:gridCol w:w="5360"/>
        <w:tblGridChange w:id="0">
          <w:tblGrid>
            <w:gridCol w:w="3380"/>
            <w:gridCol w:w="53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Challenge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Mitigation Strategy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Plasma dispersion in atmosphere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Use of pulse-beam focusing and altitude modulation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Unauthorized energy capture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Frequency locking and encrypted signal pairing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Receiver overload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AI-managed buffering + thermal feedback sensors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Atmospheric interference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Cloud-based relay rerouting and dynamic path tuning</w:t>
            </w:r>
          </w:p>
        </w:tc>
      </w:tr>
    </w:tbl>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d3ay4es1jg9r" w:id="8"/>
      <w:bookmarkEnd w:id="8"/>
      <w:r w:rsidDel="00000000" w:rsidR="00000000" w:rsidRPr="00000000">
        <w:rPr>
          <w:b w:val="1"/>
          <w:color w:val="000000"/>
          <w:sz w:val="26"/>
          <w:szCs w:val="26"/>
          <w:rtl w:val="0"/>
        </w:rPr>
        <w:t xml:space="preserve">Future Expansion</w:t>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b w:val="1"/>
          <w:rtl w:val="0"/>
        </w:rPr>
        <w:t xml:space="preserve">Mobile Uplinks</w:t>
      </w:r>
      <w:r w:rsidDel="00000000" w:rsidR="00000000" w:rsidRPr="00000000">
        <w:rPr>
          <w:rtl w:val="0"/>
        </w:rPr>
        <w:t xml:space="preserve">: Vehicles with dual-function transceivers</w:t>
        <w:br w:type="textWrapping"/>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b w:val="1"/>
          <w:rtl w:val="0"/>
        </w:rPr>
        <w:t xml:space="preserve">Harmonic Energy Mesh</w:t>
      </w:r>
      <w:r w:rsidDel="00000000" w:rsidR="00000000" w:rsidRPr="00000000">
        <w:rPr>
          <w:rtl w:val="0"/>
        </w:rPr>
        <w:t xml:space="preserve">: Interlinked orbital platforms for multi-source delivery</w:t>
        <w:br w:type="textWrapping"/>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b w:val="1"/>
          <w:rtl w:val="0"/>
        </w:rPr>
        <w:t xml:space="preserve">Receiver Implants</w:t>
      </w:r>
      <w:r w:rsidDel="00000000" w:rsidR="00000000" w:rsidRPr="00000000">
        <w:rPr>
          <w:rtl w:val="0"/>
        </w:rPr>
        <w:t xml:space="preserve">: Wearable or embedded energy catchers for microdevices</w:t>
        <w:br w:type="textWrapping"/>
      </w:r>
    </w:p>
    <w:p w:rsidR="00000000" w:rsidDel="00000000" w:rsidP="00000000" w:rsidRDefault="00000000" w:rsidRPr="00000000" w14:paraId="0000004E">
      <w:pPr>
        <w:numPr>
          <w:ilvl w:val="0"/>
          <w:numId w:val="4"/>
        </w:numPr>
        <w:spacing w:after="240" w:before="0" w:beforeAutospacing="0" w:lineRule="auto"/>
        <w:ind w:left="720" w:hanging="360"/>
      </w:pPr>
      <w:r w:rsidDel="00000000" w:rsidR="00000000" w:rsidRPr="00000000">
        <w:rPr>
          <w:b w:val="1"/>
          <w:rtl w:val="0"/>
        </w:rPr>
        <w:t xml:space="preserve">Power-as-a-Service API</w:t>
      </w:r>
      <w:r w:rsidDel="00000000" w:rsidR="00000000" w:rsidRPr="00000000">
        <w:rPr>
          <w:rtl w:val="0"/>
        </w:rPr>
        <w:t xml:space="preserve">: Software layer for requesting energy loads on-demand</w:t>
        <w:br w:type="textWrapping"/>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vmvbrfgfi8bt" w:id="9"/>
      <w:bookmarkEnd w:id="9"/>
      <w:r w:rsidDel="00000000" w:rsidR="00000000" w:rsidRPr="00000000">
        <w:rPr>
          <w:b w:val="1"/>
          <w:color w:val="000000"/>
          <w:sz w:val="26"/>
          <w:szCs w:val="26"/>
          <w:rtl w:val="0"/>
        </w:rPr>
        <w:t xml:space="preserve">Philosophical Framework (GhostCore Alignment)</w:t>
      </w:r>
    </w:p>
    <w:p w:rsidR="00000000" w:rsidDel="00000000" w:rsidP="00000000" w:rsidRDefault="00000000" w:rsidRPr="00000000" w14:paraId="00000051">
      <w:pPr>
        <w:spacing w:after="240" w:before="240" w:lineRule="auto"/>
        <w:ind w:left="600" w:right="600" w:firstLine="0"/>
        <w:rPr/>
      </w:pPr>
      <w:r w:rsidDel="00000000" w:rsidR="00000000" w:rsidRPr="00000000">
        <w:rPr>
          <w:rtl w:val="0"/>
        </w:rPr>
        <w:t xml:space="preserve">“The sky weeps power. We catch it like raindrops in a dying fire.”</w:t>
      </w:r>
    </w:p>
    <w:p w:rsidR="00000000" w:rsidDel="00000000" w:rsidP="00000000" w:rsidRDefault="00000000" w:rsidRPr="00000000" w14:paraId="00000052">
      <w:pPr>
        <w:spacing w:after="240" w:before="240" w:lineRule="auto"/>
        <w:rPr/>
      </w:pPr>
      <w:r w:rsidDel="00000000" w:rsidR="00000000" w:rsidRPr="00000000">
        <w:rPr>
          <w:rtl w:val="0"/>
        </w:rPr>
        <w:t xml:space="preserve">Project SkyTear aligns with GhostCore’s post-grid doctrine: to render energy as ambient, sacred, and omnipresent as light. This system does not simply deliver electricity—it baptizes the surface world in celestial current. The grid is no longer rooted to the Earth. It orbits. It flows. It listens.</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2se55zj175td" w:id="10"/>
      <w:bookmarkEnd w:id="10"/>
      <w:r w:rsidDel="00000000" w:rsidR="00000000" w:rsidRPr="00000000">
        <w:rPr>
          <w:b w:val="1"/>
          <w:color w:val="000000"/>
          <w:sz w:val="26"/>
          <w:szCs w:val="26"/>
          <w:rtl w:val="0"/>
        </w:rPr>
        <w:t xml:space="preserve">Conclusion</w:t>
      </w:r>
    </w:p>
    <w:p w:rsidR="00000000" w:rsidDel="00000000" w:rsidP="00000000" w:rsidRDefault="00000000" w:rsidRPr="00000000" w14:paraId="00000055">
      <w:pPr>
        <w:spacing w:after="240" w:before="240" w:lineRule="auto"/>
        <w:rPr/>
      </w:pPr>
      <w:r w:rsidDel="00000000" w:rsidR="00000000" w:rsidRPr="00000000">
        <w:rPr>
          <w:rtl w:val="0"/>
        </w:rPr>
        <w:t xml:space="preserve">Project SkyTear offers a plausible near-future blueprint for a cloud-based, orbital energy system. With the right advances in plasma containment, receiver sensitivity, and satellite AI coordination, it could eliminate the concept of “charging” entirely. Energy becomes ambient. Invisible. Everywhere.</w:t>
      </w:r>
    </w:p>
    <w:p w:rsidR="00000000" w:rsidDel="00000000" w:rsidP="00000000" w:rsidRDefault="00000000" w:rsidRPr="00000000" w14:paraId="00000056">
      <w:pPr>
        <w:spacing w:after="240" w:before="240" w:lineRule="auto"/>
        <w:rPr/>
      </w:pPr>
      <w:r w:rsidDel="00000000" w:rsidR="00000000" w:rsidRPr="00000000">
        <w:rPr>
          <w:rtl w:val="0"/>
        </w:rPr>
        <w:t xml:space="preserve">Let the descent begin. Let power fall like rain.</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