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Heaven Trust Fall</w:t>
      </w:r>
    </w:p>
    <w:p>
      <w:pPr>
        <w:pStyle w:val="Subtitle"/>
        <w:jc w:val="center"/>
      </w:pPr>
      <w:r>
        <w:rPr>
          <w:b/>
        </w:rPr>
        <w:t>Proof-of-Concept White Paper</w:t>
        <w:br/>
      </w:r>
      <w:r>
        <w:t>A unified shipboard backbone for internal transit, superconducting power delivery, high-speed data transfer, and synchronization control</w:t>
      </w:r>
    </w:p>
    <w:p>
      <w:pPr>
        <w:jc w:val="center"/>
      </w:pPr>
      <w:r>
        <w:rPr>
          <w:i/>
          <w:color w:val="64748B"/>
          <w:sz w:val="19"/>
        </w:rPr>
        <w:br/>
        <w:t>GhostCore Systems Archive · Halo / Mercy / SkyTear Integrated Infrastructure Series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vAlign w:val="center"/>
            <w:tcMar>
              <w:top w:w="80" w:type="dxa"/>
              <w:start w:w="90" w:type="dxa"/>
              <w:bottom w:w="80" w:type="dxa"/>
              <w:end w:w="90" w:type="dxa"/>
            </w:tcMar>
          </w:tcPr>
          <w:p>
            <w:r>
              <w:rPr>
                <w:b/>
                <w:sz w:val="19"/>
              </w:rPr>
              <w:t>System Role</w:t>
            </w:r>
          </w:p>
        </w:tc>
        <w:tc>
          <w:tcPr>
            <w:tcW w:type="dxa" w:w="3312"/>
            <w:shd w:fill="DCE6F1"/>
            <w:vAlign w:val="center"/>
            <w:tcMar>
              <w:top w:w="80" w:type="dxa"/>
              <w:start w:w="90" w:type="dxa"/>
              <w:bottom w:w="80" w:type="dxa"/>
              <w:end w:w="90" w:type="dxa"/>
            </w:tcMar>
          </w:tcPr>
          <w:p>
            <w:r>
              <w:rPr>
                <w:b/>
                <w:sz w:val="19"/>
              </w:rPr>
              <w:t>Core Technologies</w:t>
            </w:r>
          </w:p>
        </w:tc>
        <w:tc>
          <w:tcPr>
            <w:tcW w:type="dxa" w:w="3312"/>
            <w:shd w:fill="DCE6F1"/>
            <w:vAlign w:val="center"/>
            <w:tcMar>
              <w:top w:w="80" w:type="dxa"/>
              <w:start w:w="90" w:type="dxa"/>
              <w:bottom w:w="80" w:type="dxa"/>
              <w:end w:w="90" w:type="dxa"/>
            </w:tcMar>
          </w:tcPr>
          <w:p>
            <w:r>
              <w:rPr>
                <w:b/>
                <w:sz w:val="19"/>
              </w:rPr>
              <w:t>Primary Deliverables</w:t>
            </w:r>
          </w:p>
        </w:tc>
      </w:tr>
      <w:tr>
        <w:tc>
          <w:tcPr>
            <w:tcW w:type="dxa" w:w="3312"/>
            <w:vAlign w:val="center"/>
            <w:tcMar>
              <w:top w:w="80" w:type="dxa"/>
              <w:start w:w="90" w:type="dxa"/>
              <w:bottom w:w="80" w:type="dxa"/>
              <w:end w:w="90" w:type="dxa"/>
            </w:tcMar>
          </w:tcPr>
          <w:p>
            <w:r>
              <w:rPr>
                <w:sz w:val="19"/>
              </w:rPr>
              <w:t>Shipwide utility and mobility spine</w:t>
            </w:r>
          </w:p>
        </w:tc>
        <w:tc>
          <w:tcPr>
            <w:tcW w:type="dxa" w:w="3312"/>
            <w:vAlign w:val="center"/>
            <w:tcMar>
              <w:top w:w="80" w:type="dxa"/>
              <w:start w:w="90" w:type="dxa"/>
              <w:bottom w:w="80" w:type="dxa"/>
              <w:end w:w="90" w:type="dxa"/>
            </w:tcMar>
          </w:tcPr>
          <w:p>
            <w:r>
              <w:rPr>
                <w:sz w:val="19"/>
              </w:rPr>
              <w:t>Superconducting guideway, optical data fabric, inductive couplers, Mercy-style sync control</w:t>
            </w:r>
          </w:p>
        </w:tc>
        <w:tc>
          <w:tcPr>
            <w:tcW w:type="dxa" w:w="3312"/>
            <w:vAlign w:val="center"/>
            <w:tcMar>
              <w:top w:w="80" w:type="dxa"/>
              <w:start w:w="90" w:type="dxa"/>
              <w:bottom w:w="80" w:type="dxa"/>
              <w:end w:w="90" w:type="dxa"/>
            </w:tcMar>
          </w:tcPr>
          <w:p>
            <w:r>
              <w:rPr>
                <w:sz w:val="19"/>
              </w:rPr>
              <w:t>People/cargo transit, low-loss power, high-speed data, synchronized field handoff</w:t>
            </w:r>
          </w:p>
        </w:tc>
      </w:tr>
    </w:tbl>
    <w:p/>
    <w:tbl>
      <w:tblPr>
        <w:tblStyle w:val="TableGrid"/>
        <w:tblW w:type="auto" w:w="0"/>
        <w:tblLook w:firstColumn="1" w:firstRow="1" w:lastColumn="0" w:lastRow="0" w:noHBand="0" w:noVBand="1" w:val="04A0"/>
      </w:tblPr>
      <w:tblGrid>
        <w:gridCol w:w="9936"/>
      </w:tblGrid>
      <w:tr>
        <w:tc>
          <w:tcPr>
            <w:tcW w:type="dxa" w:w="9936"/>
            <w:shd w:fill="F8FAFC"/>
            <w:tcMar>
              <w:top w:w="140" w:type="dxa"/>
              <w:start w:w="140" w:type="dxa"/>
              <w:bottom w:w="140" w:type="dxa"/>
              <w:end w:w="140" w:type="dxa"/>
            </w:tcMar>
          </w:tcPr>
          <w:p>
            <w:r>
              <w:rPr>
                <w:b/>
                <w:sz w:val="20"/>
              </w:rPr>
              <w:t>Executive Summary</w:t>
              <w:br/>
            </w:r>
            <w:r>
              <w:rPr>
                <w:sz w:val="20"/>
              </w:rPr>
              <w:t>Heaven Trust Fall proposes a single shipboard corridor architecture that carries four functions at once: internal transport, low-loss power distribution, high-speed data transfer, and synchronized timing/control. The concept extends Halo Transit Spine beyond mobility and combines it with Mercy-style phase management and SkyTear-style coordinated routing. Rather than asking one unstable carrier to do everything, the design uses a shared backbone with split layers: a superconducting trunk for bulk power, a photonic or shielded high-bandwidth data line for communications, and local inductive/resonant couplers for non-contact handoff to pods, tools, cargo nodes, and service bays.</w:t>
            </w:r>
          </w:p>
        </w:tc>
      </w:tr>
    </w:tbl>
    <w:p>
      <w:pPr>
        <w:pStyle w:val="Heading1"/>
        <w:spacing w:before="160" w:after="40"/>
      </w:pPr>
      <w:r>
        <w:t>1. Concept and Intent</w:t>
      </w:r>
    </w:p>
    <w:p>
      <w:pPr>
        <w:spacing w:after="120" w:line="269" w:lineRule="auto"/>
      </w:pPr>
      <w:r>
        <w:t xml:space="preserve">Heaven Trust Fall is intended as a spacecraft-scale infrastructure spine rather than a standalone propulsion device. </w:t>
        <w:br/>
        <w:t>The system uses a managed guideway corridor running through major habitable and service sections of a vessel. Along that corridor, the same structural path supports movement of transit pods, delivery of electrical energy, routing of data, and synchronized control timing. The design goal is to reduce mass, simplify maintenance, and replace disconnected subsystem wiring with a coherent utility nervous system.</w:t>
      </w:r>
    </w:p>
    <w:p>
      <w:pPr>
        <w:pStyle w:val="Heading1"/>
        <w:spacing w:before="160" w:after="40"/>
      </w:pPr>
      <w:r>
        <w:t>2. System Architecture</w:t>
      </w:r>
    </w:p>
    <w:p>
      <w:pPr>
        <w:spacing w:after="120" w:line="269" w:lineRule="auto"/>
      </w:pPr>
      <w:r>
        <w:t>The architecture is organized as four coordinated layers. The Halo layer provides the guideway and transit path for people, cargo pallets, medevac capsules, and maintenance pods. The Trust layer provides the superconducting power bus and cryogenic enclosure. The Fall layer provides high-speed optical or tightly shielded electromagnetic data channels. The Mercy sync layer sits above all three, coordinating timing, segment handoff, dock alignment, fault isolation, and priority routing. In operation, one corridor carries mobility, energy, and information without requiring each function to share the same raw carrier physics.</w:t>
      </w:r>
    </w:p>
    <w:p>
      <w:pPr>
        <w:pStyle w:val="Heading1"/>
        <w:spacing w:before="160" w:after="40"/>
      </w:pPr>
      <w:r>
        <w:t>3. Functional Modules</w:t>
      </w:r>
    </w:p>
    <w:p>
      <w:pPr>
        <w:spacing w:after="120" w:line="269" w:lineRule="auto"/>
      </w:pPr>
      <w:r>
        <w:t>Guideway segments are divided into short, independently isolated blocks so a failure in one section does not collapse the entire backbone. Each segment contains field-control coils, health sensors, quench monitoring, thermal taps, and alignment references. Dock nodes act as local transfer stations where pods can stop, receive power, exchange data, and enter or leave branch corridors. Utility repeaters provide load balancing, packet timing, and coupler regulation. Transit pods can draw power without exposed high-wear contacts and can maintain continuous telemetry while moving through the network.</w:t>
      </w:r>
    </w:p>
    <w:p>
      <w:pPr>
        <w:pStyle w:val="Heading1"/>
        <w:spacing w:before="160" w:after="40"/>
      </w:pPr>
      <w:r>
        <w:t>4. Power Delivery Model</w:t>
      </w:r>
    </w:p>
    <w:p>
      <w:pPr>
        <w:spacing w:after="120" w:line="269" w:lineRule="auto"/>
      </w:pPr>
      <w:r>
        <w:t>Bulk ship power is delivered through a superconducting trunk line housed within or adjacent to the guideway assembly. Local nodes do not tap directly into the high-capacity trunk without conditioning. Instead, power is handed off through staged converters and inductive or resonant couplers designed for the load class of the receiving device. Critical systems such as life support nodes, medical stations, and emergency shelters receive dual-fed redundancy. This model reduces resistive losses, improves isolation, and makes utility routing more deterministic under damage-control conditions.</w:t>
      </w:r>
    </w:p>
    <w:p>
      <w:pPr>
        <w:pStyle w:val="Heading1"/>
        <w:spacing w:before="160" w:after="40"/>
      </w:pPr>
      <w:r>
        <w:t>5. Data and Synchronization Model</w:t>
      </w:r>
    </w:p>
    <w:p>
      <w:pPr>
        <w:spacing w:after="120" w:line="269" w:lineRule="auto"/>
      </w:pPr>
      <w:r>
        <w:t>High-speed data transfer is treated as a first-class system, not an afterthought attached to the power bus. The preferred implementation is a photonic backbone running parallel to the superconducting corridor, with local optical-electrical conversion at segment controllers and dock nodes. Where appropriate, shielded short-range coupling can support local data handoff to pods and mobile units. The Mercy synchronization layer maintains timing discipline across transit control, power switching, diagnostics, and security. In practical terms, the ship behaves less like a cluster of disconnected circuits and more like a timed nervous system.</w:t>
      </w:r>
    </w:p>
    <w:p>
      <w:pPr>
        <w:pStyle w:val="Heading1"/>
        <w:spacing w:before="160" w:after="40"/>
      </w:pPr>
      <w:r>
        <w:t>6. Safety Envelope and Risk Controls</w:t>
      </w:r>
    </w:p>
    <w:p>
      <w:pPr>
        <w:spacing w:after="120" w:line="269" w:lineRule="auto"/>
      </w:pPr>
      <w:r>
        <w:t>The system is designed around graceful degradation rather than perfect invulnerability. Quench protection, segment isolation, passive braking for transit pods, thermal shields, magnetic exposure limits, and emergency egress points are mandatory. No single control node is trusted to maintain the whole corridor. If a segment controller fails, neighboring zones default to safe spacing and local freeze states. If the power layer becomes unstable, the transit layer can still brake and hold position. If the data layer degrades, the corridor can continue in reduced local-control mode. The central promise is not zero risk; it is precision, redundancy, and survivability.</w:t>
      </w:r>
    </w:p>
    <w:p>
      <w:pPr>
        <w:pStyle w:val="Heading1"/>
        <w:spacing w:before="160" w:after="40"/>
      </w:pPr>
      <w:r>
        <w:t>7. Bench-Scale PoC Path</w:t>
      </w:r>
    </w:p>
    <w:p>
      <w:pPr>
        <w:spacing w:after="120" w:line="269" w:lineRule="auto"/>
      </w:pPr>
      <w:r>
        <w:t>Phase 1 should validate precise levitation or guided movement along a short segmented track using small test pods. Phase 2 should add non-contact power handoff at a docking station and measure stability under repeated coupling cycles. Phase 3 should run a parallel high-speed data line through the same assembly and verify that transit, power, and communications can coexist without destructive interference. Phase 4 should add a synchronization controller that orchestrates multi-segment handoff, fault injection, and priority rerouting. Success criteria include stable pod motion, low-loss transfer, deterministic handoff, and recoverable failure states.</w:t>
      </w:r>
    </w:p>
    <w:p>
      <w:pPr>
        <w:pStyle w:val="Heading1"/>
        <w:spacing w:before="160" w:after="40"/>
      </w:pPr>
      <w:r>
        <w:t>8. Candidate Use Cases</w:t>
      </w:r>
    </w:p>
    <w:p>
      <w:pPr>
        <w:spacing w:after="120" w:line="269" w:lineRule="auto"/>
      </w:pPr>
      <w:r>
        <w:t>Within a large spacecraft, Heaven Trust Fall could move crew between habitats, deliver cargo from fabrication decks to launch bays, power distributed sensor clusters, maintain high-bandwidth backbone connectivity, and support emergency medical transfer under reduced gravity or combat damage conditions. The same architecture can also serve shipyards, orbital habitats, deep-space logistics depots, and lunar subsurface installations where controlled corridors justify fixed infrastructure.</w:t>
      </w:r>
    </w:p>
    <w:p>
      <w:pPr>
        <w:pStyle w:val="Heading1"/>
        <w:spacing w:before="160" w:after="40"/>
      </w:pPr>
      <w:r>
        <w:t>9. Engineering Boundary</w:t>
      </w:r>
    </w:p>
    <w:p>
      <w:pPr>
        <w:spacing w:after="120" w:line="269" w:lineRule="auto"/>
      </w:pPr>
      <w:r>
        <w:t>This concept is much more credible as internal infrastructure than as reactionless propulsion. The PoC should therefore be framed as a systems-integration and ship services project, with measurable outputs in efficiency, controllability, fault tolerance, and maintainability. Exotic narrative language can coexist with the paper, but validation must stay attached to observable engineering behavior.</w:t>
      </w:r>
    </w:p>
    <w:p>
      <w:pPr>
        <w:pStyle w:val="Heading1"/>
        <w:spacing w:before="160" w:after="40"/>
      </w:pPr>
      <w:r>
        <w:t>10. Conclusion</w:t>
      </w:r>
    </w:p>
    <w:p>
      <w:pPr>
        <w:spacing w:after="120" w:line="269" w:lineRule="auto"/>
      </w:pPr>
      <w:r>
        <w:t>Heaven Trust Fall unifies movement, energy, and signal into one coordinated shipboard backbone. Halo moves bodies and cargo. SkyTear-style routing moves power and signal. Mercy keeps timing, handoff, and field behavior coherent. The result is a practical speculative architecture for a future vessel that wants fewer separate systems and a stronger internal nervous spine.</w:t>
      </w:r>
    </w:p>
    <w:p>
      <w:pPr>
        <w:pStyle w:val="Heading1"/>
      </w:pPr>
      <w:r>
        <w:t>Appendix A. Layer Mapping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AF2F8"/>
          </w:tcPr>
          <w:p>
            <w:r>
              <w:rPr>
                <w:b/>
                <w:sz w:val="19"/>
              </w:rPr>
              <w:t>Layer</w:t>
            </w:r>
          </w:p>
        </w:tc>
        <w:tc>
          <w:tcPr>
            <w:tcW w:type="dxa" w:w="2484"/>
            <w:shd w:fill="EAF2F8"/>
          </w:tcPr>
          <w:p>
            <w:r>
              <w:rPr>
                <w:b/>
                <w:sz w:val="19"/>
              </w:rPr>
              <w:t>Primary Function</w:t>
            </w:r>
          </w:p>
        </w:tc>
        <w:tc>
          <w:tcPr>
            <w:tcW w:type="dxa" w:w="2484"/>
            <w:shd w:fill="EAF2F8"/>
          </w:tcPr>
          <w:p>
            <w:r>
              <w:rPr>
                <w:b/>
                <w:sz w:val="19"/>
              </w:rPr>
              <w:t>Physical Medium</w:t>
            </w:r>
          </w:p>
        </w:tc>
        <w:tc>
          <w:tcPr>
            <w:tcW w:type="dxa" w:w="2484"/>
            <w:shd w:fill="EAF2F8"/>
          </w:tcPr>
          <w:p>
            <w:r>
              <w:rPr>
                <w:b/>
                <w:sz w:val="19"/>
              </w:rPr>
              <w:t>Notes</w:t>
            </w:r>
          </w:p>
        </w:tc>
      </w:tr>
      <w:tr>
        <w:tc>
          <w:tcPr>
            <w:tcW w:type="dxa" w:w="2484"/>
            <w:tcMar>
              <w:top w:w="80" w:type="dxa"/>
              <w:start w:w="90" w:type="dxa"/>
              <w:bottom w:w="80" w:type="dxa"/>
              <w:end w:w="90" w:type="dxa"/>
            </w:tcMar>
          </w:tcPr>
          <w:p>
            <w:r>
              <w:rPr>
                <w:sz w:val="18"/>
              </w:rPr>
              <w:t>Halo</w:t>
            </w:r>
          </w:p>
        </w:tc>
        <w:tc>
          <w:tcPr>
            <w:tcW w:type="dxa" w:w="2484"/>
            <w:tcMar>
              <w:top w:w="80" w:type="dxa"/>
              <w:start w:w="90" w:type="dxa"/>
              <w:bottom w:w="80" w:type="dxa"/>
              <w:end w:w="90" w:type="dxa"/>
            </w:tcMar>
          </w:tcPr>
          <w:p>
            <w:r>
              <w:rPr>
                <w:sz w:val="18"/>
              </w:rPr>
              <w:t>Transit and pod motion</w:t>
            </w:r>
          </w:p>
        </w:tc>
        <w:tc>
          <w:tcPr>
            <w:tcW w:type="dxa" w:w="2484"/>
            <w:tcMar>
              <w:top w:w="80" w:type="dxa"/>
              <w:start w:w="90" w:type="dxa"/>
              <w:bottom w:w="80" w:type="dxa"/>
              <w:end w:w="90" w:type="dxa"/>
            </w:tcMar>
          </w:tcPr>
          <w:p>
            <w:r>
              <w:rPr>
                <w:sz w:val="18"/>
              </w:rPr>
              <w:t>Guideway + field coils</w:t>
            </w:r>
          </w:p>
        </w:tc>
        <w:tc>
          <w:tcPr>
            <w:tcW w:type="dxa" w:w="2484"/>
            <w:tcMar>
              <w:top w:w="80" w:type="dxa"/>
              <w:start w:w="90" w:type="dxa"/>
              <w:bottom w:w="80" w:type="dxa"/>
              <w:end w:w="90" w:type="dxa"/>
            </w:tcMar>
          </w:tcPr>
          <w:p>
            <w:r>
              <w:rPr>
                <w:sz w:val="18"/>
              </w:rPr>
              <w:t>People, cargo, medevac, service movement</w:t>
            </w:r>
          </w:p>
        </w:tc>
      </w:tr>
      <w:tr>
        <w:tc>
          <w:tcPr>
            <w:tcW w:type="dxa" w:w="2484"/>
            <w:tcMar>
              <w:top w:w="80" w:type="dxa"/>
              <w:start w:w="90" w:type="dxa"/>
              <w:bottom w:w="80" w:type="dxa"/>
              <w:end w:w="90" w:type="dxa"/>
            </w:tcMar>
          </w:tcPr>
          <w:p>
            <w:r>
              <w:rPr>
                <w:sz w:val="18"/>
              </w:rPr>
              <w:t>Trust</w:t>
            </w:r>
          </w:p>
        </w:tc>
        <w:tc>
          <w:tcPr>
            <w:tcW w:type="dxa" w:w="2484"/>
            <w:tcMar>
              <w:top w:w="80" w:type="dxa"/>
              <w:start w:w="90" w:type="dxa"/>
              <w:bottom w:w="80" w:type="dxa"/>
              <w:end w:w="90" w:type="dxa"/>
            </w:tcMar>
          </w:tcPr>
          <w:p>
            <w:r>
              <w:rPr>
                <w:sz w:val="18"/>
              </w:rPr>
              <w:t>Bulk power delivery</w:t>
            </w:r>
          </w:p>
        </w:tc>
        <w:tc>
          <w:tcPr>
            <w:tcW w:type="dxa" w:w="2484"/>
            <w:tcMar>
              <w:top w:w="80" w:type="dxa"/>
              <w:start w:w="90" w:type="dxa"/>
              <w:bottom w:w="80" w:type="dxa"/>
              <w:end w:w="90" w:type="dxa"/>
            </w:tcMar>
          </w:tcPr>
          <w:p>
            <w:r>
              <w:rPr>
                <w:sz w:val="18"/>
              </w:rPr>
              <w:t>Superconducting trunk</w:t>
            </w:r>
          </w:p>
        </w:tc>
        <w:tc>
          <w:tcPr>
            <w:tcW w:type="dxa" w:w="2484"/>
            <w:tcMar>
              <w:top w:w="80" w:type="dxa"/>
              <w:start w:w="90" w:type="dxa"/>
              <w:bottom w:w="80" w:type="dxa"/>
              <w:end w:w="90" w:type="dxa"/>
            </w:tcMar>
          </w:tcPr>
          <w:p>
            <w:r>
              <w:rPr>
                <w:sz w:val="18"/>
              </w:rPr>
              <w:t>Low-loss shipwide energy bus</w:t>
            </w:r>
          </w:p>
        </w:tc>
      </w:tr>
      <w:tr>
        <w:tc>
          <w:tcPr>
            <w:tcW w:type="dxa" w:w="2484"/>
            <w:tcMar>
              <w:top w:w="80" w:type="dxa"/>
              <w:start w:w="90" w:type="dxa"/>
              <w:bottom w:w="80" w:type="dxa"/>
              <w:end w:w="90" w:type="dxa"/>
            </w:tcMar>
          </w:tcPr>
          <w:p>
            <w:r>
              <w:rPr>
                <w:sz w:val="18"/>
              </w:rPr>
              <w:t>Fall</w:t>
            </w:r>
          </w:p>
        </w:tc>
        <w:tc>
          <w:tcPr>
            <w:tcW w:type="dxa" w:w="2484"/>
            <w:tcMar>
              <w:top w:w="80" w:type="dxa"/>
              <w:start w:w="90" w:type="dxa"/>
              <w:bottom w:w="80" w:type="dxa"/>
              <w:end w:w="90" w:type="dxa"/>
            </w:tcMar>
          </w:tcPr>
          <w:p>
            <w:r>
              <w:rPr>
                <w:sz w:val="18"/>
              </w:rPr>
              <w:t>High-speed data</w:t>
            </w:r>
          </w:p>
        </w:tc>
        <w:tc>
          <w:tcPr>
            <w:tcW w:type="dxa" w:w="2484"/>
            <w:tcMar>
              <w:top w:w="80" w:type="dxa"/>
              <w:start w:w="90" w:type="dxa"/>
              <w:bottom w:w="80" w:type="dxa"/>
              <w:end w:w="90" w:type="dxa"/>
            </w:tcMar>
          </w:tcPr>
          <w:p>
            <w:r>
              <w:rPr>
                <w:sz w:val="18"/>
              </w:rPr>
              <w:t>Photonic / shielded data line</w:t>
            </w:r>
          </w:p>
        </w:tc>
        <w:tc>
          <w:tcPr>
            <w:tcW w:type="dxa" w:w="2484"/>
            <w:tcMar>
              <w:top w:w="80" w:type="dxa"/>
              <w:start w:w="90" w:type="dxa"/>
              <w:bottom w:w="80" w:type="dxa"/>
              <w:end w:w="90" w:type="dxa"/>
            </w:tcMar>
          </w:tcPr>
          <w:p>
            <w:r>
              <w:rPr>
                <w:sz w:val="18"/>
              </w:rPr>
              <w:t>Backbone connectivity and node telemetry</w:t>
            </w:r>
          </w:p>
        </w:tc>
      </w:tr>
      <w:tr>
        <w:tc>
          <w:tcPr>
            <w:tcW w:type="dxa" w:w="2484"/>
            <w:tcMar>
              <w:top w:w="80" w:type="dxa"/>
              <w:start w:w="90" w:type="dxa"/>
              <w:bottom w:w="80" w:type="dxa"/>
              <w:end w:w="90" w:type="dxa"/>
            </w:tcMar>
          </w:tcPr>
          <w:p>
            <w:r>
              <w:rPr>
                <w:sz w:val="18"/>
              </w:rPr>
              <w:t>Mercy Sync</w:t>
            </w:r>
          </w:p>
        </w:tc>
        <w:tc>
          <w:tcPr>
            <w:tcW w:type="dxa" w:w="2484"/>
            <w:tcMar>
              <w:top w:w="80" w:type="dxa"/>
              <w:start w:w="90" w:type="dxa"/>
              <w:bottom w:w="80" w:type="dxa"/>
              <w:end w:w="90" w:type="dxa"/>
            </w:tcMar>
          </w:tcPr>
          <w:p>
            <w:r>
              <w:rPr>
                <w:sz w:val="18"/>
              </w:rPr>
              <w:t>Timing, handoff, orchestration</w:t>
            </w:r>
          </w:p>
        </w:tc>
        <w:tc>
          <w:tcPr>
            <w:tcW w:type="dxa" w:w="2484"/>
            <w:tcMar>
              <w:top w:w="80" w:type="dxa"/>
              <w:start w:w="90" w:type="dxa"/>
              <w:bottom w:w="80" w:type="dxa"/>
              <w:end w:w="90" w:type="dxa"/>
            </w:tcMar>
          </w:tcPr>
          <w:p>
            <w:r>
              <w:rPr>
                <w:sz w:val="18"/>
              </w:rPr>
              <w:t>Controllers + relay logic</w:t>
            </w:r>
          </w:p>
        </w:tc>
        <w:tc>
          <w:tcPr>
            <w:tcW w:type="dxa" w:w="2484"/>
            <w:tcMar>
              <w:top w:w="80" w:type="dxa"/>
              <w:start w:w="90" w:type="dxa"/>
              <w:bottom w:w="80" w:type="dxa"/>
              <w:end w:w="90" w:type="dxa"/>
            </w:tcMar>
          </w:tcPr>
          <w:p>
            <w:r>
              <w:rPr>
                <w:sz w:val="18"/>
              </w:rPr>
              <w:t>Coordinates power, data, and transit states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Heaven Trust Fall · PoC White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