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Adaptive Magnetohydrodynamic Buffer Shielding</w:t>
      </w:r>
    </w:p>
    <w:p>
      <w:pPr>
        <w:jc w:val="center"/>
      </w:pPr>
      <w:r>
        <w:rPr>
          <w:i/>
        </w:rPr>
        <w:t>Proof-of-Concept White Paper for Layered Shock, Thermal, and Electromagnetic Load Management</w:t>
      </w:r>
    </w:p>
    <w:p>
      <w:pPr>
        <w:jc w:val="center"/>
      </w:pPr>
      <w:r>
        <w:t>Derived from the Spectral Shielding concept; reframed as a testable engineering architecture</w:t>
      </w:r>
    </w:p>
    <w:p>
      <w:pPr>
        <w:pStyle w:val="Heading1"/>
      </w:pPr>
      <w:r>
        <w:t>Abstract</w:t>
      </w:r>
    </w:p>
    <w:p>
      <w:r>
        <w:t>This proof of concept reframes the layered 'Spectral Shielding' architecture as an adaptive materials and magnetohydrodynamic (MHD) system. The proposed structure consists of an outer structural shell, an electrically conductive or field-responsive intermediate buffer, and an inner protected shell. Rather than claiming phase cancellation of matter or quantum-scale reshaping of bulk armor, the POC tests whether controlled electric and magnetic fields can modify the pressure distribution, flow, damping, and thermal transport of an intermediate material so that shock and vibration transmitted to the inner structure are reduced. The design also allows the same buffer layer to be evaluated for thermal spreading and electromagnetic response.</w:t>
      </w:r>
    </w:p>
    <w:p>
      <w:pPr>
        <w:pStyle w:val="Heading1"/>
      </w:pPr>
      <w:r>
        <w:t>1. Research Objective</w:t>
      </w:r>
    </w:p>
    <w:p>
      <w:r>
        <w:t>The primary objective is to determine whether an actively controlled intermediate buffer can outperform a passive multilayer structure under repeatable mechanical loading. The core hypothesis is that a conductive liquid or field-responsive fluid placed between rigid shells can be driven or stiffened by an applied electromagnetic field, thereby altering how momentum, vibration, and heat are transmitted through the structure.</w:t>
      </w:r>
    </w:p>
    <w:p>
      <w:pPr>
        <w:jc w:val="center"/>
      </w:pPr>
      <w:r>
        <w:rPr>
          <w:rFonts w:ascii="Consolas" w:hAnsi="Consolas"/>
          <w:b/>
        </w:rPr>
        <w:t>OUTER SHELL → ACTIVE BUFFER → INNER SHELL</w:t>
      </w:r>
    </w:p>
    <w:p>
      <w:pPr>
        <w:pStyle w:val="Heading1"/>
      </w:pPr>
      <w:r>
        <w:t>2. Relationship to the Original Spectral Shielding Concept</w:t>
      </w:r>
    </w:p>
    <w:p>
      <w:r>
        <w:t>The source concept describes a layered system with polarized plating, plasma induction, magnetic vector control, reactive hull layers, and adaptive response. This POC preserves the layered, reactive, and feedback-driven architecture while replacing speculative 'phasing' language with measurable engineering quantities: stress, pressure, acceleration, current density, magnetic field, fluid velocity, temperature, and transmitted impulse. The 'memory' element is interpreted as a controller that records prior impact signatures and adapts future field-control settings.</w:t>
      </w:r>
    </w:p>
    <w:p>
      <w:pPr>
        <w:pStyle w:val="Heading1"/>
      </w:pPr>
      <w:r>
        <w:t>3. Physical Basis: Shock Transmission</w:t>
      </w:r>
    </w:p>
    <w:p>
      <w:r>
        <w:t>When a stress wave passes between materials with different acoustic or mechanical impedance, part of the wave is transmitted and part is reflected. A useful first-order quantity is the acoustic impedance Z = ρc, where ρ is density and c is the characteristic wave speed in the medium. An intermediate layer can therefore be designed to reduce abrupt impedance mismatch and spread the transmitted impulse over a longer time interval.</w:t>
      </w:r>
    </w:p>
    <w:p>
      <w:pPr>
        <w:jc w:val="center"/>
      </w:pPr>
      <w:r>
        <w:rPr>
          <w:rFonts w:ascii="Cambria Math" w:hAnsi="Cambria Math"/>
          <w:b/>
        </w:rPr>
        <w:t>Z = ρc        and        F_avg = Δp / Δt</w:t>
      </w:r>
    </w:p>
    <w:p>
      <w:r>
        <w:t>If the active layer increases the effective duration Δt over which momentum is transferred, the peak force reaching the inner structure may be reduced. The POC therefore measures both peak load and impulse, not just visual deformation.</w:t>
      </w:r>
    </w:p>
    <w:p>
      <w:pPr>
        <w:pStyle w:val="Heading1"/>
      </w:pPr>
      <w:r>
        <w:t>4. Physical Basis: Electromagnetic Control of a Conductive Buffer</w:t>
      </w:r>
    </w:p>
    <w:p>
      <w:r>
        <w:t>For a conductive fluid or plasma-like medium, electromagnetic body forces can be represented at continuum scale by the Lorentz-force density f = J × B, where J is current density and B is magnetic flux density. By changing field strength, field orientation, and current distribution, the system can potentially alter internal flow and pressure patterns in the buffer region.</w:t>
      </w:r>
    </w:p>
    <w:p>
      <w:pPr>
        <w:jc w:val="center"/>
      </w:pPr>
      <w:r>
        <w:rPr>
          <w:rFonts w:ascii="Cambria Math" w:hAnsi="Cambria Math"/>
          <w:b/>
        </w:rPr>
        <w:t>f = J × B</w:t>
      </w:r>
    </w:p>
    <w:p>
      <w:r>
        <w:t>The engineering question is not whether the field 'reshapes atoms' coherently, but whether field-controlled bulk forces produce a reproducible change in damping, pressure redistribution, or thermal transport.</w:t>
      </w:r>
    </w:p>
    <w:p>
      <w:pPr>
        <w:pStyle w:val="Heading1"/>
      </w:pPr>
      <w:r>
        <w:t>5. Proposed Layered Architecture</w:t>
      </w:r>
    </w:p>
    <w:p>
      <w:r>
        <w:t>The POC uses three functional layers: a rigid outer plate that receives the load, an active intermediate buffer, and a rigid inner plate instrumented to measure transmitted response. Field coils or electrodes surround the buffer region. Sensors capture acceleration, strain, temperature, pressure, and electrical response, while a controller adjusts the field state.</w:t>
      </w:r>
    </w:p>
    <w:p>
      <w:pPr>
        <w:jc w:val="center"/>
      </w:pPr>
      <w:r>
        <w:rPr>
          <w:rFonts w:ascii="Consolas" w:hAnsi="Consolas"/>
          <w:sz w:val="18"/>
        </w:rPr>
        <w:t>External load</w:t>
        <w:br/>
        <w:t xml:space="preserve">    ↓</w:t>
        <w:br/>
        <w:t>┌──────────────────────┐</w:t>
        <w:br/>
        <w:t>│ Outer structural shell│</w:t>
        <w:br/>
        <w:t>└──────────┬───────────┘</w:t>
        <w:br/>
        <w:t xml:space="preserve">           ↓</w:t>
        <w:br/>
        <w:t>┌──────────────────────┐</w:t>
        <w:br/>
        <w:t>│ Active buffer layer  │ ← E/B field control</w:t>
        <w:br/>
        <w:t>│ conductive / MR fluid│ ← pressure + temp sensors</w:t>
        <w:br/>
        <w:t>└──────────┬───────────┘</w:t>
        <w:br/>
        <w:t xml:space="preserve">           ↓</w:t>
        <w:br/>
        <w:t>┌──────────────────────┐</w:t>
        <w:br/>
        <w:t>│ Inner protected shell│ ← strain + acceleration sensors</w:t>
        <w:br/>
        <w:t>└──────────────────────┘</w:t>
        <w:br/>
        <w:t xml:space="preserve">           ↓</w:t>
        <w:br/>
        <w:t xml:space="preserve">      feedback controller</w:t>
      </w:r>
    </w:p>
    <w:p>
      <w:pPr>
        <w:pStyle w:val="Heading1"/>
      </w:pPr>
      <w:r>
        <w:t>6. Candidate Buffer Media</w:t>
      </w:r>
    </w:p>
    <w:p>
      <w:r>
        <w:t>Molten copper is conceptually conductive but is not an ideal first POC material because of its high melting temperature and associated thermal-containment burden. A safer engineering study should begin with lower-temperature field-responsive materials. Candidate classes include low-melting conductive liquid metals, magnetorheological fluids, shear-thickening fluids, conductive suspensions, metallic foams with fluid infiltration, or hybrid elastomer-fluid layers. Material choice should be driven by the target phenomenon: MHD flow control, variable stiffness, damping, heat transfer, or a combination.</w:t>
      </w:r>
    </w:p>
    <w:p>
      <w:pPr>
        <w:pStyle w:val="Heading1"/>
      </w:pPr>
      <w:r>
        <w:t>7. Experimental Configurations</w:t>
      </w:r>
    </w:p>
    <w:p>
      <w:r>
        <w:t>The experiment should compare passive and active configurations under identical loading so that any improvement can be attributed to the field-controlled layer.</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tcPr>
          <w:p>
            <w:r>
              <w:t>Group</w:t>
            </w:r>
          </w:p>
        </w:tc>
        <w:tc>
          <w:tcPr>
            <w:tcW w:type="dxa" w:w="2469"/>
          </w:tcPr>
          <w:p>
            <w:r>
              <w:t>Buffer state</w:t>
            </w:r>
          </w:p>
        </w:tc>
        <w:tc>
          <w:tcPr>
            <w:tcW w:type="dxa" w:w="2469"/>
          </w:tcPr>
          <w:p>
            <w:r>
              <w:t>Field state</w:t>
            </w:r>
          </w:p>
        </w:tc>
        <w:tc>
          <w:tcPr>
            <w:tcW w:type="dxa" w:w="2469"/>
          </w:tcPr>
          <w:p>
            <w:r>
              <w:t>Purpose</w:t>
            </w:r>
          </w:p>
        </w:tc>
      </w:tr>
      <w:tr>
        <w:tc>
          <w:tcPr>
            <w:tcW w:type="dxa" w:w="2469"/>
            <w:vAlign w:val="center"/>
          </w:tcPr>
          <w:p>
            <w:r>
              <w:t>A</w:t>
            </w:r>
          </w:p>
        </w:tc>
        <w:tc>
          <w:tcPr>
            <w:tcW w:type="dxa" w:w="2469"/>
            <w:vAlign w:val="center"/>
          </w:tcPr>
          <w:p>
            <w:r>
              <w:t>No buffer / rigid spacer</w:t>
            </w:r>
          </w:p>
        </w:tc>
        <w:tc>
          <w:tcPr>
            <w:tcW w:type="dxa" w:w="2469"/>
            <w:vAlign w:val="center"/>
          </w:tcPr>
          <w:p>
            <w:r>
              <w:t>Off</w:t>
            </w:r>
          </w:p>
        </w:tc>
        <w:tc>
          <w:tcPr>
            <w:tcW w:type="dxa" w:w="2469"/>
            <w:vAlign w:val="center"/>
          </w:tcPr>
          <w:p>
            <w:r>
              <w:t>Structural baseline</w:t>
            </w:r>
          </w:p>
        </w:tc>
      </w:tr>
      <w:tr>
        <w:tc>
          <w:tcPr>
            <w:tcW w:type="dxa" w:w="2469"/>
            <w:vAlign w:val="center"/>
          </w:tcPr>
          <w:p>
            <w:r>
              <w:t>B</w:t>
            </w:r>
          </w:p>
        </w:tc>
        <w:tc>
          <w:tcPr>
            <w:tcW w:type="dxa" w:w="2469"/>
            <w:vAlign w:val="center"/>
          </w:tcPr>
          <w:p>
            <w:r>
              <w:t>Passive fluid or soft layer</w:t>
            </w:r>
          </w:p>
        </w:tc>
        <w:tc>
          <w:tcPr>
            <w:tcW w:type="dxa" w:w="2469"/>
            <w:vAlign w:val="center"/>
          </w:tcPr>
          <w:p>
            <w:r>
              <w:t>Off</w:t>
            </w:r>
          </w:p>
        </w:tc>
        <w:tc>
          <w:tcPr>
            <w:tcW w:type="dxa" w:w="2469"/>
            <w:vAlign w:val="center"/>
          </w:tcPr>
          <w:p>
            <w:r>
              <w:t>Passive damping baseline</w:t>
            </w:r>
          </w:p>
        </w:tc>
      </w:tr>
      <w:tr>
        <w:tc>
          <w:tcPr>
            <w:tcW w:type="dxa" w:w="2469"/>
            <w:vAlign w:val="center"/>
          </w:tcPr>
          <w:p>
            <w:r>
              <w:t>C</w:t>
            </w:r>
          </w:p>
        </w:tc>
        <w:tc>
          <w:tcPr>
            <w:tcW w:type="dxa" w:w="2469"/>
            <w:vAlign w:val="center"/>
          </w:tcPr>
          <w:p>
            <w:r>
              <w:t>Field-responsive buffer</w:t>
            </w:r>
          </w:p>
        </w:tc>
        <w:tc>
          <w:tcPr>
            <w:tcW w:type="dxa" w:w="2469"/>
            <w:vAlign w:val="center"/>
          </w:tcPr>
          <w:p>
            <w:r>
              <w:t>Static field</w:t>
            </w:r>
          </w:p>
        </w:tc>
        <w:tc>
          <w:tcPr>
            <w:tcW w:type="dxa" w:w="2469"/>
            <w:vAlign w:val="center"/>
          </w:tcPr>
          <w:p>
            <w:r>
              <w:t>Test field-induced material response</w:t>
            </w:r>
          </w:p>
        </w:tc>
      </w:tr>
      <w:tr>
        <w:tc>
          <w:tcPr>
            <w:tcW w:type="dxa" w:w="2469"/>
            <w:vAlign w:val="center"/>
          </w:tcPr>
          <w:p>
            <w:r>
              <w:t>D</w:t>
            </w:r>
          </w:p>
        </w:tc>
        <w:tc>
          <w:tcPr>
            <w:tcW w:type="dxa" w:w="2469"/>
            <w:vAlign w:val="center"/>
          </w:tcPr>
          <w:p>
            <w:r>
              <w:t>Field-responsive buffer</w:t>
            </w:r>
          </w:p>
        </w:tc>
        <w:tc>
          <w:tcPr>
            <w:tcW w:type="dxa" w:w="2469"/>
            <w:vAlign w:val="center"/>
          </w:tcPr>
          <w:p>
            <w:r>
              <w:t>Adaptive field</w:t>
            </w:r>
          </w:p>
        </w:tc>
        <w:tc>
          <w:tcPr>
            <w:tcW w:type="dxa" w:w="2469"/>
            <w:vAlign w:val="center"/>
          </w:tcPr>
          <w:p>
            <w:r>
              <w:t>Test closed-loop mitigation</w:t>
            </w:r>
          </w:p>
        </w:tc>
      </w:tr>
    </w:tbl>
    <w:p>
      <w:pPr>
        <w:pStyle w:val="Heading1"/>
      </w:pPr>
      <w:r>
        <w:t>8. Sensor and Control Stack</w:t>
      </w:r>
    </w:p>
    <w:p>
      <w:r>
        <w:t>The POC should use synchronized instrumentation so the response of every layer can be reconstructed. Minimum useful measurements include outer- and inner-plate acceleration, strain, buffer pressure, temperature, applied current, magnetic field, and timing. High-speed imaging or ultrasound can be added if internal flow visualization is needed. The controller receives these measurements and selects a field command intended to reduce the predicted peak transmitted load.</w:t>
      </w:r>
    </w:p>
    <w:p>
      <w:pPr>
        <w:pStyle w:val="ListBullet"/>
      </w:pPr>
      <w:r>
        <w:t>Outer-shell acceleration and strain</w:t>
      </w:r>
    </w:p>
    <w:p>
      <w:pPr>
        <w:pStyle w:val="ListBullet"/>
      </w:pPr>
      <w:r>
        <w:t>Inner-shell acceleration and strain</w:t>
      </w:r>
    </w:p>
    <w:p>
      <w:pPr>
        <w:pStyle w:val="ListBullet"/>
      </w:pPr>
      <w:r>
        <w:t>Buffer pressure and temperature</w:t>
      </w:r>
    </w:p>
    <w:p>
      <w:pPr>
        <w:pStyle w:val="ListBullet"/>
      </w:pPr>
      <w:r>
        <w:t>Applied current and magnetic-field state</w:t>
      </w:r>
    </w:p>
    <w:p>
      <w:pPr>
        <w:pStyle w:val="ListBullet"/>
      </w:pPr>
      <w:r>
        <w:t>Field-control timing relative to the impact event</w:t>
      </w:r>
    </w:p>
    <w:p>
      <w:pPr>
        <w:pStyle w:val="ListBullet"/>
      </w:pPr>
      <w:r>
        <w:t>Optional fluid-flow or deformation imaging</w:t>
      </w:r>
    </w:p>
    <w:p>
      <w:pPr>
        <w:pStyle w:val="Heading1"/>
      </w:pPr>
      <w:r>
        <w:t>9. Adaptive Control Concept</w:t>
      </w:r>
    </w:p>
    <w:p>
      <w:r>
        <w:t>The adaptive version of the system implements a closed loop. A detected load signature is classified, the controller predicts the likely transmitted response, and the field is adjusted to alter the buffer state before or during the dominant stress-wave passage. Repeated test events can be used to learn control settings for similar load signatures.</w:t>
      </w:r>
    </w:p>
    <w:p>
      <w:pPr>
        <w:jc w:val="center"/>
      </w:pPr>
      <w:r>
        <w:rPr>
          <w:rFonts w:ascii="Consolas" w:hAnsi="Consolas"/>
          <w:b/>
        </w:rPr>
        <w:t>sense → estimate → predict → apply field → measure response → update</w:t>
      </w:r>
    </w:p>
    <w:p>
      <w:pPr>
        <w:pStyle w:val="Heading1"/>
      </w:pPr>
      <w:r>
        <w:t>10. Performance Metrics</w:t>
      </w:r>
    </w:p>
    <w:p>
      <w:r>
        <w:t>The primary metric is reduction of mechanical load transmitted to the inner shell. Secondary metrics quantify whether the active layer improves the result without introducing unacceptable thermal, electrical, mass, or control overhead.</w:t>
      </w:r>
    </w:p>
    <w:p>
      <w:pPr>
        <w:pStyle w:val="ListBullet"/>
      </w:pPr>
      <w:r>
        <w:t>Peak inner-shell acceleration reduction</w:t>
      </w:r>
    </w:p>
    <w:p>
      <w:pPr>
        <w:pStyle w:val="ListBullet"/>
      </w:pPr>
      <w:r>
        <w:t>Peak inner-shell stress/strain reduction</w:t>
      </w:r>
    </w:p>
    <w:p>
      <w:pPr>
        <w:pStyle w:val="ListBullet"/>
      </w:pPr>
      <w:r>
        <w:t>Transmitted impulse reduction</w:t>
      </w:r>
    </w:p>
    <w:p>
      <w:pPr>
        <w:pStyle w:val="ListBullet"/>
      </w:pPr>
      <w:r>
        <w:t>Vibration-ringdown time</w:t>
      </w:r>
    </w:p>
    <w:p>
      <w:pPr>
        <w:pStyle w:val="ListBullet"/>
      </w:pPr>
      <w:r>
        <w:t>Thermal gradient and heat-spreading performance</w:t>
      </w:r>
    </w:p>
    <w:p>
      <w:pPr>
        <w:pStyle w:val="ListBullet"/>
      </w:pPr>
      <w:r>
        <w:t>Electrical power used per mitigation event</w:t>
      </w:r>
    </w:p>
    <w:p>
      <w:pPr>
        <w:pStyle w:val="ListBullet"/>
      </w:pPr>
      <w:r>
        <w:t>Response latency and controller stability</w:t>
      </w:r>
    </w:p>
    <w:p>
      <w:pPr>
        <w:pStyle w:val="ListBullet"/>
      </w:pPr>
      <w:r>
        <w:t>Mass and thickness penalty relative to passive protection</w:t>
      </w:r>
    </w:p>
    <w:p>
      <w:pPr>
        <w:jc w:val="center"/>
      </w:pPr>
      <w:r>
        <w:rPr>
          <w:rFonts w:ascii="Cambria Math" w:hAnsi="Cambria Math"/>
          <w:b/>
        </w:rPr>
        <w:t>η_shock = 1 − (F_inner,active / F_inner,passive)</w:t>
      </w:r>
    </w:p>
    <w:p>
      <w:pPr>
        <w:pStyle w:val="Heading1"/>
      </w:pPr>
      <w:r>
        <w:t>11. Falsifiable Hypotheses</w:t>
      </w:r>
    </w:p>
    <w:p>
      <w:r>
        <w:t>H1: An intermediate fluid or compliant layer reduces transmitted peak load relative to a rigid spacer. H2: Applying a controlled field produces a repeatable change in the buffer's mechanical response. H3: Adaptive field control reduces transmitted peak acceleration or strain beyond the passive-buffer case. H4: Any measured improvement remains after accounting for added mass, power, response latency, and thermal effects. H5: A learned controller can improve performance on repeated classes of load without destabilizing the structure.</w:t>
      </w:r>
    </w:p>
    <w:p>
      <w:pPr>
        <w:pStyle w:val="Heading1"/>
      </w:pPr>
      <w:r>
        <w:t>12. Thermal and Electromagnetic Secondary Functions</w:t>
      </w:r>
    </w:p>
    <w:p>
      <w:r>
        <w:t>The same intermediate layer may provide additional utility. Fluid motion can redistribute heat, while conductive layers can influence electromagnetic shielding and current paths. These functions should be tested independently from mechanical shock attenuation so that one effect is not mistaken for another. A successful multifunctional design would demonstrate useful shock attenuation while also improving thermal spreading or electromagnetic compatibility.</w:t>
      </w:r>
    </w:p>
    <w:p>
      <w:pPr>
        <w:pStyle w:val="Heading1"/>
        <w:spacing w:before="100" w:after="40"/>
      </w:pPr>
      <w:r>
        <w:t>13. Engineering Risks and Constraints</w:t>
      </w:r>
    </w:p>
    <w:p>
      <w:r>
        <w:t>Key risks include fluid leakage, corrosion, cavitation, electrical arcing, excessive Joule heating, magnetic saturation of nearby components, field-control latency, and instability of the fluid response. High-temperature molten-metal concepts add substantial containment risk and should be considered only after lower-temperature analogs validate the underlying physics.</w:t>
      </w:r>
    </w:p>
    <w:p>
      <w:pPr>
        <w:pStyle w:val="Heading1"/>
        <w:spacing w:before="100" w:after="40"/>
      </w:pPr>
      <w:r>
        <w:t>14. Claim Boundaries</w:t>
      </w:r>
    </w:p>
    <w:p>
      <w:r>
        <w:t>This POC does not claim that electromagnetic fields coherently reshape the quantum wavefunctions of bulk armor, that plasma can phase matter through incoming objects, or that field control eliminates conservation of momentum. It tests a classical-scale adaptive-material mechanism: electromagnetic control changes the state or motion of an intermediate medium, which may alter how stress, heat, and electromagnetic energy are transmitted through a layered structure.</w:t>
      </w:r>
    </w:p>
    <w:p>
      <w:pPr>
        <w:pStyle w:val="Heading1"/>
        <w:spacing w:before="100" w:after="40"/>
      </w:pPr>
      <w:r>
        <w:t>15. POC Success Criterion</w:t>
      </w:r>
    </w:p>
    <w:p>
      <w:r>
        <w:t>A strong first demonstration would show a reproducible reduction in inner-shell peak acceleration or strain when the active field is enabled, relative to both a rigid baseline and a passive-buffer baseline, with the improvement remaining significant after accounting for added mass and energy consumption. The result should be reported as a measured change in a defined metric rather than as a general claim of 'stronger shielding.'</w:t>
      </w:r>
    </w:p>
    <w:p>
      <w:pPr>
        <w:pStyle w:val="Heading1"/>
        <w:spacing w:before="100" w:after="40"/>
      </w:pPr>
      <w:r>
        <w:t>16. Conclusion</w:t>
      </w:r>
    </w:p>
    <w:p>
      <w:r>
        <w:t>The most defensible form of the Spectral Shielding concept is an adaptive multilayer system whose middle layer acts as a tunable mechanical, thermal, and electromagnetic buffer. Field-responsive fluids or conductive media provide a plausible mechanism for changing pressure distribution, damping, or flow in real time. The proposed POC is designed to determine whether that mechanism provides a measurable advantage over passive protection.</w:t>
      </w:r>
    </w:p>
    <w:p>
      <w:pPr>
        <w:pStyle w:val="Heading1"/>
      </w:pPr>
      <w:r>
        <w:t>POC Data Sheet</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tcPr>
          <w:p>
            <w:pPr>
              <w:spacing w:before="0" w:after="0" w:line="216" w:lineRule="auto"/>
            </w:pPr>
            <w:r>
              <w:rPr>
                <w:sz w:val="16"/>
              </w:rPr>
              <w:t>Item</w:t>
            </w:r>
          </w:p>
        </w:tc>
        <w:tc>
          <w:tcPr>
            <w:tcW w:type="dxa" w:w="4939"/>
          </w:tcPr>
          <w:p>
            <w:pPr>
              <w:spacing w:before="0" w:after="0" w:line="216" w:lineRule="auto"/>
            </w:pPr>
            <w:r>
              <w:rPr>
                <w:sz w:val="16"/>
              </w:rPr>
              <w:t>Record / pre-register</w:t>
            </w:r>
          </w:p>
        </w:tc>
      </w:tr>
      <w:tr>
        <w:trPr>
          <w:cantSplit/>
        </w:trPr>
        <w:tc>
          <w:tcPr>
            <w:tcW w:type="dxa" w:w="4939"/>
          </w:tcPr>
          <w:p>
            <w:pPr>
              <w:spacing w:before="0" w:after="0" w:line="216" w:lineRule="auto"/>
            </w:pPr>
            <w:r>
              <w:rPr>
                <w:sz w:val="16"/>
              </w:rPr>
              <w:t>Outer-shell material</w:t>
            </w:r>
          </w:p>
        </w:tc>
        <w:tc>
          <w:tcPr>
            <w:tcW w:type="dxa" w:w="4939"/>
          </w:tcPr>
          <w:p>
            <w:pPr>
              <w:spacing w:before="0" w:after="0" w:line="216" w:lineRule="auto"/>
            </w:pPr>
            <w:r>
              <w:rPr>
                <w:sz w:val="16"/>
              </w:rPr>
              <w:t>Material, thickness, geometry</w:t>
            </w:r>
          </w:p>
        </w:tc>
      </w:tr>
      <w:tr>
        <w:trPr>
          <w:cantSplit/>
        </w:trPr>
        <w:tc>
          <w:tcPr>
            <w:tcW w:type="dxa" w:w="4939"/>
          </w:tcPr>
          <w:p>
            <w:pPr>
              <w:spacing w:before="0" w:after="0" w:line="216" w:lineRule="auto"/>
            </w:pPr>
            <w:r>
              <w:rPr>
                <w:sz w:val="16"/>
              </w:rPr>
              <w:t>Inner-shell material</w:t>
            </w:r>
          </w:p>
        </w:tc>
        <w:tc>
          <w:tcPr>
            <w:tcW w:type="dxa" w:w="4939"/>
          </w:tcPr>
          <w:p>
            <w:pPr>
              <w:spacing w:before="0" w:after="0" w:line="216" w:lineRule="auto"/>
            </w:pPr>
            <w:r>
              <w:rPr>
                <w:sz w:val="16"/>
              </w:rPr>
              <w:t>Material, thickness, geometry</w:t>
            </w:r>
          </w:p>
        </w:tc>
      </w:tr>
      <w:tr>
        <w:trPr>
          <w:cantSplit/>
        </w:trPr>
        <w:tc>
          <w:tcPr>
            <w:tcW w:type="dxa" w:w="4939"/>
          </w:tcPr>
          <w:p>
            <w:pPr>
              <w:spacing w:before="0" w:after="0" w:line="216" w:lineRule="auto"/>
            </w:pPr>
            <w:r>
              <w:rPr>
                <w:sz w:val="16"/>
              </w:rPr>
              <w:t>Buffer medium</w:t>
            </w:r>
          </w:p>
        </w:tc>
        <w:tc>
          <w:tcPr>
            <w:tcW w:type="dxa" w:w="4939"/>
          </w:tcPr>
          <w:p>
            <w:pPr>
              <w:spacing w:before="0" w:after="0" w:line="216" w:lineRule="auto"/>
            </w:pPr>
            <w:r>
              <w:rPr>
                <w:sz w:val="16"/>
              </w:rPr>
              <w:t>Composition, density, viscosity, conductivity</w:t>
            </w:r>
          </w:p>
        </w:tc>
      </w:tr>
      <w:tr>
        <w:trPr>
          <w:cantSplit/>
        </w:trPr>
        <w:tc>
          <w:tcPr>
            <w:tcW w:type="dxa" w:w="4939"/>
          </w:tcPr>
          <w:p>
            <w:pPr>
              <w:spacing w:before="0" w:after="0" w:line="216" w:lineRule="auto"/>
            </w:pPr>
            <w:r>
              <w:rPr>
                <w:sz w:val="16"/>
              </w:rPr>
              <w:t>Buffer thickness</w:t>
            </w:r>
          </w:p>
        </w:tc>
        <w:tc>
          <w:tcPr>
            <w:tcW w:type="dxa" w:w="4939"/>
          </w:tcPr>
          <w:p>
            <w:pPr>
              <w:spacing w:before="0" w:after="0" w:line="216" w:lineRule="auto"/>
            </w:pPr>
            <w:r>
              <w:rPr>
                <w:sz w:val="16"/>
              </w:rPr>
              <w:t>Nominal gap / cavity thickness</w:t>
            </w:r>
          </w:p>
        </w:tc>
      </w:tr>
      <w:tr>
        <w:trPr>
          <w:cantSplit/>
        </w:trPr>
        <w:tc>
          <w:tcPr>
            <w:tcW w:type="dxa" w:w="4939"/>
          </w:tcPr>
          <w:p>
            <w:pPr>
              <w:spacing w:before="0" w:after="0" w:line="216" w:lineRule="auto"/>
            </w:pPr>
            <w:r>
              <w:rPr>
                <w:sz w:val="16"/>
              </w:rPr>
              <w:t>Field hardware</w:t>
            </w:r>
          </w:p>
        </w:tc>
        <w:tc>
          <w:tcPr>
            <w:tcW w:type="dxa" w:w="4939"/>
          </w:tcPr>
          <w:p>
            <w:pPr>
              <w:spacing w:before="0" w:after="0" w:line="216" w:lineRule="auto"/>
            </w:pPr>
            <w:r>
              <w:rPr>
                <w:sz w:val="16"/>
              </w:rPr>
              <w:t>Electrode/coil geometry and limits</w:t>
            </w:r>
          </w:p>
        </w:tc>
      </w:tr>
      <w:tr>
        <w:trPr>
          <w:cantSplit/>
        </w:trPr>
        <w:tc>
          <w:tcPr>
            <w:tcW w:type="dxa" w:w="4939"/>
          </w:tcPr>
          <w:p>
            <w:pPr>
              <w:spacing w:before="0" w:after="0" w:line="216" w:lineRule="auto"/>
            </w:pPr>
            <w:r>
              <w:rPr>
                <w:sz w:val="16"/>
              </w:rPr>
              <w:t>Load profile</w:t>
            </w:r>
          </w:p>
        </w:tc>
        <w:tc>
          <w:tcPr>
            <w:tcW w:type="dxa" w:w="4939"/>
          </w:tcPr>
          <w:p>
            <w:pPr>
              <w:spacing w:before="0" w:after="0" w:line="216" w:lineRule="auto"/>
            </w:pPr>
            <w:r>
              <w:rPr>
                <w:sz w:val="16"/>
              </w:rPr>
              <w:t>Repeatable impact/vibration input</w:t>
            </w:r>
          </w:p>
        </w:tc>
      </w:tr>
      <w:tr>
        <w:trPr>
          <w:cantSplit/>
        </w:trPr>
        <w:tc>
          <w:tcPr>
            <w:tcW w:type="dxa" w:w="4939"/>
          </w:tcPr>
          <w:p>
            <w:pPr>
              <w:spacing w:before="0" w:after="0" w:line="216" w:lineRule="auto"/>
            </w:pPr>
            <w:r>
              <w:rPr>
                <w:sz w:val="16"/>
              </w:rPr>
              <w:t>Primary endpoint</w:t>
            </w:r>
          </w:p>
        </w:tc>
        <w:tc>
          <w:tcPr>
            <w:tcW w:type="dxa" w:w="4939"/>
          </w:tcPr>
          <w:p>
            <w:pPr>
              <w:spacing w:before="0" w:after="0" w:line="216" w:lineRule="auto"/>
            </w:pPr>
            <w:r>
              <w:rPr>
                <w:sz w:val="16"/>
              </w:rPr>
              <w:t>Peak inner-shell acceleration or strain</w:t>
            </w:r>
          </w:p>
        </w:tc>
      </w:tr>
      <w:tr>
        <w:trPr>
          <w:cantSplit/>
        </w:trPr>
        <w:tc>
          <w:tcPr>
            <w:tcW w:type="dxa" w:w="4939"/>
          </w:tcPr>
          <w:p>
            <w:pPr>
              <w:spacing w:before="0" w:after="0" w:line="216" w:lineRule="auto"/>
            </w:pPr>
            <w:r>
              <w:rPr>
                <w:sz w:val="16"/>
              </w:rPr>
              <w:t>Secondary endpoints</w:t>
            </w:r>
          </w:p>
        </w:tc>
        <w:tc>
          <w:tcPr>
            <w:tcW w:type="dxa" w:w="4939"/>
          </w:tcPr>
          <w:p>
            <w:pPr>
              <w:spacing w:before="0" w:after="0" w:line="216" w:lineRule="auto"/>
            </w:pPr>
            <w:r>
              <w:rPr>
                <w:sz w:val="16"/>
              </w:rPr>
              <w:t>Impulse, ringdown, temperature, power</w:t>
            </w:r>
          </w:p>
        </w:tc>
      </w:tr>
      <w:tr>
        <w:trPr>
          <w:cantSplit/>
        </w:trPr>
        <w:tc>
          <w:tcPr>
            <w:tcW w:type="dxa" w:w="4939"/>
          </w:tcPr>
          <w:p>
            <w:pPr>
              <w:spacing w:before="0" w:after="0" w:line="216" w:lineRule="auto"/>
            </w:pPr>
            <w:r>
              <w:rPr>
                <w:sz w:val="16"/>
              </w:rPr>
              <w:t>Control method</w:t>
            </w:r>
          </w:p>
        </w:tc>
        <w:tc>
          <w:tcPr>
            <w:tcW w:type="dxa" w:w="4939"/>
          </w:tcPr>
          <w:p>
            <w:pPr>
              <w:spacing w:before="0" w:after="0" w:line="216" w:lineRule="auto"/>
            </w:pPr>
            <w:r>
              <w:rPr>
                <w:sz w:val="16"/>
              </w:rPr>
              <w:t>Static vs adaptive field logic</w:t>
            </w:r>
          </w:p>
        </w:tc>
      </w:tr>
      <w:tr>
        <w:trPr>
          <w:cantSplit/>
        </w:trPr>
        <w:tc>
          <w:tcPr>
            <w:tcW w:type="dxa" w:w="4939"/>
          </w:tcPr>
          <w:p>
            <w:pPr>
              <w:spacing w:before="0" w:after="0" w:line="216" w:lineRule="auto"/>
            </w:pPr>
            <w:r>
              <w:rPr>
                <w:sz w:val="16"/>
              </w:rPr>
              <w:t>Success threshold</w:t>
            </w:r>
          </w:p>
        </w:tc>
        <w:tc>
          <w:tcPr>
            <w:tcW w:type="dxa" w:w="4939"/>
          </w:tcPr>
          <w:p>
            <w:pPr>
              <w:spacing w:before="0" w:after="0" w:line="216" w:lineRule="auto"/>
            </w:pPr>
            <w:r>
              <w:rPr>
                <w:sz w:val="16"/>
              </w:rPr>
              <w:t>Predefined minimum improvement</w:t>
            </w:r>
          </w:p>
        </w:tc>
      </w:tr>
    </w:tbl>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Adaptive Magnetohydrodynamic Buffer Shielding - Proof of Concept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