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Coherent Spin-Control and Particle-Beam State Preparation</w:t>
      </w:r>
    </w:p>
    <w:p>
      <w:pPr>
        <w:jc w:val="center"/>
      </w:pPr>
      <w:r>
        <w:rPr>
          <w:i/>
        </w:rPr>
        <w:t>Proof-of-Concept White Paper: Intersecting Electromagnetic Fields, State Selection, and Adaptive Feedback</w:t>
      </w:r>
    </w:p>
    <w:p>
      <w:pPr>
        <w:pStyle w:val="Heading1"/>
      </w:pPr>
      <w:r>
        <w:t>Abstract</w:t>
      </w:r>
    </w:p>
    <w:p>
      <w:r>
        <w:t>This proof of concept investigates whether a controlled overlap of static and time-varying electromagnetic fields can coherently rotate electronic or nuclear spin states in a prepared particle ensemble, after which state-sensitive analysis can select or separate populations. The proposal deliberately distinguishes nuclear-spin control from nuclear reactions: the objective is to transform an information-bearing spin state while preserving the carrier. A plasma or noble-gas environment may be studied as a sensing/transduction layer, but its collisions and field fluctuations are treated as possible sources of decoherence.</w:t>
      </w:r>
    </w:p>
    <w:p>
      <w:pPr>
        <w:pStyle w:val="Heading1"/>
      </w:pPr>
      <w:r>
        <w:t>1. Central Hypothesis</w:t>
      </w:r>
    </w:p>
    <w:p>
      <w:r>
        <w:t>A prepared spin-bearing ensemble passing through a calibrated electromagnetic interaction region can undergo a predictable quantum-state rotation. If the outgoing state is measured and fed back to the field controller, pulse amplitude, frequency, phase, duration, and field orientation can be optimized to maximize spin-rotation fidelity, polarization, or state-selection efficiency.</w:t>
      </w:r>
    </w:p>
    <w:p>
      <w:pPr>
        <w:jc w:val="center"/>
      </w:pPr>
      <w:r>
        <w:rPr>
          <w:rFonts w:ascii="Consolas" w:hAnsi="Consolas"/>
          <w:b/>
        </w:rPr>
        <w:t>PREPARE → ROTATE → ANALYZE/SELECT → MEASURE → FEEDBACK</w:t>
      </w:r>
    </w:p>
    <w:p>
      <w:pPr>
        <w:pStyle w:val="Heading1"/>
      </w:pPr>
      <w:r>
        <w:t>2. Physical Model</w:t>
      </w:r>
    </w:p>
    <w:p>
      <w:r>
        <w:t>For a particle with magnetic moment μ in a magnetic field B(t), the spin interaction is represented by Hspin = −μ·B(t). In a simple two-level approximation, one field establishes the quantization axis while a transverse oscillating field drives coherent rotations near resonance.</w:t>
      </w:r>
    </w:p>
    <w:p>
      <w:pPr>
        <w:jc w:val="center"/>
      </w:pPr>
      <w:r>
        <w:rPr>
          <w:rFonts w:ascii="Cambria Math" w:hAnsi="Cambria Math"/>
          <w:b/>
        </w:rPr>
        <w:t>B(t) = B₀ ẑ + B₁ cos(ωt + φ) x̂</w:t>
      </w:r>
    </w:p>
    <w:p>
      <w:pPr>
        <w:jc w:val="center"/>
      </w:pPr>
      <w:r>
        <w:rPr>
          <w:rFonts w:ascii="Cambria Math" w:hAnsi="Cambria Math"/>
        </w:rPr>
        <w:t>ω ≈ |γ|B₀</w:t>
      </w:r>
    </w:p>
    <w:p>
      <w:r>
        <w:t>The resulting idealized spin-½ transformation can be represented as:</w:t>
      </w:r>
    </w:p>
    <w:p>
      <w:pPr>
        <w:jc w:val="center"/>
      </w:pPr>
      <w:r>
        <w:rPr>
          <w:rFonts w:ascii="Cambria Math" w:hAnsi="Cambria Math"/>
          <w:b/>
        </w:rPr>
        <w:t>|↑⟩ → cos(θ/2)|↑⟩ + e^(iφ) sin(θ/2)|↓⟩</w:t>
      </w:r>
    </w:p>
    <w:p>
      <w:pPr>
        <w:pStyle w:val="Heading1"/>
      </w:pPr>
      <w:r>
        <w:t>3. Proposed Apparatus</w:t>
      </w:r>
    </w:p>
    <w:p>
      <w:r>
        <w:t>The apparatus is divided into preparation, coherent-control, analysis, and detection stages. The central stage is the overlap region of controlled electromagnetic fields. The design does not require a nuclear reaction.</w:t>
      </w:r>
    </w:p>
    <w:p>
      <w:pPr>
        <w:jc w:val="center"/>
      </w:pPr>
      <w:r>
        <w:rPr>
          <w:rFonts w:ascii="Consolas" w:hAnsi="Consolas"/>
          <w:sz w:val="18"/>
        </w:rPr>
        <w:t>Source / state preparation</w:t>
        <w:br/>
        <w:t xml:space="preserve">          ↓</w:t>
        <w:br/>
        <w:t xml:space="preserve">   ┌──────────────┐</w:t>
        <w:br/>
        <w:t xml:space="preserve">   │ prepared spin│</w:t>
        <w:br/>
        <w:t xml:space="preserve">   └──────┬───────┘</w:t>
        <w:br/>
        <w:t xml:space="preserve">          ↓</w:t>
        <w:br/>
        <w:t>┌──────────────────────────┐</w:t>
        <w:br/>
        <w:t>│ EM OVERLAP / CONTROL     │</w:t>
        <w:br/>
        <w:t>│ B₀ + RF/microwave B₁(t) │</w:t>
        <w:br/>
        <w:t>│ amplitude • phase • ω • τ│</w:t>
        <w:br/>
        <w:t>└──────────┬───────────────┘</w:t>
        <w:br/>
        <w:t xml:space="preserve">           ↓</w:t>
        <w:br/>
        <w:t xml:space="preserve">     state analyzer</w:t>
        <w:br/>
        <w:t xml:space="preserve">       ↙       ↘</w:t>
        <w:br/>
        <w:t xml:space="preserve">   state A    state B</w:t>
        <w:br/>
        <w:t xml:space="preserve">       \       /</w:t>
        <w:br/>
        <w:t xml:space="preserve">        detectors</w:t>
        <w:br/>
        <w:t xml:space="preserve">           ↓</w:t>
        <w:br/>
        <w:t xml:space="preserve">        feedback</w:t>
      </w:r>
    </w:p>
    <w:p>
      <w:pPr>
        <w:pStyle w:val="Heading1"/>
      </w:pPr>
      <w:r>
        <w:t>4. Beam-Shaping Interpretation</w:t>
      </w:r>
    </w:p>
    <w:p>
      <w:r>
        <w:t>The control region primarily changes internal spin state rather than mechanically sculpting the beam. A subsequent spin-sensitive analyzer can convert that internal-state difference into spatial selection or separation. Beam-related outputs can therefore include polarization fraction, state-selected flux, divergence after analysis, and transmission efficiency.</w:t>
      </w:r>
    </w:p>
    <w:p>
      <w:pPr>
        <w:pStyle w:val="Heading1"/>
      </w:pPr>
      <w:r>
        <w:t>5. Nuclear-Spin Qubit Interpretation</w:t>
      </w:r>
    </w:p>
    <w:p>
      <w:r>
        <w:t>If two long-lived nuclear-spin states form the computational basis, |0⟩ ≡ |↑⟩N and |1⟩ ≡ |↓⟩N, the same controlled interaction can implement single-qubit rotations. Conceptually, the target unitary is U(θ,n) = exp[−i(θ/2)n·σ]. The POC should measure whether the commanded rotation agrees with the reconstructed outgoing state.</w:t>
      </w:r>
    </w:p>
    <w:p>
      <w:pPr>
        <w:pStyle w:val="Heading1"/>
      </w:pPr>
      <w:r>
        <w:t>6. Why Nuclear Reactions Are Excluded from the Core POC</w:t>
      </w:r>
    </w:p>
    <w:p>
      <w:r>
        <w:t>A nuclear reaction changes nuclear composition or produces reaction products and is generally unsuitable as a reversible qubit gate. Coherent nuclear-spin manipulation instead changes the quantum state while preserving the physical carrier. Nuclear reactions may be relevant to other research questions, but they are not required to demonstrate spin rotation, state preparation, or state-sensitive beam selection.</w:t>
      </w:r>
    </w:p>
    <w:p>
      <w:pPr>
        <w:pStyle w:val="Heading1"/>
      </w:pPr>
      <w:r>
        <w:t>7. Plasma / Noble-Gas Layer</w:t>
      </w:r>
    </w:p>
    <w:p>
      <w:r>
        <w:t>A noble-gas or plasma region may be investigated separately as an environmental sensor, transducer, or interaction medium. Its fluctuations can potentially provide side information, but collisions, charge exchange, thermal motion, and fluctuating fields can shorten coherence. The central engineering tradeoff is therefore information/control benefit versus induced dephasing.</w:t>
      </w:r>
    </w:p>
    <w:p>
      <w:pPr>
        <w:jc w:val="center"/>
      </w:pPr>
      <w:r>
        <w:rPr>
          <w:rFonts w:ascii="Cambria Math" w:hAnsi="Cambria Math"/>
          <w:b/>
        </w:rPr>
        <w:t>dρ/dt = −(i/ℏ)[H,ρ] + Lnoise(ρ)</w:t>
      </w:r>
    </w:p>
    <w:p>
      <w:pPr>
        <w:pStyle w:val="Heading1"/>
      </w:pPr>
      <w:r>
        <w:t>8. Experimental Groups</w:t>
      </w:r>
    </w:p>
    <w:p>
      <w:r>
        <w:t>The experiment should isolate the value of coherent field control and any plasma-assisted sensing.</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t>Group</w:t>
            </w:r>
          </w:p>
        </w:tc>
        <w:tc>
          <w:tcPr>
            <w:tcW w:type="dxa" w:w="3293"/>
          </w:tcPr>
          <w:p>
            <w:r>
              <w:t>Configuration</w:t>
            </w:r>
          </w:p>
        </w:tc>
        <w:tc>
          <w:tcPr>
            <w:tcW w:type="dxa" w:w="3293"/>
          </w:tcPr>
          <w:p>
            <w:r>
              <w:t>Question</w:t>
            </w:r>
          </w:p>
        </w:tc>
      </w:tr>
      <w:tr>
        <w:tc>
          <w:tcPr>
            <w:tcW w:type="dxa" w:w="3293"/>
          </w:tcPr>
          <w:p>
            <w:r>
              <w:t>A</w:t>
            </w:r>
          </w:p>
        </w:tc>
        <w:tc>
          <w:tcPr>
            <w:tcW w:type="dxa" w:w="3293"/>
          </w:tcPr>
          <w:p>
            <w:r>
              <w:t>Prepared ensemble, no driven rotation</w:t>
            </w:r>
          </w:p>
        </w:tc>
        <w:tc>
          <w:tcPr>
            <w:tcW w:type="dxa" w:w="3293"/>
          </w:tcPr>
          <w:p>
            <w:r>
              <w:t>Baseline polarization/coherence</w:t>
            </w:r>
          </w:p>
        </w:tc>
      </w:tr>
      <w:tr>
        <w:tc>
          <w:tcPr>
            <w:tcW w:type="dxa" w:w="3293"/>
          </w:tcPr>
          <w:p>
            <w:r>
              <w:t>B</w:t>
            </w:r>
          </w:p>
        </w:tc>
        <w:tc>
          <w:tcPr>
            <w:tcW w:type="dxa" w:w="3293"/>
          </w:tcPr>
          <w:p>
            <w:r>
              <w:t>Static B₀ + calibrated transverse drive</w:t>
            </w:r>
          </w:p>
        </w:tc>
        <w:tc>
          <w:tcPr>
            <w:tcW w:type="dxa" w:w="3293"/>
          </w:tcPr>
          <w:p>
            <w:r>
              <w:t>Can a target spin rotation be produced?</w:t>
            </w:r>
          </w:p>
        </w:tc>
      </w:tr>
      <w:tr>
        <w:tc>
          <w:tcPr>
            <w:tcW w:type="dxa" w:w="3293"/>
          </w:tcPr>
          <w:p>
            <w:r>
              <w:t>C</w:t>
            </w:r>
          </w:p>
        </w:tc>
        <w:tc>
          <w:tcPr>
            <w:tcW w:type="dxa" w:w="3293"/>
          </w:tcPr>
          <w:p>
            <w:r>
              <w:t>Closed-loop waveform optimization</w:t>
            </w:r>
          </w:p>
        </w:tc>
        <w:tc>
          <w:tcPr>
            <w:tcW w:type="dxa" w:w="3293"/>
          </w:tcPr>
          <w:p>
            <w:r>
              <w:t>Does feedback improve rotation fidelity?</w:t>
            </w:r>
          </w:p>
        </w:tc>
      </w:tr>
      <w:tr>
        <w:tc>
          <w:tcPr>
            <w:tcW w:type="dxa" w:w="3293"/>
          </w:tcPr>
          <w:p>
            <w:r>
              <w:t>D</w:t>
            </w:r>
          </w:p>
        </w:tc>
        <w:tc>
          <w:tcPr>
            <w:tcW w:type="dxa" w:w="3293"/>
          </w:tcPr>
          <w:p>
            <w:r>
              <w:t>Same control with plasma/environmental layer</w:t>
            </w:r>
          </w:p>
        </w:tc>
        <w:tc>
          <w:tcPr>
            <w:tcW w:type="dxa" w:w="3293"/>
          </w:tcPr>
          <w:p>
            <w:r>
              <w:t>Does added sensing outweigh added decoherence?</w:t>
            </w:r>
          </w:p>
        </w:tc>
      </w:tr>
    </w:tbl>
    <w:p>
      <w:pPr>
        <w:pStyle w:val="Heading1"/>
      </w:pPr>
      <w:r>
        <w:t>9. Measurable Outputs</w:t>
      </w:r>
    </w:p>
    <w:p>
      <w:r>
        <w:t>The POC should avoid vague claims of increased 'quantum power' and instead use explicit observables.</w:t>
      </w:r>
    </w:p>
    <w:p>
      <w:pPr>
        <w:pStyle w:val="ListBullet"/>
      </w:pPr>
      <w:r>
        <w:t>Spin-polarization percentage before and after control.</w:t>
      </w:r>
    </w:p>
    <w:p>
      <w:pPr>
        <w:pStyle w:val="ListBullet"/>
      </w:pPr>
      <w:r>
        <w:t>Rotation/state-preparation fidelity.</w:t>
      </w:r>
    </w:p>
    <w:p>
      <w:pPr>
        <w:pStyle w:val="ListBullet"/>
      </w:pPr>
      <w:r>
        <w:t>Coherence or dephasing time under each configuration.</w:t>
      </w:r>
    </w:p>
    <w:p>
      <w:pPr>
        <w:pStyle w:val="ListBullet"/>
      </w:pPr>
      <w:r>
        <w:t>State-selection efficiency and transmitted flux.</w:t>
      </w:r>
    </w:p>
    <w:p>
      <w:pPr>
        <w:pStyle w:val="ListBullet"/>
      </w:pPr>
      <w:r>
        <w:t>Beam divergence or spatial separation after a state-sensitive analyzer.</w:t>
      </w:r>
    </w:p>
    <w:p>
      <w:pPr>
        <w:pStyle w:val="ListBullet"/>
      </w:pPr>
      <w:r>
        <w:t>Control-field stability, detuning sensitivity, and calibration overhead.</w:t>
      </w:r>
    </w:p>
    <w:p>
      <w:pPr>
        <w:pStyle w:val="ListBullet"/>
      </w:pPr>
      <w:r>
        <w:t>For a qubit implementation: single-qubit gate fidelity and error rate.</w:t>
      </w:r>
    </w:p>
    <w:p>
      <w:pPr>
        <w:pStyle w:val="Heading1"/>
      </w:pPr>
      <w:r>
        <w:t>10. Adaptive Feedback Loop</w:t>
      </w:r>
    </w:p>
    <w:p>
      <w:r>
        <w:t>Measurements of the outgoing ensemble are compared with the target state. A controller then updates amplitude, phase, frequency, pulse duration, or field orientation. The key research question is whether repeated measure–infer–control cycles converge to a higher-fidelity transformation than a fixed calibration.</w:t>
      </w:r>
    </w:p>
    <w:p>
      <w:pPr>
        <w:pStyle w:val="Heading1"/>
      </w:pPr>
      <w:r>
        <w:t>11. Falsifiable Hypotheses</w:t>
      </w:r>
    </w:p>
    <w:p>
      <w:r>
        <w:t>H1: The overlap region produces a reproducible spin rotation relative to the no-drive baseline. H2: A state-sensitive analyzer converts the controlled spin population into a measurable selection/separation signal. H3: Closed-loop waveform optimization improves held-out rotation fidelity. H4: If a plasma layer is introduced, its sensor information produces a net benefit only when that benefit exceeds the coherence loss it causes.</w:t>
      </w:r>
    </w:p>
    <w:p>
      <w:pPr>
        <w:pStyle w:val="Heading1"/>
      </w:pPr>
      <w:r>
        <w:t>12. Claim Boundaries</w:t>
      </w:r>
    </w:p>
    <w:p>
      <w:r>
        <w:t>This POC does not claim that intersecting fields arbitrarily rewrite nuclear binding, that plasma eliminates quantum uncertainty, or that a nuclear reaction is required for qubit manipulation. It tests coherent spin control and state-conditioned beam preparation using established electromagnetic coupling, with any plasma component treated as an experimentally testable environmental layer.</w:t>
      </w:r>
    </w:p>
    <w:p>
      <w:pPr>
        <w:pStyle w:val="Heading1"/>
      </w:pPr>
      <w:r>
        <w:t>13. Success Criterion</w:t>
      </w:r>
    </w:p>
    <w:p>
      <w:r>
        <w:t>A strong POC result would demonstrate a commanded spin rotation with reproducible state-resolved detection, quantify its fidelity and coherence cost, and show whether adaptive feedback improves performance on held-out settings. A beam-control result should separately quantify how effectively the analyzer converts spin-state control into spatial or population selection.</w:t>
      </w:r>
    </w:p>
    <w:p>
      <w:pPr>
        <w:pStyle w:val="Heading1"/>
      </w:pPr>
      <w:r>
        <w:t>14. Quantum-Computing Relevance</w:t>
      </w:r>
    </w:p>
    <w:p>
      <w:r>
        <w:t>If the carrier supports a usable spin qubit, the center interaction region functions as a physical single-qubit control stage. The broader architecture becomes: prepare qubit → apply calibrated unitary → measure or continue computation. The useful research extension is not destructive nuclear reaction control, but high-fidelity, low-decoherence manipulation of nuclear or electronic spin degrees of freedom.</w:t>
      </w:r>
    </w:p>
    <w:p>
      <w:pPr>
        <w:pStyle w:val="Heading1"/>
      </w:pPr>
      <w:r>
        <w:t>15. Conclusion</w:t>
      </w:r>
    </w:p>
    <w:p>
      <w:r>
        <w:t>The proposed architecture reframes the intersecting-field concept as a coherent spin-control experiment. Electromagnetic fields rotate an internal quantum state; a downstream analyzer converts state differences into measurable populations or trajectories; feedback optimizes the transformation. This creates a direct experimental bridge between particle-beam state preparation and spin-based quantum information processing.</w:t>
      </w:r>
    </w:p>
    <w:p>
      <w:pPr>
        <w:pStyle w:val="Heading1"/>
      </w:pPr>
      <w:r>
        <w:t>POC Data Sheet</w:t>
      </w:r>
    </w:p>
    <w:tbl>
      <w:tblPr>
        <w:tblStyle w:val="TableGrid"/>
        <w:tblW w:type="auto" w:w="0"/>
        <w:tblLook w:firstColumn="1" w:firstRow="1" w:lastColumn="0" w:lastRow="0" w:noHBand="0" w:noVBand="1" w:val="04A0"/>
      </w:tblPr>
      <w:tblGrid>
        <w:gridCol w:w="4939"/>
        <w:gridCol w:w="4939"/>
      </w:tblGrid>
      <w:tr>
        <w:tc>
          <w:tcPr>
            <w:tcW w:type="dxa" w:w="4939"/>
          </w:tcPr>
          <w:p>
            <w:r>
              <w:t>Parameter</w:t>
            </w:r>
          </w:p>
        </w:tc>
        <w:tc>
          <w:tcPr>
            <w:tcW w:type="dxa" w:w="4939"/>
          </w:tcPr>
          <w:p>
            <w:r>
              <w:t>Pre-register / measure</w:t>
            </w:r>
          </w:p>
        </w:tc>
      </w:tr>
      <w:tr>
        <w:tc>
          <w:tcPr>
            <w:tcW w:type="dxa" w:w="4939"/>
          </w:tcPr>
          <w:p>
            <w:r>
              <w:t>Carrier</w:t>
            </w:r>
          </w:p>
        </w:tc>
        <w:tc>
          <w:tcPr>
            <w:tcW w:type="dxa" w:w="4939"/>
          </w:tcPr>
          <w:p>
            <w:r>
              <w:t>Particle/atom/ion and relevant spin</w:t>
            </w:r>
          </w:p>
        </w:tc>
      </w:tr>
      <w:tr>
        <w:tc>
          <w:tcPr>
            <w:tcW w:type="dxa" w:w="4939"/>
          </w:tcPr>
          <w:p>
            <w:r>
              <w:t>Initial state</w:t>
            </w:r>
          </w:p>
        </w:tc>
        <w:tc>
          <w:tcPr>
            <w:tcW w:type="dxa" w:w="4939"/>
          </w:tcPr>
          <w:p>
            <w:r>
              <w:t>Polarization and preparation method</w:t>
            </w:r>
          </w:p>
        </w:tc>
      </w:tr>
      <w:tr>
        <w:tc>
          <w:tcPr>
            <w:tcW w:type="dxa" w:w="4939"/>
          </w:tcPr>
          <w:p>
            <w:r>
              <w:t>Static field</w:t>
            </w:r>
          </w:p>
        </w:tc>
        <w:tc>
          <w:tcPr>
            <w:tcW w:type="dxa" w:w="4939"/>
          </w:tcPr>
          <w:p>
            <w:r>
              <w:t>B₀ and orientation</w:t>
            </w:r>
          </w:p>
        </w:tc>
      </w:tr>
      <w:tr>
        <w:tc>
          <w:tcPr>
            <w:tcW w:type="dxa" w:w="4939"/>
          </w:tcPr>
          <w:p>
            <w:r>
              <w:t>Driven field</w:t>
            </w:r>
          </w:p>
        </w:tc>
        <w:tc>
          <w:tcPr>
            <w:tcW w:type="dxa" w:w="4939"/>
          </w:tcPr>
          <w:p>
            <w:r>
              <w:t>B₁, frequency, phase, pulse duration</w:t>
            </w:r>
          </w:p>
        </w:tc>
      </w:tr>
      <w:tr>
        <w:tc>
          <w:tcPr>
            <w:tcW w:type="dxa" w:w="4939"/>
          </w:tcPr>
          <w:p>
            <w:r>
              <w:t>Target rotation</w:t>
            </w:r>
          </w:p>
        </w:tc>
        <w:tc>
          <w:tcPr>
            <w:tcW w:type="dxa" w:w="4939"/>
          </w:tcPr>
          <w:p>
            <w:r>
              <w:t>θ and rotation axis</w:t>
            </w:r>
          </w:p>
        </w:tc>
      </w:tr>
      <w:tr>
        <w:tc>
          <w:tcPr>
            <w:tcW w:type="dxa" w:w="4939"/>
          </w:tcPr>
          <w:p>
            <w:r>
              <w:t>Primary metric</w:t>
            </w:r>
          </w:p>
        </w:tc>
        <w:tc>
          <w:tcPr>
            <w:tcW w:type="dxa" w:w="4939"/>
          </w:tcPr>
          <w:p>
            <w:r>
              <w:t>State-preparation / rotation fidelity</w:t>
            </w:r>
          </w:p>
        </w:tc>
      </w:tr>
      <w:tr>
        <w:tc>
          <w:tcPr>
            <w:tcW w:type="dxa" w:w="4939"/>
          </w:tcPr>
          <w:p>
            <w:r>
              <w:t>Noise metrics</w:t>
            </w:r>
          </w:p>
        </w:tc>
        <w:tc>
          <w:tcPr>
            <w:tcW w:type="dxa" w:w="4939"/>
          </w:tcPr>
          <w:p>
            <w:r>
              <w:t>Dephasing, collisions, field drift</w:t>
            </w:r>
          </w:p>
        </w:tc>
      </w:tr>
      <w:tr>
        <w:tc>
          <w:tcPr>
            <w:tcW w:type="dxa" w:w="4939"/>
          </w:tcPr>
          <w:p>
            <w:r>
              <w:t>Beam metrics</w:t>
            </w:r>
          </w:p>
        </w:tc>
        <w:tc>
          <w:tcPr>
            <w:tcW w:type="dxa" w:w="4939"/>
          </w:tcPr>
          <w:p>
            <w:r>
              <w:t>Selected flux, separation, divergence</w:t>
            </w:r>
          </w:p>
        </w:tc>
      </w:tr>
      <w:tr>
        <w:tc>
          <w:tcPr>
            <w:tcW w:type="dxa" w:w="4939"/>
          </w:tcPr>
          <w:p>
            <w:r>
              <w:t>Feedback metric</w:t>
            </w:r>
          </w:p>
        </w:tc>
        <w:tc>
          <w:tcPr>
            <w:tcW w:type="dxa" w:w="4939"/>
          </w:tcPr>
          <w:p>
            <w:r>
              <w:t>Improvement versus fixed calibration</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Coherent Spin-Control &amp; Particle-Beam State Preparation —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