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 Outreach Brief: Bitcoin Witness Forgery Exploit ("Bitcoin Kidnapping")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Classification</w:t>
      </w:r>
      <w:r w:rsidDel="00000000" w:rsidR="00000000" w:rsidRPr="00000000">
        <w:rPr>
          <w:rtl w:val="0"/>
        </w:rPr>
        <w:t xml:space="preserve">: CONFIDENTIAL / ETHICAL DISCLOSURE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</w:t>
      </w:r>
      <w:r w:rsidDel="00000000" w:rsidR="00000000" w:rsidRPr="00000000">
        <w:rPr>
          <w:rtl w:val="0"/>
        </w:rPr>
        <w:t xml:space="preserve">: [Red Team Research Division, GhostCore Systems]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[April 2025] </w:t>
      </w:r>
      <w:r w:rsidDel="00000000" w:rsidR="00000000" w:rsidRPr="00000000">
        <w:rPr>
          <w:b w:val="1"/>
          <w:rtl w:val="0"/>
        </w:rPr>
        <w:t xml:space="preserve">Submission Target</w:t>
      </w:r>
      <w:r w:rsidDel="00000000" w:rsidR="00000000" w:rsidRPr="00000000">
        <w:rPr>
          <w:rtl w:val="0"/>
        </w:rPr>
        <w:t xml:space="preserve">: CERT, CISA, relevant blockchain security oversight agencies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3ttkfbbzl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Summary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discloses a novel attack vector within blockchain infrastructure, dubbed </w:t>
      </w:r>
      <w:r w:rsidDel="00000000" w:rsidR="00000000" w:rsidRPr="00000000">
        <w:rPr>
          <w:b w:val="1"/>
          <w:rtl w:val="0"/>
        </w:rPr>
        <w:t xml:space="preserve">"Bitcoin Kidnapping"</w:t>
      </w:r>
      <w:r w:rsidDel="00000000" w:rsidR="00000000" w:rsidRPr="00000000">
        <w:rPr>
          <w:rtl w:val="0"/>
        </w:rPr>
        <w:t xml:space="preserve">. It leverages manipulation of </w:t>
      </w:r>
      <w:r w:rsidDel="00000000" w:rsidR="00000000" w:rsidRPr="00000000">
        <w:rPr>
          <w:b w:val="1"/>
          <w:rtl w:val="0"/>
        </w:rPr>
        <w:t xml:space="preserve">Pay-to-Witness (P2WPKH)</w:t>
      </w:r>
      <w:r w:rsidDel="00000000" w:rsidR="00000000" w:rsidRPr="00000000">
        <w:rPr>
          <w:rtl w:val="0"/>
        </w:rPr>
        <w:t xml:space="preserve"> transaction chains, enabling false validation of Bitcoin transactions that never occurred.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forging witness scripts and aligning them with phantom UTXO entries, attackers may simulate high-value transactions without actual coin transfer. When executed correctly, the blockchain's own consensus mechanisms validate the forged transaction, creating the illusion of a legitimate payment.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pmgkr51i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Threat Profile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Vector Name</w:t>
      </w:r>
      <w:r w:rsidDel="00000000" w:rsidR="00000000" w:rsidRPr="00000000">
        <w:rPr>
          <w:rtl w:val="0"/>
        </w:rPr>
        <w:t xml:space="preserve">: Bitcoin Kidnapping via Witness Forgery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Transaction-level Blockchain Forgery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Exploitation Class</w:t>
      </w:r>
      <w:r w:rsidDel="00000000" w:rsidR="00000000" w:rsidRPr="00000000">
        <w:rPr>
          <w:rtl w:val="0"/>
        </w:rPr>
        <w:t xml:space="preserve">: Phantom UTXO Injection / Witness Chain Hijacking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8y44bg3e18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legitimate transaction receipts.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 real transactions to attacker-controlled wallets.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Abuse consensus verification layers to bypass audit trails.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m5955trqq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Affected Systems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Bitcoin ATMs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Cryptocurrency exchanges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Cold Wallet processors with simplified verification logic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UTXO-based privacy wallets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zxvwigfqq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Breakdown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gnbb3uvk9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Phantom UTXO Collection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Attacker aggregates unspent dust outputs from historical transactions across the blockchain. These are not spent but referenced in future witness chains.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ux3ymbmgy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Witness Chain Fabrication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knowledge of base58 and Bech32 encoding, attacker constructs forged witness scripts with valid structure but referencing phantom data.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jdznwjnum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Validator Hijacking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attacker controls a sufficient number of confirming nodes or targets a low-latency exchange node, the transaction gets accepted before rollback protections trigger.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s8qv43rgk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Ghost Confirmation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Via timing attacks or Sybil wallet flooding, the phantom transaction is made to appear confirmed and immutable, while no real BTC was transferred.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glqhli5n0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Ethical Use Case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Red Team Simulation:</w:t>
      </w:r>
      <w:r w:rsidDel="00000000" w:rsidR="00000000" w:rsidRPr="00000000">
        <w:rPr>
          <w:rtl w:val="0"/>
        </w:rPr>
        <w:t xml:space="preserve"> This exploit is viable for testing financial systems, specifically cold storage validation processes, and smart contract logic integrity for high-value transfer scenarios.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case: Ethical breach simulation on a crypto ATM to evaluate risk from unverified dust UTXOs.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6yuixsllk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 Strategy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Enforce strict UTXO value thresholds to reject dust inputs.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time-based entropy checks on witness chains.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Cross-reference input/output pairs against centralized mempool mirrors.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 stricter replay protection for SegWit inputs.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w1o5r7wzz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GhostCore Systems</w:t>
      </w:r>
      <w:r w:rsidDel="00000000" w:rsidR="00000000" w:rsidRPr="00000000">
        <w:rPr>
          <w:rtl w:val="0"/>
        </w:rPr>
        <w:t xml:space="preserve"> – Red Team Division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[REDACTED]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Submission UUID</w:t>
      </w:r>
      <w:r w:rsidDel="00000000" w:rsidR="00000000" w:rsidRPr="00000000">
        <w:rPr>
          <w:rtl w:val="0"/>
        </w:rPr>
        <w:t xml:space="preserve">: [auto-generated on submission]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All information provided is for educational and preventative security purposes. GhostCore Systems asserts no responsibility for unauthorized use of this research.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