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GhostCore Research Division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White Paper: Covert Trigger Protocol via Physical Currency - $100 Ghost Bill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Classification: Eyes Only // Ghost Division Clearance Required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gbczctwgi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 Title: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"Ghost Bill: A Physical Vector for Stealth System Activation via Modified Currency"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6arhy9jhk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Abstract: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research document outlines a novel proof-of-concept attack vector developed by the GhostCore Research Division. The concept utilizes a physical $100 bill with a non-standard serial number encoding, enabling it to act as a stealthy hardware backdoor trigger. This method bypasses traditional digital defenses and exploits trust in physical mediums.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ol1b18ut6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cyberattack vectors rely on network infiltration, USB device drops, insider threats, or software exploits. However, GhostCore proposes a physical-digital hybrid vector, wherein modified paper currency itself acts as the payload trigger.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vector, dubbed the </w:t>
      </w:r>
      <w:r w:rsidDel="00000000" w:rsidR="00000000" w:rsidRPr="00000000">
        <w:rPr>
          <w:b w:val="1"/>
          <w:rtl w:val="0"/>
        </w:rPr>
        <w:t xml:space="preserve">"Ghost Bill,"</w:t>
      </w:r>
      <w:r w:rsidDel="00000000" w:rsidR="00000000" w:rsidRPr="00000000">
        <w:rPr>
          <w:rtl w:val="0"/>
        </w:rPr>
        <w:t xml:space="preserve"> uses an altered serial number containing control or Unicode characters. When inserted into a system equipped with a bill validator or scanner, the payload activates predefined internal logic, initiating a covert operation or system behavior.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dtjh3e3mji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Anatomy of the Attack Vector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fwkkxlab1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Physical Medium: The Bill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Modified $100 note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Serial number altered to contain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Serial number altered to contain </w:t>
      </w:r>
      <w:r w:rsidDel="00000000" w:rsidR="00000000" w:rsidRPr="00000000">
        <w:rPr>
          <w:rtl w:val="0"/>
        </w:rPr>
        <w:t xml:space="preserve">\x10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tl w:val="0"/>
        </w:rPr>
        <w:t xml:space="preserve">- Serial number altered to contain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\x10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\x1B</w:t>
      </w:r>
      <w:r w:rsidDel="00000000" w:rsidR="00000000" w:rsidRPr="00000000">
        <w:rPr>
          <w:rtl w:val="0"/>
        </w:rPr>
        <w:t xml:space="preserve">, or invisible Unicode characters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use of optical illusions or ink only visible under IR/UV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24weg4z89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Entry Point: Bill Validator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Commercial ATM, kiosk, or gaming system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Validator firmware parses serial number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serial matches an embedded payload pattern, it triggers logic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vckdn40ic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Payload Execution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Upon matching a signature, the validator: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Executes debug or test mode routines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Disables or overrides transaction logging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Dispenses cash without authorization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encoded command to internal network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pr6kuppzr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Evidence Reduction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Rejected bills often not logged in transaction history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Serial numbers rarely stored unless flagged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Reject bin often emptied or ignored by security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eqzdqz950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Technical Breakdown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9f57rqn7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Encoding Payload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payload_serial = "AB1000AB1000\x10ZPX99"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"\x10" in payload_serial: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trigger_covert_mode()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21tigpf5s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Trigger Signature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Validator logic identifies impossible characters or reserved Unicode regions. This forms a </w:t>
      </w:r>
      <w:r w:rsidDel="00000000" w:rsidR="00000000" w:rsidRPr="00000000">
        <w:rPr>
          <w:b w:val="1"/>
          <w:rtl w:val="0"/>
        </w:rPr>
        <w:t xml:space="preserve">hardware-level steganographic signal.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rioqdx6vd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Reverse Forensic Shielding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vector is both non-persistent and physical, ensuring: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Minimal digital trace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forensic footprint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Activation tied to precise moment of insertion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txx57uh8u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Applications and Implications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GhostKey Activation:</w:t>
      </w:r>
      <w:r w:rsidDel="00000000" w:rsidR="00000000" w:rsidRPr="00000000">
        <w:rPr>
          <w:rtl w:val="0"/>
        </w:rPr>
        <w:t xml:space="preserve"> A stealth key-in-hand method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Burner Commands:</w:t>
      </w:r>
      <w:r w:rsidDel="00000000" w:rsidR="00000000" w:rsidRPr="00000000">
        <w:rPr>
          <w:rtl w:val="0"/>
        </w:rPr>
        <w:t xml:space="preserve"> One-time-use activation with zero logging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 Injection:</w:t>
      </w:r>
      <w:r w:rsidDel="00000000" w:rsidR="00000000" w:rsidRPr="00000000">
        <w:rPr>
          <w:rtl w:val="0"/>
        </w:rPr>
        <w:t xml:space="preserve"> Combined with firmware-level rootkits or debug modes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method could be weaponized to: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Bypass air-gapped systems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 backdoors in field devices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Disrupt or commandeer vending/financial infrastructure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wd7j6c0yv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Defense Considerations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serial number sanitization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all serial entries, including rejected ones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Randomize firmware logic checksums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optical sensors to flag visual anomalies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jb0mx2ybl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proof-of-concept outlines the first instance of a </w:t>
      </w:r>
      <w:r w:rsidDel="00000000" w:rsidR="00000000" w:rsidRPr="00000000">
        <w:rPr>
          <w:b w:val="1"/>
          <w:rtl w:val="0"/>
        </w:rPr>
        <w:t xml:space="preserve">tactile payload delivery system</w:t>
      </w:r>
      <w:r w:rsidDel="00000000" w:rsidR="00000000" w:rsidRPr="00000000">
        <w:rPr>
          <w:rtl w:val="0"/>
        </w:rPr>
        <w:t xml:space="preserve"> embedded within a globally accepted physical medium. As security increasingly moves into both digital and hardware domains, such hybrid vectors must be anticipated.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GhostCore will continue researching ethereal payload delivery systems, rooted in physics, obscurity, and divine misdirection.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Author:</w:t>
      </w:r>
      <w:r w:rsidDel="00000000" w:rsidR="00000000" w:rsidRPr="00000000">
        <w:rPr>
          <w:rtl w:val="0"/>
        </w:rPr>
        <w:t xml:space="preserve"> Erick King, GhostCore Systems // Division: Spectral Drift // AuthCode: TSEL-ELOHIM-17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Document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