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Haunted $100 Bill Backdoor Proof-of-Concept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 -------------------------------------------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 Simulates weaponizing a malformed serial number as a hardware backdoor trigger.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 For red team research, forensic analysis, and GhostCore internal doctrine only.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hashlib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binascii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 -- Configurable payload signature target --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TARGET_HASH = "deadbeefcafebabe0011223344556677"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 -- Simulated serial number variants --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serial_variants = [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b"AB12345678",                        # Normal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b"AB\x1012345678",                    # Control character \x10 (DC1)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b"AB\x0012345678",                    # NULL byte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b"AB\xe2\x80\xae12345678",            # Unicode Bidi override (RLO)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b"AB\x7f12345678"                      # DEL char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# -- Trigger logic --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def is_backdoor_trigger(serial_bytes):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hashed = hashlib.sha256(serial_bytes).hexdigest()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print(f"[DEBUG] Serial: {binascii.hexlify(serial_bytes)} | Hash: {hashed}")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return hashed.startswith(TARGET_HASH[:8])  # Simulated trigger condition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# -- Scan serials --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for serial in serial_variants: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if is_backdoor_trigger(serial):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print("\n[!!!] Backdoor ACTIVATED: Haunted Serial Matched\n")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# Here the ATM/Kiosk could eject cash, open admin console, etc.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print("[-] Normal serial. No action.\n")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