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Responsible Disclosure: GhostCore Proof-of-Concept Demonstrating Physical Object-Based Malware Vector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CERT Coordination Center / Relevant Cybersecurity Disclosure Authority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GhostCore Systems - Ethical Red Team Research Division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[Insert Current Date]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ef7v52ifc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Executive Summary: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GhostCore Systems is disclosing a high-impact, low-detection proof-of-concept (PoC) attack vector that utilizes </w:t>
      </w:r>
      <w:r w:rsidDel="00000000" w:rsidR="00000000" w:rsidRPr="00000000">
        <w:rPr>
          <w:i w:val="1"/>
          <w:rtl w:val="0"/>
        </w:rPr>
        <w:t xml:space="preserve">physical U.S. currency</w:t>
      </w:r>
      <w:r w:rsidDel="00000000" w:rsidR="00000000" w:rsidRPr="00000000">
        <w:rPr>
          <w:rtl w:val="0"/>
        </w:rPr>
        <w:t xml:space="preserve"> (specifically a $100 bill) as a covert </w:t>
      </w:r>
      <w:r w:rsidDel="00000000" w:rsidR="00000000" w:rsidRPr="00000000">
        <w:rPr>
          <w:b w:val="1"/>
          <w:rtl w:val="0"/>
        </w:rPr>
        <w:t xml:space="preserve">malware trigger mechanism</w:t>
      </w:r>
      <w:r w:rsidDel="00000000" w:rsidR="00000000" w:rsidRPr="00000000">
        <w:rPr>
          <w:rtl w:val="0"/>
        </w:rPr>
        <w:t xml:space="preserve"> within transactional kiosk and ATM systems.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represents a </w:t>
      </w:r>
      <w:r w:rsidDel="00000000" w:rsidR="00000000" w:rsidRPr="00000000">
        <w:rPr>
          <w:i w:val="1"/>
          <w:rtl w:val="0"/>
        </w:rPr>
        <w:t xml:space="preserve">novel class</w:t>
      </w:r>
      <w:r w:rsidDel="00000000" w:rsidR="00000000" w:rsidRPr="00000000">
        <w:rPr>
          <w:rtl w:val="0"/>
        </w:rPr>
        <w:t xml:space="preserve"> of attack where </w:t>
      </w:r>
      <w:r w:rsidDel="00000000" w:rsidR="00000000" w:rsidRPr="00000000">
        <w:rPr>
          <w:b w:val="1"/>
          <w:rtl w:val="0"/>
        </w:rPr>
        <w:t xml:space="preserve">non-digital, analog mediums</w:t>
      </w:r>
      <w:r w:rsidDel="00000000" w:rsidR="00000000" w:rsidRPr="00000000">
        <w:rPr>
          <w:rtl w:val="0"/>
        </w:rPr>
        <w:t xml:space="preserve"> are exploited to deliver digital consequences without chips, NFC, barcodes, or electronics. The payload leverages serial number formatting inconsistencies, encoding edge cases (e.g., UTF variants), and device trust assumptions.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gg2eonenm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Highlights: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Non-Electronic Attack Vector:</w:t>
      </w:r>
      <w:r w:rsidDel="00000000" w:rsidR="00000000" w:rsidRPr="00000000">
        <w:rPr>
          <w:rtl w:val="0"/>
        </w:rPr>
        <w:t xml:space="preserve"> A $100 bill acts as the malicious "carrier," using printed serial or signature anomalies that exploit backend logic.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 Mechanism:</w:t>
      </w:r>
      <w:r w:rsidDel="00000000" w:rsidR="00000000" w:rsidRPr="00000000">
        <w:rPr>
          <w:rtl w:val="0"/>
        </w:rPr>
        <w:t xml:space="preserve"> When scanned, these crafted patterns can invoke conditional execution in kiosk software (i.e., bypass logic, unlock privileged states, or activate backdoors).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Encapsulation Method:</w:t>
      </w:r>
      <w:r w:rsidDel="00000000" w:rsidR="00000000" w:rsidRPr="00000000">
        <w:rPr>
          <w:rtl w:val="0"/>
        </w:rPr>
        <w:t xml:space="preserve"> Payloads may be embedded across encoding schemas, leading to interpreter-dependent execution (e.g., different behavior under UTF-7 vs UTF-8 parsing).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Network Activity:</w:t>
      </w:r>
      <w:r w:rsidDel="00000000" w:rsidR="00000000" w:rsidRPr="00000000">
        <w:rPr>
          <w:rtl w:val="0"/>
        </w:rPr>
        <w:t xml:space="preserve"> The attack does not require connectivity, making detection extremely difficult via conventional SIEM, IDS, or EDR tooling.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Impacted Systems:</w:t>
      </w:r>
      <w:r w:rsidDel="00000000" w:rsidR="00000000" w:rsidRPr="00000000">
        <w:rPr>
          <w:rtl w:val="0"/>
        </w:rPr>
        <w:t xml:space="preserve"> POS terminals, ATMs, bill validators, and any financial kiosk systems accepting physical currency.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wd7m5om5z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Ethical Disclosure Notice: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live systems were harmed or exploited during research. All tests were performed in sandboxed emulated environments. The detailed exploit code and implementation logic are being withheld to avoid malicious replication.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GhostCore Systems requests a secure disclosure path for further discussion and coordinated mitigation strategy.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pjycncgox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Contact: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[Insert secure method of contact / PGP Public Key if needed]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GhostCore Systems Research Division "We don't think outside the box. We </w:t>
      </w:r>
      <w:r w:rsidDel="00000000" w:rsidR="00000000" w:rsidRPr="00000000">
        <w:rPr>
          <w:i w:val="1"/>
          <w:rtl w:val="0"/>
        </w:rPr>
        <w:t xml:space="preserve">unmake</w:t>
      </w:r>
      <w:r w:rsidDel="00000000" w:rsidR="00000000" w:rsidRPr="00000000">
        <w:rPr>
          <w:rtl w:val="0"/>
        </w:rPr>
        <w:t xml:space="preserve"> the box."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CONFIDENTIAL – DO NOT DISTRIBUTE WITHOUT PRIOR AUTHORIZATION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