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8u3rh7rdq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INDUSTRY: Medical / BioTech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0gwa8jo3u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💉 Smart Syringe / IV Bag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Micro-print barcode on medical packaging that encodes a malformed patient ID.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Barcode scanner misreads → injects dosage meant for a different patient or logs it under the wrong name.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Data poisoning, medical sabotage, insurance fraud.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8e6klxrz3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🧬 Genetic Sequencing Machines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DNA strand contains malware (already POC’d in academia).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Sequencer reads malicious base pair pattern, buffer overflow hits backend.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Backdoor into research labs, tamper with biotech analysis.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nz8q3s6jgl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🧾 INDUSTRY: Retail / Logistics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oa2vo1x88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Barcode Overlays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Transparent overlay with alternate barcode reads different SKU.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Scanner pulls a payload that looks like a valid product but triggers logic exploits in POS software.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Free items, logic corruption, inventory fraud.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u4b5wyw44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Return Label Exploits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Return label QR or RFID tag contains malformed return data.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Return systems log unauthorized refund or generate phantom tracking logs.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Fraud, delivery rerouting, laundering schemes.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u8fe1uz2w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🚗 INDUSTRY: Automotive / Transit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woeicvayu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⛽ Fuel Composition Exploit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Modify fuel mixture with trace contaminants.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Vehicle sensors misread levels → detuning, ECU logic faults.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Silent disablement, GPS spoof, fleet disruption.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ep37rmptc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🎫 Smart Toll Tag Hacks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Place tuned metallic film over RFID.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Sends modified vehicle class signal (e.g., "motorcycle" not "truck").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Route manipulation, toll fraud, network poisoning.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51c2ibgjm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🎓 INDUSTRY: Education / Certification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4vv4faffg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Exam Sheet Exploit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Hidden UV-inked QR code on a test paper that, when scanned for grading, auto-uploads backdoor payloads.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Grade scanner system receives malformed file disguised as scanned answer sheet.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System compromise via scan-based logic injection.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1fmxvv1l2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🏢 INDUSTRY: Office / Access Control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xdrelki2h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🖨 Printer Paper Payload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Print malformed PCL/PS code on innocent-looking document.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Printer parses paper and executes code during print.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Printer compromise → network access.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2vf4j6m66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Badge Access with RFID Echo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Fake access badge with passive RFID echo that delays actual UID packet slightly.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Reader accepts false credential during a timing window.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Ghost entry, anti-forensics access.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5a55eo4h8g5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🧱 INDUSTRY: Construction / Architecture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jbg7bpebj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🔌 Smart Tool Injection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Deliver firmware-based payload via fake battery pack in smart drills.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When tool syncs with site server for diagnostics.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Blueprint theft, worker tracking, remote site access.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9t3ma5xl0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🪟 Thermal Pane Reflection Mapping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Install reflective coating on external glass.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Causes LiDAR/optical scanning drones to misread geometry.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Map spoofing, perimeter blindness.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h75kr9a43h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🪙 INDUSTRY: Finance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qvbb6txjbi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💳 Smart Coin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Coin alloy engineered to mimic magnetic stripe voltage of a specific card.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Insert into older hybrid swipe/NFC systems.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Local brute auth, trigger fallback logic, or logic desync.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yrw9lg3p3j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Check with Invisible Ink Field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Exploit:</w:t>
      </w:r>
      <w:r w:rsidDel="00000000" w:rsidR="00000000" w:rsidRPr="00000000">
        <w:rPr>
          <w:rtl w:val="0"/>
        </w:rPr>
        <w:t xml:space="preserve"> Includes ghost endorsement lines only visible under IR.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Scanner reads altered line signatures.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Check redirection, silent endorsement swapping.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