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41FCE" w14:textId="77777777" w:rsidR="00A57A43" w:rsidRPr="00A57A43" w:rsidRDefault="00A57A43" w:rsidP="00A57A43">
      <w:pPr>
        <w:rPr>
          <w:b/>
          <w:bCs/>
          <w:color w:val="EE0000"/>
        </w:rPr>
      </w:pPr>
      <w:r w:rsidRPr="00A57A43">
        <w:rPr>
          <w:b/>
          <w:bCs/>
          <w:color w:val="EE0000"/>
        </w:rPr>
        <w:t>INFORME DE CONFIGURACIÓN: SEGURIDAD LÓGICA Y CONTROL DE ACCESOS</w:t>
      </w:r>
    </w:p>
    <w:p w14:paraId="4F551945" w14:textId="77777777" w:rsidR="00A57A43" w:rsidRPr="00A57A43" w:rsidRDefault="00A57A43" w:rsidP="00A57A43">
      <w:r w:rsidRPr="00A57A43">
        <w:rPr>
          <w:b/>
          <w:bCs/>
        </w:rPr>
        <w:t>Empresa:</w:t>
      </w:r>
      <w:r w:rsidRPr="00A57A43">
        <w:t xml:space="preserve"> </w:t>
      </w:r>
      <w:proofErr w:type="spellStart"/>
      <w:r w:rsidRPr="00A57A43">
        <w:t>TechSolutions</w:t>
      </w:r>
      <w:proofErr w:type="spellEnd"/>
      <w:r w:rsidRPr="00A57A43">
        <w:t xml:space="preserve"> S.A. </w:t>
      </w:r>
    </w:p>
    <w:p w14:paraId="0EB75A97" w14:textId="77777777" w:rsidR="00A57A43" w:rsidRPr="00A57A43" w:rsidRDefault="00A57A43" w:rsidP="00A57A43">
      <w:r w:rsidRPr="00A57A43">
        <w:rPr>
          <w:b/>
          <w:bCs/>
        </w:rPr>
        <w:t>Responsable:</w:t>
      </w:r>
      <w:r w:rsidRPr="00A57A43">
        <w:t xml:space="preserve"> Administrador de Red </w:t>
      </w:r>
    </w:p>
    <w:p w14:paraId="2B1B0343" w14:textId="77777777" w:rsidR="00A57A43" w:rsidRPr="00A57A43" w:rsidRDefault="00A57A43" w:rsidP="00A57A43">
      <w:r w:rsidRPr="00A57A43">
        <w:rPr>
          <w:b/>
          <w:bCs/>
        </w:rPr>
        <w:t>Unidad:</w:t>
      </w:r>
      <w:r w:rsidRPr="00A57A43">
        <w:t xml:space="preserve"> Seguridad Lógica y Criptografía (RA3) </w:t>
      </w:r>
    </w:p>
    <w:p w14:paraId="4658E1DA" w14:textId="187F9E26" w:rsidR="00A57A43" w:rsidRPr="00A57A43" w:rsidRDefault="00A57A43" w:rsidP="00A57A43"/>
    <w:p w14:paraId="5ADD5118" w14:textId="77777777" w:rsidR="00A57A43" w:rsidRPr="00A57A43" w:rsidRDefault="00A57A43" w:rsidP="00A57A43">
      <w:pPr>
        <w:rPr>
          <w:b/>
          <w:bCs/>
          <w:color w:val="EE0000"/>
        </w:rPr>
      </w:pPr>
      <w:r w:rsidRPr="00A57A43">
        <w:rPr>
          <w:b/>
          <w:bCs/>
          <w:color w:val="EE0000"/>
        </w:rPr>
        <w:t>A. CONTROL DE ACCESOS Y MODELO AAA</w:t>
      </w:r>
    </w:p>
    <w:p w14:paraId="777CEAF2" w14:textId="77777777" w:rsidR="00A57A43" w:rsidRPr="00A57A43" w:rsidRDefault="00A57A43" w:rsidP="00A57A43">
      <w:pPr>
        <w:rPr>
          <w:b/>
          <w:bCs/>
          <w:color w:val="EE0000"/>
        </w:rPr>
      </w:pPr>
      <w:r w:rsidRPr="00A57A43">
        <w:rPr>
          <w:b/>
          <w:bCs/>
          <w:color w:val="EE0000"/>
        </w:rPr>
        <w:t xml:space="preserve">1. El Principio de Mínimo Privilegio (Need </w:t>
      </w:r>
      <w:proofErr w:type="spellStart"/>
      <w:r w:rsidRPr="00A57A43">
        <w:rPr>
          <w:b/>
          <w:bCs/>
          <w:color w:val="EE0000"/>
        </w:rPr>
        <w:t>to</w:t>
      </w:r>
      <w:proofErr w:type="spellEnd"/>
      <w:r w:rsidRPr="00A57A43">
        <w:rPr>
          <w:b/>
          <w:bCs/>
          <w:color w:val="EE0000"/>
        </w:rPr>
        <w:t xml:space="preserve"> </w:t>
      </w:r>
      <w:proofErr w:type="spellStart"/>
      <w:r w:rsidRPr="00A57A43">
        <w:rPr>
          <w:b/>
          <w:bCs/>
          <w:color w:val="EE0000"/>
        </w:rPr>
        <w:t>know</w:t>
      </w:r>
      <w:proofErr w:type="spellEnd"/>
      <w:r w:rsidRPr="00A57A43">
        <w:rPr>
          <w:b/>
          <w:bCs/>
          <w:color w:val="EE0000"/>
        </w:rPr>
        <w:t>)</w:t>
      </w:r>
    </w:p>
    <w:p w14:paraId="0E4E2EF8" w14:textId="77777777" w:rsidR="00A57A43" w:rsidRPr="00A57A43" w:rsidRDefault="00A57A43" w:rsidP="00A57A43">
      <w:r w:rsidRPr="00A57A43">
        <w:t>Este principio fundamental de la seguridad lógica establece que a los usuarios se les debe otorgar únicamente el acceso necesario para realizar sus tareas laborales específicas.</w:t>
      </w:r>
    </w:p>
    <w:p w14:paraId="686C86AE" w14:textId="77777777" w:rsidR="00A57A43" w:rsidRPr="00A57A43" w:rsidRDefault="00A57A43" w:rsidP="00A57A43">
      <w:pPr>
        <w:numPr>
          <w:ilvl w:val="0"/>
          <w:numId w:val="1"/>
        </w:numPr>
      </w:pPr>
      <w:r w:rsidRPr="00A57A43">
        <w:rPr>
          <w:b/>
          <w:bCs/>
          <w:color w:val="EE0000"/>
        </w:rPr>
        <w:t>Definición:</w:t>
      </w:r>
      <w:r w:rsidRPr="00A57A43">
        <w:rPr>
          <w:color w:val="EE0000"/>
        </w:rPr>
        <w:t xml:space="preserve"> </w:t>
      </w:r>
      <w:r w:rsidRPr="00A57A43">
        <w:t>Consiste en limitar los derechos de acceso y privilegios al nivel más bajo posible que permita cumplir con las responsabilidades del puesto.</w:t>
      </w:r>
    </w:p>
    <w:p w14:paraId="2677AFF5" w14:textId="77777777" w:rsidR="00A57A43" w:rsidRPr="00A57A43" w:rsidRDefault="00A57A43" w:rsidP="00A57A43">
      <w:pPr>
        <w:numPr>
          <w:ilvl w:val="0"/>
          <w:numId w:val="1"/>
        </w:numPr>
      </w:pPr>
      <w:r w:rsidRPr="00A57A43">
        <w:rPr>
          <w:b/>
          <w:bCs/>
          <w:color w:val="EE0000"/>
        </w:rPr>
        <w:t>Prevención de incidentes:</w:t>
      </w:r>
      <w:r w:rsidRPr="00A57A43">
        <w:rPr>
          <w:color w:val="EE0000"/>
        </w:rPr>
        <w:t xml:space="preserve"> </w:t>
      </w:r>
      <w:r w:rsidRPr="00A57A43">
        <w:t>Al no tener "acceso total", se reduce drásticamente la superficie de ataque.</w:t>
      </w:r>
    </w:p>
    <w:p w14:paraId="58A60F50" w14:textId="77777777" w:rsidR="00A57A43" w:rsidRPr="00A57A43" w:rsidRDefault="00A57A43" w:rsidP="00A57A43">
      <w:pPr>
        <w:numPr>
          <w:ilvl w:val="0"/>
          <w:numId w:val="1"/>
        </w:numPr>
      </w:pPr>
      <w:r w:rsidRPr="00A57A43">
        <w:rPr>
          <w:b/>
          <w:bCs/>
          <w:color w:val="EE0000"/>
        </w:rPr>
        <w:t>Prevención de fraude:</w:t>
      </w:r>
      <w:r w:rsidRPr="00A57A43">
        <w:t xml:space="preserve"> Evita que empleados realicen acciones no autorizadas en áreas que no les corresponden, limitando el riesgo de robo o manipulación de datos.</w:t>
      </w:r>
    </w:p>
    <w:p w14:paraId="75A64A93" w14:textId="77777777" w:rsidR="00A57A43" w:rsidRPr="00A57A43" w:rsidRDefault="00A57A43" w:rsidP="00A57A43">
      <w:pPr>
        <w:numPr>
          <w:ilvl w:val="0"/>
          <w:numId w:val="1"/>
        </w:numPr>
      </w:pPr>
      <w:r w:rsidRPr="00A57A43">
        <w:rPr>
          <w:b/>
          <w:bCs/>
          <w:color w:val="EE0000"/>
        </w:rPr>
        <w:t>Mitigación de errores:</w:t>
      </w:r>
      <w:r w:rsidRPr="00A57A43">
        <w:t xml:space="preserve"> Si un usuario comete un error o su cuenta es comprometida, el impacto se limita solo a sus recursos asignados, impidiendo que un incidente interno afecte a toda la red corporativa.</w:t>
      </w:r>
    </w:p>
    <w:p w14:paraId="0787D36E" w14:textId="77777777" w:rsidR="00A57A43" w:rsidRPr="00A57A43" w:rsidRDefault="00A57A43" w:rsidP="00A57A43">
      <w:pPr>
        <w:rPr>
          <w:b/>
          <w:bCs/>
        </w:rPr>
      </w:pPr>
      <w:r w:rsidRPr="00A57A43">
        <w:rPr>
          <w:b/>
          <w:bCs/>
          <w:color w:val="EE0000"/>
        </w:rPr>
        <w:t>2. Diferenciación en el Modelo AAA: Autenticación vs. Autorización</w:t>
      </w:r>
    </w:p>
    <w:p w14:paraId="00C6D757" w14:textId="77777777" w:rsidR="00A57A43" w:rsidRPr="00A57A43" w:rsidRDefault="00A57A43" w:rsidP="00A57A43">
      <w:r w:rsidRPr="00A57A43">
        <w:t>Para un empleado de Recursos Humanos intentando acceder a un archivo en el servidor, las fases se distinguen de la siguiente manera:</w:t>
      </w:r>
    </w:p>
    <w:p w14:paraId="673FD6CE" w14:textId="77777777" w:rsidR="00A57A43" w:rsidRPr="00A57A43" w:rsidRDefault="00A57A43" w:rsidP="00A57A43">
      <w:pPr>
        <w:numPr>
          <w:ilvl w:val="0"/>
          <w:numId w:val="2"/>
        </w:numPr>
      </w:pPr>
      <w:r w:rsidRPr="00A57A43">
        <w:rPr>
          <w:b/>
          <w:bCs/>
          <w:color w:val="EE0000"/>
        </w:rPr>
        <w:t>Autenticación:</w:t>
      </w:r>
      <w:r w:rsidRPr="00A57A43">
        <w:t xml:space="preserve"> Es la fase de identificación inicial. El sistema verifica la identidad del empleado (por ejemplo, mediante usuario y contraseña) para asegurar que es quien dice ser.</w:t>
      </w:r>
    </w:p>
    <w:p w14:paraId="17209181" w14:textId="77777777" w:rsidR="00A57A43" w:rsidRPr="00A57A43" w:rsidRDefault="00A57A43" w:rsidP="00A57A43">
      <w:pPr>
        <w:numPr>
          <w:ilvl w:val="0"/>
          <w:numId w:val="2"/>
        </w:numPr>
      </w:pPr>
      <w:r w:rsidRPr="00A57A43">
        <w:rPr>
          <w:b/>
          <w:bCs/>
          <w:color w:val="EE0000"/>
        </w:rPr>
        <w:t>Autorización:</w:t>
      </w:r>
      <w:r w:rsidRPr="00A57A43">
        <w:rPr>
          <w:color w:val="EE0000"/>
        </w:rPr>
        <w:t xml:space="preserve"> </w:t>
      </w:r>
      <w:r w:rsidRPr="00A57A43">
        <w:t>Una vez autenticado, el sistema determina qué acciones tiene permitido realizar el empleado basándose en su rol. Por ejemplo, el sistema verifica si el usuario de RRHH tiene permisos específicos para "abrir" o "editar" ese archivo concreto en el servidor.</w:t>
      </w:r>
    </w:p>
    <w:p w14:paraId="577AB9AF" w14:textId="72E2C715" w:rsidR="00A57A43" w:rsidRPr="00A57A43" w:rsidRDefault="00A57A43" w:rsidP="00A57A43"/>
    <w:p w14:paraId="1A3254C7" w14:textId="77777777" w:rsidR="00A57A43" w:rsidRPr="00A57A43" w:rsidRDefault="00A57A43" w:rsidP="00A57A43">
      <w:pPr>
        <w:rPr>
          <w:b/>
          <w:bCs/>
          <w:color w:val="EE0000"/>
        </w:rPr>
      </w:pPr>
      <w:r w:rsidRPr="00A57A43">
        <w:rPr>
          <w:b/>
          <w:bCs/>
          <w:color w:val="EE0000"/>
        </w:rPr>
        <w:lastRenderedPageBreak/>
        <w:t>B. DISEÑO DE LISTAS DE CONTROL DE ACCESO (ACL)</w:t>
      </w:r>
    </w:p>
    <w:p w14:paraId="17EB26D8" w14:textId="77777777" w:rsidR="00A57A43" w:rsidRPr="00A57A43" w:rsidRDefault="00A57A43" w:rsidP="00A57A43">
      <w:r w:rsidRPr="00A57A43">
        <w:t xml:space="preserve">Las ACL funcionarán como el filtro de seguridad en el </w:t>
      </w:r>
      <w:proofErr w:type="spellStart"/>
      <w:r w:rsidRPr="00A57A43">
        <w:t>router</w:t>
      </w:r>
      <w:proofErr w:type="spellEnd"/>
      <w:r w:rsidRPr="00A57A43">
        <w:t xml:space="preserve"> principal para gestionar el flujo de paquetes de datos.</w:t>
      </w:r>
    </w:p>
    <w:p w14:paraId="333DEA10" w14:textId="77777777" w:rsidR="00A57A43" w:rsidRPr="00A57A43" w:rsidRDefault="00A57A43" w:rsidP="00A57A43">
      <w:pPr>
        <w:rPr>
          <w:b/>
          <w:bCs/>
          <w:color w:val="EE0000"/>
        </w:rPr>
      </w:pPr>
      <w:r w:rsidRPr="00A57A43">
        <w:rPr>
          <w:b/>
          <w:bCs/>
          <w:color w:val="EE0000"/>
        </w:rPr>
        <w:t>1. Regla 1: Configuración del Servidor Web</w:t>
      </w:r>
    </w:p>
    <w:p w14:paraId="69492720" w14:textId="77777777" w:rsidR="00A57A43" w:rsidRPr="00A57A43" w:rsidRDefault="00A57A43" w:rsidP="00A57A43">
      <w:pPr>
        <w:numPr>
          <w:ilvl w:val="0"/>
          <w:numId w:val="3"/>
        </w:numPr>
      </w:pPr>
      <w:r w:rsidRPr="00A57A43">
        <w:rPr>
          <w:b/>
          <w:bCs/>
          <w:color w:val="EE0000"/>
        </w:rPr>
        <w:t>Lógica de la regla:</w:t>
      </w:r>
      <w:r w:rsidRPr="00A57A43">
        <w:rPr>
          <w:color w:val="EE0000"/>
        </w:rPr>
        <w:t xml:space="preserve"> </w:t>
      </w:r>
      <w:r w:rsidRPr="00A57A43">
        <w:t>Permitir el tráfico entrante de cualquier origen externo siempre que el destino sea el puerto 80 (TCP/WWW) de la IP específica del servidor.</w:t>
      </w:r>
    </w:p>
    <w:p w14:paraId="366EE31F" w14:textId="00FC6213" w:rsidR="00A57A43" w:rsidRPr="00A57A43" w:rsidRDefault="00A57A43" w:rsidP="00A57A43">
      <w:pPr>
        <w:numPr>
          <w:ilvl w:val="0"/>
          <w:numId w:val="3"/>
        </w:numPr>
      </w:pPr>
      <w:r w:rsidRPr="00A57A43">
        <w:rPr>
          <w:b/>
          <w:bCs/>
          <w:color w:val="EE0000"/>
        </w:rPr>
        <w:t>Traducción técnica:</w:t>
      </w:r>
      <w:r w:rsidRPr="00A57A43">
        <w:rPr>
          <w:color w:val="EE0000"/>
        </w:rPr>
        <w:t xml:space="preserve"> </w:t>
      </w:r>
      <w:r w:rsidRPr="00A57A43">
        <w:t>Permit</w:t>
      </w:r>
      <w:r>
        <w:t>e</w:t>
      </w:r>
      <w:r w:rsidRPr="00A57A43">
        <w:t xml:space="preserve"> TCP Any 172.10.20.10 </w:t>
      </w:r>
      <w:proofErr w:type="spellStart"/>
      <w:r w:rsidRPr="00A57A43">
        <w:t>eq</w:t>
      </w:r>
      <w:proofErr w:type="spellEnd"/>
      <w:r w:rsidRPr="00A57A43">
        <w:t xml:space="preserve"> 80 (www).</w:t>
      </w:r>
    </w:p>
    <w:p w14:paraId="570BF6B3" w14:textId="77777777" w:rsidR="00A57A43" w:rsidRPr="00A57A43" w:rsidRDefault="00A57A43" w:rsidP="00A57A43">
      <w:pPr>
        <w:numPr>
          <w:ilvl w:val="0"/>
          <w:numId w:val="3"/>
        </w:numPr>
      </w:pPr>
      <w:r w:rsidRPr="00A57A43">
        <w:rPr>
          <w:b/>
          <w:bCs/>
          <w:color w:val="EE0000"/>
        </w:rPr>
        <w:t>Objetivo:</w:t>
      </w:r>
      <w:r w:rsidRPr="00A57A43">
        <w:rPr>
          <w:color w:val="EE0000"/>
        </w:rPr>
        <w:t xml:space="preserve"> </w:t>
      </w:r>
      <w:r w:rsidRPr="00A57A43">
        <w:t>Garantizar que el Servidor Web público sea accesible para los usuarios externos.</w:t>
      </w:r>
    </w:p>
    <w:p w14:paraId="01041416" w14:textId="77777777" w:rsidR="00A57A43" w:rsidRPr="00A57A43" w:rsidRDefault="00A57A43" w:rsidP="00A57A43">
      <w:pPr>
        <w:rPr>
          <w:b/>
          <w:bCs/>
        </w:rPr>
      </w:pPr>
      <w:r w:rsidRPr="00A57A43">
        <w:rPr>
          <w:b/>
          <w:bCs/>
          <w:color w:val="EE0000"/>
        </w:rPr>
        <w:t>2. Regla 2: Bloqueo de Protocolo ICMP (</w:t>
      </w:r>
      <w:proofErr w:type="spellStart"/>
      <w:r w:rsidRPr="00A57A43">
        <w:rPr>
          <w:b/>
          <w:bCs/>
          <w:color w:val="EE0000"/>
        </w:rPr>
        <w:t>Anti-reconocimiento</w:t>
      </w:r>
      <w:proofErr w:type="spellEnd"/>
      <w:r w:rsidRPr="00A57A43">
        <w:rPr>
          <w:b/>
          <w:bCs/>
          <w:color w:val="EE0000"/>
        </w:rPr>
        <w:t>)</w:t>
      </w:r>
    </w:p>
    <w:p w14:paraId="1483486B" w14:textId="77777777" w:rsidR="00A57A43" w:rsidRPr="00A57A43" w:rsidRDefault="00A57A43" w:rsidP="00A57A43">
      <w:pPr>
        <w:numPr>
          <w:ilvl w:val="0"/>
          <w:numId w:val="4"/>
        </w:numPr>
      </w:pPr>
      <w:r w:rsidRPr="00A57A43">
        <w:rPr>
          <w:b/>
          <w:bCs/>
          <w:color w:val="EE0000"/>
        </w:rPr>
        <w:t>Lógica de la regla:</w:t>
      </w:r>
      <w:r w:rsidRPr="00A57A43">
        <w:rPr>
          <w:color w:val="EE0000"/>
        </w:rPr>
        <w:t xml:space="preserve"> </w:t>
      </w:r>
      <w:r w:rsidRPr="00A57A43">
        <w:t>Denegar cualquier paquete del protocolo ICMP proveniente del exterior dirigido a la red interna.</w:t>
      </w:r>
    </w:p>
    <w:p w14:paraId="0B7DDBBC" w14:textId="77777777" w:rsidR="00A57A43" w:rsidRPr="00A57A43" w:rsidRDefault="00A57A43" w:rsidP="00A57A43">
      <w:pPr>
        <w:numPr>
          <w:ilvl w:val="0"/>
          <w:numId w:val="4"/>
        </w:numPr>
      </w:pPr>
      <w:r w:rsidRPr="00A57A43">
        <w:rPr>
          <w:b/>
          <w:bCs/>
          <w:color w:val="EE0000"/>
        </w:rPr>
        <w:t>Traducción técnica:</w:t>
      </w:r>
      <w:r w:rsidRPr="00A57A43">
        <w:rPr>
          <w:color w:val="EE0000"/>
        </w:rPr>
        <w:t xml:space="preserve"> </w:t>
      </w:r>
      <w:r w:rsidRPr="00A57A43">
        <w:t xml:space="preserve">Deny ICMP Any </w:t>
      </w:r>
      <w:proofErr w:type="spellStart"/>
      <w:r w:rsidRPr="00A57A43">
        <w:t>Any</w:t>
      </w:r>
      <w:proofErr w:type="spellEnd"/>
      <w:r w:rsidRPr="00A57A43">
        <w:t xml:space="preserve"> (aplicado en la interfaz de entrada desde el exterior).</w:t>
      </w:r>
    </w:p>
    <w:p w14:paraId="76637660" w14:textId="77777777" w:rsidR="00A57A43" w:rsidRPr="00A57A43" w:rsidRDefault="00A57A43" w:rsidP="00A57A43">
      <w:pPr>
        <w:numPr>
          <w:ilvl w:val="0"/>
          <w:numId w:val="4"/>
        </w:numPr>
      </w:pPr>
      <w:r w:rsidRPr="00A57A43">
        <w:rPr>
          <w:b/>
          <w:bCs/>
          <w:color w:val="EE0000"/>
        </w:rPr>
        <w:t>Objetivo:</w:t>
      </w:r>
      <w:r w:rsidRPr="00A57A43">
        <w:t xml:space="preserve"> Evitar ataques de reconocimiento y escaneo de red mediante "pings", ocultando la estructura interna de la empresa a posibles atacantes.</w:t>
      </w:r>
    </w:p>
    <w:p w14:paraId="60C13679" w14:textId="77777777" w:rsidR="00A57A43" w:rsidRPr="00A57A43" w:rsidRDefault="00A57A43" w:rsidP="00A57A43">
      <w:pPr>
        <w:rPr>
          <w:b/>
          <w:bCs/>
          <w:color w:val="EE0000"/>
        </w:rPr>
      </w:pPr>
      <w:r w:rsidRPr="00A57A43">
        <w:rPr>
          <w:b/>
          <w:bCs/>
          <w:color w:val="EE0000"/>
        </w:rPr>
        <w:t>3. Regla 3: Aislamiento de la Red de Invitados</w:t>
      </w:r>
    </w:p>
    <w:p w14:paraId="6F53B046" w14:textId="77777777" w:rsidR="00A57A43" w:rsidRPr="00A57A43" w:rsidRDefault="00A57A43" w:rsidP="00A57A43">
      <w:pPr>
        <w:numPr>
          <w:ilvl w:val="0"/>
          <w:numId w:val="5"/>
        </w:numPr>
      </w:pPr>
      <w:r w:rsidRPr="00A57A43">
        <w:rPr>
          <w:b/>
          <w:bCs/>
          <w:color w:val="EE0000"/>
        </w:rPr>
        <w:t>Lógica de la regla:</w:t>
      </w:r>
      <w:r w:rsidRPr="00A57A43">
        <w:rPr>
          <w:color w:val="EE0000"/>
        </w:rPr>
        <w:t xml:space="preserve"> </w:t>
      </w:r>
      <w:r w:rsidRPr="00A57A43">
        <w:t>Denegar todo tráfico cuyo origen sea la subred de "Invitados" y cuyo destino sea la subred de "Recursos Humanos".</w:t>
      </w:r>
    </w:p>
    <w:p w14:paraId="789E51FB" w14:textId="77777777" w:rsidR="00A57A43" w:rsidRPr="00A57A43" w:rsidRDefault="00A57A43" w:rsidP="00A57A43">
      <w:pPr>
        <w:numPr>
          <w:ilvl w:val="0"/>
          <w:numId w:val="5"/>
        </w:numPr>
      </w:pPr>
      <w:r w:rsidRPr="00A57A43">
        <w:rPr>
          <w:b/>
          <w:bCs/>
          <w:color w:val="EE0000"/>
        </w:rPr>
        <w:t>Justificación de seguridad:</w:t>
      </w:r>
      <w:r w:rsidRPr="00A57A43">
        <w:rPr>
          <w:color w:val="EE0000"/>
        </w:rPr>
        <w:t xml:space="preserve"> </w:t>
      </w:r>
      <w:r w:rsidRPr="00A57A43">
        <w:t>Es vital porque la red de invitados (</w:t>
      </w:r>
      <w:proofErr w:type="spellStart"/>
      <w:r w:rsidRPr="00A57A43">
        <w:t>Wi</w:t>
      </w:r>
      <w:proofErr w:type="spellEnd"/>
      <w:r w:rsidRPr="00A57A43">
        <w:t xml:space="preserve">-Fi pública) es un entorno no confiable. Dado que el departamento de RRHH maneja información sensible, esta regla impide que cualquier usuario externo o dispositivo infectado en la zona </w:t>
      </w:r>
      <w:proofErr w:type="spellStart"/>
      <w:r w:rsidRPr="00A57A43">
        <w:t>Wi</w:t>
      </w:r>
      <w:proofErr w:type="spellEnd"/>
      <w:r w:rsidRPr="00A57A43">
        <w:t>-Fi pueda saltar a la red privada de la empresa y comprometer datos críticos.</w:t>
      </w:r>
    </w:p>
    <w:p w14:paraId="5C199A15" w14:textId="77777777" w:rsidR="001A3754" w:rsidRDefault="001A3754"/>
    <w:sectPr w:rsidR="001A375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118BE"/>
    <w:multiLevelType w:val="multilevel"/>
    <w:tmpl w:val="ADF8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706AD"/>
    <w:multiLevelType w:val="multilevel"/>
    <w:tmpl w:val="AD6C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A06525"/>
    <w:multiLevelType w:val="multilevel"/>
    <w:tmpl w:val="1D3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385268"/>
    <w:multiLevelType w:val="multilevel"/>
    <w:tmpl w:val="4C02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F07388"/>
    <w:multiLevelType w:val="multilevel"/>
    <w:tmpl w:val="CC86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461690">
    <w:abstractNumId w:val="4"/>
  </w:num>
  <w:num w:numId="2" w16cid:durableId="579558335">
    <w:abstractNumId w:val="3"/>
  </w:num>
  <w:num w:numId="3" w16cid:durableId="1756971319">
    <w:abstractNumId w:val="2"/>
  </w:num>
  <w:num w:numId="4" w16cid:durableId="862982072">
    <w:abstractNumId w:val="0"/>
  </w:num>
  <w:num w:numId="5" w16cid:durableId="1879123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D9B"/>
    <w:rsid w:val="00043CCB"/>
    <w:rsid w:val="001A3754"/>
    <w:rsid w:val="003621D0"/>
    <w:rsid w:val="00386D9B"/>
    <w:rsid w:val="00A57A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A1620"/>
  <w15:chartTrackingRefBased/>
  <w15:docId w15:val="{8A8C4C00-C988-467E-B0DE-8AB65A22C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6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86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6D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6D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6D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6D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6D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6D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6D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6D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86D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86D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6D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6D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6D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6D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6D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6D9B"/>
    <w:rPr>
      <w:rFonts w:eastAsiaTheme="majorEastAsia" w:cstheme="majorBidi"/>
      <w:color w:val="272727" w:themeColor="text1" w:themeTint="D8"/>
    </w:rPr>
  </w:style>
  <w:style w:type="paragraph" w:styleId="Ttulo">
    <w:name w:val="Title"/>
    <w:basedOn w:val="Normal"/>
    <w:next w:val="Normal"/>
    <w:link w:val="TtuloCar"/>
    <w:uiPriority w:val="10"/>
    <w:qFormat/>
    <w:rsid w:val="00386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6D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6D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6D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6D9B"/>
    <w:pPr>
      <w:spacing w:before="160"/>
      <w:jc w:val="center"/>
    </w:pPr>
    <w:rPr>
      <w:i/>
      <w:iCs/>
      <w:color w:val="404040" w:themeColor="text1" w:themeTint="BF"/>
    </w:rPr>
  </w:style>
  <w:style w:type="character" w:customStyle="1" w:styleId="CitaCar">
    <w:name w:val="Cita Car"/>
    <w:basedOn w:val="Fuentedeprrafopredeter"/>
    <w:link w:val="Cita"/>
    <w:uiPriority w:val="29"/>
    <w:rsid w:val="00386D9B"/>
    <w:rPr>
      <w:i/>
      <w:iCs/>
      <w:color w:val="404040" w:themeColor="text1" w:themeTint="BF"/>
    </w:rPr>
  </w:style>
  <w:style w:type="paragraph" w:styleId="Prrafodelista">
    <w:name w:val="List Paragraph"/>
    <w:basedOn w:val="Normal"/>
    <w:uiPriority w:val="34"/>
    <w:qFormat/>
    <w:rsid w:val="00386D9B"/>
    <w:pPr>
      <w:ind w:left="720"/>
      <w:contextualSpacing/>
    </w:pPr>
  </w:style>
  <w:style w:type="character" w:styleId="nfasisintenso">
    <w:name w:val="Intense Emphasis"/>
    <w:basedOn w:val="Fuentedeprrafopredeter"/>
    <w:uiPriority w:val="21"/>
    <w:qFormat/>
    <w:rsid w:val="00386D9B"/>
    <w:rPr>
      <w:i/>
      <w:iCs/>
      <w:color w:val="0F4761" w:themeColor="accent1" w:themeShade="BF"/>
    </w:rPr>
  </w:style>
  <w:style w:type="paragraph" w:styleId="Citadestacada">
    <w:name w:val="Intense Quote"/>
    <w:basedOn w:val="Normal"/>
    <w:next w:val="Normal"/>
    <w:link w:val="CitadestacadaCar"/>
    <w:uiPriority w:val="30"/>
    <w:qFormat/>
    <w:rsid w:val="00386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6D9B"/>
    <w:rPr>
      <w:i/>
      <w:iCs/>
      <w:color w:val="0F4761" w:themeColor="accent1" w:themeShade="BF"/>
    </w:rPr>
  </w:style>
  <w:style w:type="character" w:styleId="Referenciaintensa">
    <w:name w:val="Intense Reference"/>
    <w:basedOn w:val="Fuentedeprrafopredeter"/>
    <w:uiPriority w:val="32"/>
    <w:qFormat/>
    <w:rsid w:val="00386D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487</Words>
  <Characters>2681</Characters>
  <Application>Microsoft Office Word</Application>
  <DocSecurity>0</DocSecurity>
  <Lines>22</Lines>
  <Paragraphs>6</Paragraphs>
  <ScaleCrop>false</ScaleCrop>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MIGUEL FERNÁNDEZ HIDALGO</dc:creator>
  <cp:keywords/>
  <dc:description/>
  <cp:lastModifiedBy>JOSE MIGUEL FERNÁNDEZ HIDALGO</cp:lastModifiedBy>
  <cp:revision>2</cp:revision>
  <dcterms:created xsi:type="dcterms:W3CDTF">2026-04-09T11:35:00Z</dcterms:created>
  <dcterms:modified xsi:type="dcterms:W3CDTF">2026-04-09T11:38:00Z</dcterms:modified>
</cp:coreProperties>
</file>