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Министерство образования и молодежной политики Свердловской области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Отчёт по программе «практика 6»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Выполнил: Горин Юрий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Группа: ПР-21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задание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Написать программу вычисления линейного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арифметического выражения (по вариантам).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входные данные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428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666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блок схема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800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00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листинг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2476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тест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2085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